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header106.xml" ContentType="application/vnd.openxmlformats-officedocument.wordprocessingml.header+xml"/>
  <Override PartName="/word/header107.xml" ContentType="application/vnd.openxmlformats-officedocument.wordprocessingml.header+xml"/>
  <Override PartName="/word/footer2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2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2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2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2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2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27.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charts/chart28.xml" ContentType="application/vnd.openxmlformats-officedocument.drawingml.chart+xml"/>
  <Override PartName="/word/charts/style13.xml" ContentType="application/vnd.ms-office.chartstyle+xml"/>
  <Override PartName="/word/charts/colors13.xml" ContentType="application/vnd.ms-office.chartcolorstyle+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2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29.xml" ContentType="application/vnd.openxmlformats-officedocument.wordprocessingml.footer+xml"/>
  <Override PartName="/word/header231.xml" ContentType="application/vnd.openxmlformats-officedocument.wordprocessingml.header+xml"/>
  <Override PartName="/word/footer3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31.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34.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37.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7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FAB80" w14:textId="11F6B91A" w:rsidR="00BA0A83" w:rsidRPr="00DF3006" w:rsidRDefault="00BA0A83" w:rsidP="00CA7F44">
      <w:pPr>
        <w:rPr>
          <w:noProof/>
          <w:color w:val="414042" w:themeColor="text1"/>
        </w:rPr>
      </w:pPr>
    </w:p>
    <w:p w14:paraId="3FBCFF36" w14:textId="1ED763AA" w:rsidR="00CA7F44" w:rsidRPr="00DF3006" w:rsidRDefault="00B6125B" w:rsidP="003E4F75">
      <w:pPr>
        <w:pStyle w:val="BasicParagraph"/>
        <w:suppressAutoHyphens/>
        <w:spacing w:line="240" w:lineRule="auto"/>
        <w:rPr>
          <w:color w:val="414042" w:themeColor="text1"/>
        </w:rPr>
      </w:pPr>
      <w:r w:rsidRPr="00DF3006">
        <w:rPr>
          <w:noProof/>
          <w:color w:val="414042" w:themeColor="text1"/>
        </w:rPr>
        <mc:AlternateContent>
          <mc:Choice Requires="wpg">
            <w:drawing>
              <wp:anchor distT="0" distB="0" distL="114300" distR="114300" simplePos="0" relativeHeight="252371968" behindDoc="0" locked="0" layoutInCell="1" allowOverlap="1" wp14:anchorId="2BF8AA6F" wp14:editId="4817207D">
                <wp:simplePos x="0" y="0"/>
                <wp:positionH relativeFrom="column">
                  <wp:posOffset>2728190</wp:posOffset>
                </wp:positionH>
                <wp:positionV relativeFrom="paragraph">
                  <wp:posOffset>3762283</wp:posOffset>
                </wp:positionV>
                <wp:extent cx="2947035" cy="3172659"/>
                <wp:effectExtent l="0" t="0" r="0" b="0"/>
                <wp:wrapNone/>
                <wp:docPr id="24" name="Group 24"/>
                <wp:cNvGraphicFramePr/>
                <a:graphic xmlns:a="http://schemas.openxmlformats.org/drawingml/2006/main">
                  <a:graphicData uri="http://schemas.microsoft.com/office/word/2010/wordprocessingGroup">
                    <wpg:wgp>
                      <wpg:cNvGrpSpPr/>
                      <wpg:grpSpPr>
                        <a:xfrm>
                          <a:off x="0" y="0"/>
                          <a:ext cx="2947035" cy="3172659"/>
                          <a:chOff x="0" y="0"/>
                          <a:chExt cx="2947035" cy="3172659"/>
                        </a:xfrm>
                      </wpg:grpSpPr>
                      <wps:wsp>
                        <wps:cNvPr id="17" name="Text Box 2"/>
                        <wps:cNvSpPr txBox="1">
                          <a:spLocks noChangeArrowheads="1"/>
                        </wps:cNvSpPr>
                        <wps:spPr bwMode="auto">
                          <a:xfrm>
                            <a:off x="0" y="0"/>
                            <a:ext cx="2947035" cy="2250440"/>
                          </a:xfrm>
                          <a:prstGeom prst="rect">
                            <a:avLst/>
                          </a:prstGeom>
                          <a:noFill/>
                          <a:ln w="9525">
                            <a:noFill/>
                            <a:miter lim="800000"/>
                            <a:headEnd/>
                            <a:tailEnd/>
                          </a:ln>
                        </wps:spPr>
                        <wps:txbx>
                          <w:txbxContent>
                            <w:p w14:paraId="28C338E0" w14:textId="53071480" w:rsidR="003E4F75" w:rsidRPr="003E4F75" w:rsidRDefault="003E4F75" w:rsidP="003E4F75">
                              <w:pPr>
                                <w:spacing w:after="0" w:line="1080" w:lineRule="exact"/>
                                <w:rPr>
                                  <w:rFonts w:cstheme="majorHAnsi"/>
                                  <w:sz w:val="100"/>
                                  <w:szCs w:val="100"/>
                                </w:rPr>
                              </w:pPr>
                              <w:r w:rsidRPr="003E4F75">
                                <w:rPr>
                                  <w:rFonts w:cstheme="majorHAnsi"/>
                                  <w:sz w:val="100"/>
                                  <w:szCs w:val="100"/>
                                </w:rPr>
                                <w:t>202</w:t>
                              </w:r>
                              <w:r>
                                <w:rPr>
                                  <w:rFonts w:cstheme="majorHAnsi"/>
                                  <w:sz w:val="100"/>
                                  <w:szCs w:val="100"/>
                                </w:rPr>
                                <w:t>2</w:t>
                              </w:r>
                              <w:r w:rsidR="0013317A" w:rsidRPr="0013317A">
                                <w:rPr>
                                  <w:rFonts w:cstheme="majorHAnsi"/>
                                  <w:sz w:val="100"/>
                                  <w:szCs w:val="100"/>
                                </w:rPr>
                                <w:t>–</w:t>
                              </w:r>
                              <w:r w:rsidRPr="003E4F75">
                                <w:rPr>
                                  <w:rFonts w:cstheme="majorHAnsi"/>
                                  <w:sz w:val="100"/>
                                  <w:szCs w:val="100"/>
                                </w:rPr>
                                <w:t>2</w:t>
                              </w:r>
                              <w:r>
                                <w:rPr>
                                  <w:rFonts w:cstheme="majorHAnsi"/>
                                  <w:sz w:val="100"/>
                                  <w:szCs w:val="100"/>
                                </w:rPr>
                                <w:t>3</w:t>
                              </w:r>
                            </w:p>
                            <w:p w14:paraId="6469AE99" w14:textId="2DEAEB05" w:rsidR="003E4F75" w:rsidRPr="003E4F75" w:rsidRDefault="003E4F75" w:rsidP="003E4F75">
                              <w:pPr>
                                <w:spacing w:after="0" w:line="1080" w:lineRule="exact"/>
                                <w:rPr>
                                  <w:rFonts w:ascii="Calibri" w:hAnsi="Calibri" w:cs="Calibri"/>
                                  <w:sz w:val="100"/>
                                  <w:szCs w:val="100"/>
                                </w:rPr>
                              </w:pPr>
                              <w:r w:rsidRPr="003E4F75">
                                <w:rPr>
                                  <w:rFonts w:ascii="Calibri" w:hAnsi="Calibri" w:cs="Calibri"/>
                                  <w:sz w:val="100"/>
                                  <w:szCs w:val="100"/>
                                </w:rPr>
                                <w:t>ANNUAL</w:t>
                              </w:r>
                              <w:r w:rsidR="00420125">
                                <w:rPr>
                                  <w:rFonts w:ascii="Calibri" w:hAnsi="Calibri" w:cs="Calibri"/>
                                  <w:sz w:val="100"/>
                                  <w:szCs w:val="100"/>
                                </w:rPr>
                                <w:br/>
                              </w:r>
                              <w:r w:rsidRPr="003E4F75">
                                <w:rPr>
                                  <w:rFonts w:ascii="Calibri" w:hAnsi="Calibri" w:cs="Calibri"/>
                                  <w:sz w:val="100"/>
                                  <w:szCs w:val="100"/>
                                </w:rPr>
                                <w:t>REPORT</w:t>
                              </w:r>
                            </w:p>
                          </w:txbxContent>
                        </wps:txbx>
                        <wps:bodyPr rot="0" vert="horz" wrap="square" lIns="91440" tIns="45720" rIns="91440" bIns="45720" anchor="ctr" anchorCtr="0">
                          <a:noAutofit/>
                        </wps:bodyPr>
                      </wps:wsp>
                      <wps:wsp>
                        <wps:cNvPr id="19" name="Text Box 19"/>
                        <wps:cNvSpPr txBox="1">
                          <a:spLocks noChangeArrowheads="1"/>
                        </wps:cNvSpPr>
                        <wps:spPr bwMode="auto">
                          <a:xfrm>
                            <a:off x="55084" y="2500829"/>
                            <a:ext cx="2764790" cy="671830"/>
                          </a:xfrm>
                          <a:prstGeom prst="rect">
                            <a:avLst/>
                          </a:prstGeom>
                          <a:noFill/>
                          <a:ln w="9525">
                            <a:noFill/>
                            <a:miter lim="800000"/>
                            <a:headEnd/>
                            <a:tailEnd/>
                          </a:ln>
                        </wps:spPr>
                        <wps:txbx>
                          <w:txbxContent>
                            <w:p w14:paraId="779B3CD5" w14:textId="77777777" w:rsidR="003E4F75" w:rsidRPr="003E4F75" w:rsidRDefault="003E4F75" w:rsidP="003E4F75">
                              <w:pPr>
                                <w:pStyle w:val="BasicParagraph"/>
                                <w:suppressAutoHyphens/>
                                <w:spacing w:line="240" w:lineRule="auto"/>
                                <w:rPr>
                                  <w:rFonts w:ascii="Calibri" w:hAnsi="Calibri" w:cs="Calibri"/>
                                  <w:color w:val="58595B" w:themeColor="accent2"/>
                                </w:rPr>
                              </w:pPr>
                              <w:bookmarkStart w:id="0" w:name="_Hlk108623114"/>
                              <w:r w:rsidRPr="003E4F75">
                                <w:rPr>
                                  <w:rFonts w:ascii="Calibri" w:hAnsi="Calibri" w:cs="Calibri"/>
                                  <w:color w:val="58595B" w:themeColor="accent2"/>
                                </w:rPr>
                                <w:t>An independent agency combating major crime and reducing corruption for the benefit of the Queensland community.</w:t>
                              </w:r>
                            </w:p>
                            <w:bookmarkEnd w:id="0"/>
                            <w:p w14:paraId="1979AF31" w14:textId="77777777" w:rsidR="003E4F75" w:rsidRPr="003E4F75" w:rsidRDefault="003E4F75" w:rsidP="003E4F75">
                              <w:pPr>
                                <w:pStyle w:val="BasicParagraph"/>
                                <w:suppressAutoHyphens/>
                                <w:spacing w:after="0" w:line="240" w:lineRule="auto"/>
                                <w:jc w:val="right"/>
                                <w:rPr>
                                  <w:rFonts w:asciiTheme="minorHAnsi" w:hAnsiTheme="minorHAnsi" w:cstheme="minorHAnsi"/>
                                  <w:color w:val="58595B" w:themeColor="accent2"/>
                                  <w:sz w:val="100"/>
                                  <w:szCs w:val="100"/>
                                </w:rPr>
                              </w:pPr>
                            </w:p>
                          </w:txbxContent>
                        </wps:txbx>
                        <wps:bodyPr rot="0" vert="horz" wrap="square" lIns="91440" tIns="45720" rIns="91440" bIns="45720" anchor="t" anchorCtr="0">
                          <a:noAutofit/>
                        </wps:bodyPr>
                      </wps:wsp>
                      <wps:wsp>
                        <wps:cNvPr id="20" name="Straight Connector 20"/>
                        <wps:cNvCnPr/>
                        <wps:spPr>
                          <a:xfrm>
                            <a:off x="143219" y="2302525"/>
                            <a:ext cx="2556000" cy="0"/>
                          </a:xfrm>
                          <a:prstGeom prst="line">
                            <a:avLst/>
                          </a:prstGeom>
                          <a:noFill/>
                          <a:ln w="12700" cap="flat" cmpd="sng" algn="ctr">
                            <a:solidFill>
                              <a:schemeClr val="accent2"/>
                            </a:solidFill>
                            <a:prstDash val="solid"/>
                            <a:miter lim="800000"/>
                          </a:ln>
                          <a:effectLst/>
                        </wps:spPr>
                        <wps:bodyPr/>
                      </wps:wsp>
                    </wpg:wgp>
                  </a:graphicData>
                </a:graphic>
              </wp:anchor>
            </w:drawing>
          </mc:Choice>
          <mc:Fallback>
            <w:pict>
              <v:group w14:anchorId="2BF8AA6F" id="Group 24" o:spid="_x0000_s1026" style="position:absolute;margin-left:214.8pt;margin-top:296.25pt;width:232.05pt;height:249.8pt;z-index:252371968" coordsize="29470,3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">
                <v:shapetype id="_x0000_t202" coordsize="21600,21600" o:spt="202" path="m,l,21600r21600,l21600,xe">
                  <v:stroke joinstyle="miter"/>
                  <v:path gradientshapeok="t" o:connecttype="rect"/>
                </v:shapetype>
                <v:shape id="_x0000_s1027" type="#_x0000_t202" style="position:absolute;width:29470;height:22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28C338E0" w14:textId="53071480" w:rsidR="003E4F75" w:rsidRPr="003E4F75" w:rsidRDefault="003E4F75" w:rsidP="003E4F75">
                        <w:pPr>
                          <w:spacing w:after="0" w:line="1080" w:lineRule="exact"/>
                          <w:rPr>
                            <w:rFonts w:cstheme="majorHAnsi"/>
                            <w:sz w:val="100"/>
                            <w:szCs w:val="100"/>
                          </w:rPr>
                        </w:pPr>
                        <w:r w:rsidRPr="003E4F75">
                          <w:rPr>
                            <w:rFonts w:cstheme="majorHAnsi"/>
                            <w:sz w:val="100"/>
                            <w:szCs w:val="100"/>
                          </w:rPr>
                          <w:t>202</w:t>
                        </w:r>
                        <w:r>
                          <w:rPr>
                            <w:rFonts w:cstheme="majorHAnsi"/>
                            <w:sz w:val="100"/>
                            <w:szCs w:val="100"/>
                          </w:rPr>
                          <w:t>2</w:t>
                        </w:r>
                        <w:r w:rsidR="0013317A" w:rsidRPr="0013317A">
                          <w:rPr>
                            <w:rFonts w:cstheme="majorHAnsi"/>
                            <w:sz w:val="100"/>
                            <w:szCs w:val="100"/>
                          </w:rPr>
                          <w:t>–</w:t>
                        </w:r>
                        <w:r w:rsidRPr="003E4F75">
                          <w:rPr>
                            <w:rFonts w:cstheme="majorHAnsi"/>
                            <w:sz w:val="100"/>
                            <w:szCs w:val="100"/>
                          </w:rPr>
                          <w:t>2</w:t>
                        </w:r>
                        <w:r>
                          <w:rPr>
                            <w:rFonts w:cstheme="majorHAnsi"/>
                            <w:sz w:val="100"/>
                            <w:szCs w:val="100"/>
                          </w:rPr>
                          <w:t>3</w:t>
                        </w:r>
                      </w:p>
                      <w:p w14:paraId="6469AE99" w14:textId="2DEAEB05" w:rsidR="003E4F75" w:rsidRPr="003E4F75" w:rsidRDefault="003E4F75" w:rsidP="003E4F75">
                        <w:pPr>
                          <w:spacing w:after="0" w:line="1080" w:lineRule="exact"/>
                          <w:rPr>
                            <w:rFonts w:ascii="Calibri" w:hAnsi="Calibri" w:cs="Calibri"/>
                            <w:sz w:val="100"/>
                            <w:szCs w:val="100"/>
                          </w:rPr>
                        </w:pPr>
                        <w:r w:rsidRPr="003E4F75">
                          <w:rPr>
                            <w:rFonts w:ascii="Calibri" w:hAnsi="Calibri" w:cs="Calibri"/>
                            <w:sz w:val="100"/>
                            <w:szCs w:val="100"/>
                          </w:rPr>
                          <w:t>ANNUAL</w:t>
                        </w:r>
                        <w:r w:rsidR="00420125">
                          <w:rPr>
                            <w:rFonts w:ascii="Calibri" w:hAnsi="Calibri" w:cs="Calibri"/>
                            <w:sz w:val="100"/>
                            <w:szCs w:val="100"/>
                          </w:rPr>
                          <w:br/>
                        </w:r>
                        <w:r w:rsidRPr="003E4F75">
                          <w:rPr>
                            <w:rFonts w:ascii="Calibri" w:hAnsi="Calibri" w:cs="Calibri"/>
                            <w:sz w:val="100"/>
                            <w:szCs w:val="100"/>
                          </w:rPr>
                          <w:t>REPORT</w:t>
                        </w:r>
                      </w:p>
                    </w:txbxContent>
                  </v:textbox>
                </v:shape>
                <v:shape id="Text Box 19" o:spid="_x0000_s1028" type="#_x0000_t202" style="position:absolute;left:550;top:25008;width:27648;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79B3CD5" w14:textId="77777777" w:rsidR="003E4F75" w:rsidRPr="003E4F75" w:rsidRDefault="003E4F75" w:rsidP="003E4F75">
                        <w:pPr>
                          <w:pStyle w:val="BasicParagraph"/>
                          <w:suppressAutoHyphens/>
                          <w:spacing w:line="240" w:lineRule="auto"/>
                          <w:rPr>
                            <w:rFonts w:ascii="Calibri" w:hAnsi="Calibri" w:cs="Calibri"/>
                            <w:color w:val="58595B" w:themeColor="accent2"/>
                          </w:rPr>
                        </w:pPr>
                        <w:bookmarkStart w:id="1" w:name="_Hlk108623114"/>
                        <w:r w:rsidRPr="003E4F75">
                          <w:rPr>
                            <w:rFonts w:ascii="Calibri" w:hAnsi="Calibri" w:cs="Calibri"/>
                            <w:color w:val="58595B" w:themeColor="accent2"/>
                          </w:rPr>
                          <w:t>An independent agency combating major crime and reducing corruption for the benefit of the Queensland community.</w:t>
                        </w:r>
                      </w:p>
                      <w:bookmarkEnd w:id="1"/>
                      <w:p w14:paraId="1979AF31" w14:textId="77777777" w:rsidR="003E4F75" w:rsidRPr="003E4F75" w:rsidRDefault="003E4F75" w:rsidP="003E4F75">
                        <w:pPr>
                          <w:pStyle w:val="BasicParagraph"/>
                          <w:suppressAutoHyphens/>
                          <w:spacing w:after="0" w:line="240" w:lineRule="auto"/>
                          <w:jc w:val="right"/>
                          <w:rPr>
                            <w:rFonts w:asciiTheme="minorHAnsi" w:hAnsiTheme="minorHAnsi" w:cstheme="minorHAnsi"/>
                            <w:color w:val="58595B" w:themeColor="accent2"/>
                            <w:sz w:val="100"/>
                            <w:szCs w:val="100"/>
                          </w:rPr>
                        </w:pPr>
                      </w:p>
                    </w:txbxContent>
                  </v:textbox>
                </v:shape>
                <v:line id="Straight Connector 20" o:spid="_x0000_s1029" style="position:absolute;visibility:visible;mso-wrap-style:square" from="1432,23025" to="26992,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" strokecolor="#58595b [3205]" strokeweight="1pt">
                  <v:stroke joinstyle="miter"/>
                </v:line>
              </v:group>
            </w:pict>
          </mc:Fallback>
        </mc:AlternateContent>
      </w:r>
      <w:r w:rsidR="00865BCB" w:rsidRPr="00DF3006" w:rsidDel="00865BCB">
        <w:rPr>
          <w:noProof/>
          <w:color w:val="414042" w:themeColor="text1"/>
        </w:rPr>
        <w:t xml:space="preserve"> </w:t>
      </w:r>
      <w:r w:rsidR="00CA7F44" w:rsidRPr="00DF3006">
        <w:rPr>
          <w:color w:val="414042" w:themeColor="text1"/>
        </w:rPr>
        <w:br w:type="page"/>
      </w:r>
    </w:p>
    <w:p w14:paraId="1B9900A6" w14:textId="21E795E3" w:rsidR="00CA7F44" w:rsidRPr="00DF3006" w:rsidRDefault="00CA7F44" w:rsidP="0040083F">
      <w:pPr>
        <w:suppressAutoHyphens/>
        <w:autoSpaceDE w:val="0"/>
        <w:autoSpaceDN w:val="0"/>
        <w:adjustRightInd w:val="0"/>
        <w:spacing w:before="360" w:after="113" w:line="288" w:lineRule="auto"/>
        <w:textAlignment w:val="center"/>
        <w:rPr>
          <w:color w:val="414042" w:themeColor="text1"/>
        </w:rPr>
      </w:pPr>
    </w:p>
    <w:p w14:paraId="6A198992" w14:textId="57BA985A" w:rsidR="00CA7F44" w:rsidRPr="00DF3006" w:rsidRDefault="00CA7F44">
      <w:pPr>
        <w:spacing w:before="120" w:after="0" w:line="260" w:lineRule="exact"/>
        <w:rPr>
          <w:rFonts w:cs="Calibri Light"/>
          <w:color w:val="414042" w:themeColor="text1"/>
          <w:sz w:val="16"/>
          <w:szCs w:val="16"/>
        </w:rPr>
      </w:pPr>
    </w:p>
    <w:p w14:paraId="7DA398CA" w14:textId="6AB73D6B" w:rsidR="0085715C" w:rsidRPr="00DF3006" w:rsidRDefault="0085715C"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053D9888" w14:textId="271144B7" w:rsidR="00201A90" w:rsidRPr="00DF3006" w:rsidRDefault="00201A90"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5C85F9DE" w14:textId="1ACFAE3D" w:rsidR="00201A90" w:rsidRPr="00DF3006" w:rsidRDefault="00201A90"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2C5C25EA" w14:textId="4220AE2C" w:rsidR="00201A90" w:rsidRPr="00DF3006" w:rsidRDefault="00201A90"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0CE79D6F" w14:textId="5D5190FE" w:rsidR="00201A90" w:rsidRPr="00DF3006" w:rsidRDefault="00201A90"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4C417950" w14:textId="03B01A16" w:rsidR="00201A90" w:rsidRPr="00DF3006" w:rsidRDefault="00201A90"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0A5BF44E" w14:textId="6ECD1AEB" w:rsidR="00A332CD" w:rsidRPr="00DF3006" w:rsidRDefault="00A332CD"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218999D3" w14:textId="55C3D84F" w:rsidR="00A332CD" w:rsidRPr="00DF3006" w:rsidRDefault="00A332CD"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554E210B" w14:textId="284E8205" w:rsidR="00B6125B" w:rsidRPr="00DF3006" w:rsidRDefault="00B6125B"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66DECC76" w14:textId="5C297C8F" w:rsidR="00B6125B" w:rsidRPr="00DF3006" w:rsidRDefault="00B6125B"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74FC0E46" w14:textId="6661C517" w:rsidR="00B6125B" w:rsidRPr="00DF3006" w:rsidRDefault="00B6125B"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76FD9C9A" w14:textId="77777777" w:rsidR="005F42AC" w:rsidRPr="00DF3006" w:rsidRDefault="005F42AC" w:rsidP="005F42AC">
      <w:pPr>
        <w:suppressAutoHyphens/>
        <w:autoSpaceDE w:val="0"/>
        <w:autoSpaceDN w:val="0"/>
        <w:adjustRightInd w:val="0"/>
        <w:spacing w:before="360" w:after="113" w:line="288" w:lineRule="auto"/>
        <w:textAlignment w:val="center"/>
        <w:rPr>
          <w:rFonts w:cs="Calibri Light"/>
          <w:color w:val="414042" w:themeColor="text1"/>
          <w:sz w:val="16"/>
          <w:szCs w:val="16"/>
        </w:rPr>
      </w:pPr>
      <w:r w:rsidRPr="00DF3006">
        <w:rPr>
          <w:rFonts w:cs="Calibri Light"/>
          <w:color w:val="414042" w:themeColor="text1"/>
          <w:sz w:val="16"/>
          <w:szCs w:val="16"/>
        </w:rPr>
        <w:t>ISSN: 2205-5991 (Online)</w:t>
      </w:r>
    </w:p>
    <w:p w14:paraId="7A6DBDD2" w14:textId="78FFEC73" w:rsidR="005F42AC" w:rsidRPr="00DF3006" w:rsidRDefault="005F42AC" w:rsidP="005F42AC">
      <w:pPr>
        <w:suppressAutoHyphens/>
        <w:autoSpaceDE w:val="0"/>
        <w:autoSpaceDN w:val="0"/>
        <w:adjustRightInd w:val="0"/>
        <w:spacing w:after="113"/>
        <w:textAlignment w:val="center"/>
        <w:rPr>
          <w:rFonts w:cs="Calibri Light"/>
          <w:color w:val="414042" w:themeColor="text1"/>
          <w:sz w:val="16"/>
          <w:szCs w:val="16"/>
        </w:rPr>
      </w:pPr>
      <w:r w:rsidRPr="00DF3006">
        <w:rPr>
          <w:rFonts w:cs="Calibri Light"/>
          <w:color w:val="414042" w:themeColor="text1"/>
          <w:sz w:val="16"/>
          <w:szCs w:val="16"/>
        </w:rPr>
        <w:t>© The Crime and Corruption Commission (CCC) 202</w:t>
      </w:r>
      <w:r w:rsidR="00130B40" w:rsidRPr="00DF3006">
        <w:rPr>
          <w:rFonts w:cs="Calibri Light"/>
          <w:color w:val="414042" w:themeColor="text1"/>
          <w:sz w:val="16"/>
          <w:szCs w:val="16"/>
        </w:rPr>
        <w:t>3</w:t>
      </w:r>
    </w:p>
    <w:p w14:paraId="5F18277C" w14:textId="77777777" w:rsidR="005F42AC" w:rsidRPr="00DF3006" w:rsidRDefault="005F42AC" w:rsidP="005F42AC">
      <w:pPr>
        <w:suppressAutoHyphens/>
        <w:autoSpaceDE w:val="0"/>
        <w:autoSpaceDN w:val="0"/>
        <w:adjustRightInd w:val="0"/>
        <w:spacing w:after="0"/>
        <w:textAlignment w:val="center"/>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Licence</w:t>
      </w:r>
    </w:p>
    <w:p w14:paraId="3CAFA62D" w14:textId="48F5EA02" w:rsidR="005F42AC" w:rsidRPr="00DF3006" w:rsidRDefault="005F42AC" w:rsidP="005F42AC">
      <w:pPr>
        <w:suppressAutoHyphens/>
        <w:autoSpaceDE w:val="0"/>
        <w:autoSpaceDN w:val="0"/>
        <w:adjustRightInd w:val="0"/>
        <w:spacing w:after="113"/>
        <w:textAlignment w:val="center"/>
        <w:rPr>
          <w:rFonts w:cs="Calibri Light"/>
          <w:color w:val="414042" w:themeColor="text1"/>
          <w:sz w:val="16"/>
          <w:szCs w:val="16"/>
        </w:rPr>
      </w:pPr>
      <w:r w:rsidRPr="00DF3006">
        <w:rPr>
          <w:rFonts w:cs="Calibri Light"/>
          <w:color w:val="414042" w:themeColor="text1"/>
          <w:sz w:val="16"/>
          <w:szCs w:val="16"/>
        </w:rPr>
        <w:t xml:space="preserve">This annual report is licensed by the Crime and Corruption Commission under a </w:t>
      </w:r>
      <w:bookmarkStart w:id="2" w:name="_Hlk144293620"/>
      <w:r w:rsidRPr="00DF3006">
        <w:rPr>
          <w:rFonts w:cs="Calibri Light"/>
          <w:color w:val="414042" w:themeColor="text1"/>
          <w:sz w:val="16"/>
          <w:szCs w:val="16"/>
        </w:rPr>
        <w:t xml:space="preserve">Creative Commons Attribution </w:t>
      </w:r>
      <w:bookmarkEnd w:id="2"/>
      <w:r w:rsidRPr="00DF3006">
        <w:rPr>
          <w:rFonts w:cs="Calibri Light"/>
          <w:color w:val="414042" w:themeColor="text1"/>
          <w:sz w:val="16"/>
          <w:szCs w:val="16"/>
        </w:rPr>
        <w:t>(CC BY) 4.0 International licence.</w:t>
      </w:r>
      <w:r w:rsidRPr="00DF3006">
        <w:rPr>
          <w:rFonts w:cs="Calibri Light"/>
          <w:color w:val="414042" w:themeColor="text1"/>
          <w:sz w:val="16"/>
          <w:szCs w:val="16"/>
        </w:rPr>
        <w:br/>
        <w:t xml:space="preserve">To view a copy of this licence, visit </w:t>
      </w:r>
      <w:hyperlink r:id="rId9" w:history="1">
        <w:r w:rsidRPr="00DF3006">
          <w:rPr>
            <w:rStyle w:val="Hyperlink"/>
            <w:rFonts w:cs="Calibri Light"/>
            <w:color w:val="414042" w:themeColor="text1"/>
            <w:sz w:val="16"/>
            <w:szCs w:val="16"/>
          </w:rPr>
          <w:t>http://creativecommons.org/licenses/by/4.0/</w:t>
        </w:r>
      </w:hyperlink>
      <w:r w:rsidR="00C75C01" w:rsidRPr="00DF3006">
        <w:rPr>
          <w:rStyle w:val="Hyperlink"/>
          <w:rFonts w:cs="Calibri Light"/>
          <w:color w:val="414042" w:themeColor="text1"/>
          <w:sz w:val="16"/>
          <w:szCs w:val="16"/>
          <w:u w:val="none"/>
        </w:rPr>
        <w:t>.</w:t>
      </w:r>
    </w:p>
    <w:p w14:paraId="3986D5EE" w14:textId="6A494E99" w:rsidR="005F42AC" w:rsidRPr="00DF3006" w:rsidRDefault="005F42AC" w:rsidP="005F42AC">
      <w:pPr>
        <w:suppressAutoHyphens/>
        <w:autoSpaceDE w:val="0"/>
        <w:autoSpaceDN w:val="0"/>
        <w:adjustRightInd w:val="0"/>
        <w:spacing w:after="0"/>
        <w:ind w:left="1644"/>
        <w:textAlignment w:val="center"/>
        <w:rPr>
          <w:rFonts w:cs="Calibri Light"/>
          <w:color w:val="414042" w:themeColor="text1"/>
          <w:sz w:val="16"/>
          <w:szCs w:val="16"/>
        </w:rPr>
      </w:pPr>
      <w:r w:rsidRPr="00DF3006">
        <w:rPr>
          <w:noProof/>
          <w:color w:val="414042" w:themeColor="text1"/>
          <w:sz w:val="16"/>
          <w:lang w:eastAsia="en-AU"/>
        </w:rPr>
        <w:drawing>
          <wp:anchor distT="0" distB="0" distL="114300" distR="114300" simplePos="0" relativeHeight="252082176" behindDoc="1" locked="0" layoutInCell="1" allowOverlap="1" wp14:anchorId="7E456D34" wp14:editId="5CC55915">
            <wp:simplePos x="0" y="0"/>
            <wp:positionH relativeFrom="margin">
              <wp:align>left</wp:align>
            </wp:positionH>
            <wp:positionV relativeFrom="paragraph">
              <wp:posOffset>19050</wp:posOffset>
            </wp:positionV>
            <wp:extent cx="866775" cy="302895"/>
            <wp:effectExtent l="0" t="0" r="0" b="1905"/>
            <wp:wrapTight wrapText="bothSides">
              <wp:wrapPolygon edited="0">
                <wp:start x="0" y="0"/>
                <wp:lineTo x="0" y="20377"/>
                <wp:lineTo x="20888" y="20377"/>
                <wp:lineTo x="20888" y="0"/>
                <wp:lineTo x="0" y="0"/>
              </wp:wrapPolygon>
            </wp:wrapTight>
            <wp:docPr id="218" name="Picture 25" descr="Creative Commons Attributi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e Commons Attribution (BY)"/>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1594" cy="312118"/>
                    </a:xfrm>
                    <a:prstGeom prst="rect">
                      <a:avLst/>
                    </a:prstGeom>
                    <a:noFill/>
                  </pic:spPr>
                </pic:pic>
              </a:graphicData>
            </a:graphic>
            <wp14:sizeRelH relativeFrom="page">
              <wp14:pctWidth>0</wp14:pctWidth>
            </wp14:sizeRelH>
            <wp14:sizeRelV relativeFrom="page">
              <wp14:pctHeight>0</wp14:pctHeight>
            </wp14:sizeRelV>
          </wp:anchor>
        </w:drawing>
      </w:r>
      <w:r w:rsidRPr="00DF3006">
        <w:rPr>
          <w:rFonts w:cs="Calibri Light"/>
          <w:color w:val="414042" w:themeColor="text1"/>
          <w:sz w:val="16"/>
          <w:szCs w:val="16"/>
        </w:rPr>
        <w:t xml:space="preserve">In essence, you are free to copy, communicate and adapt this publication, </w:t>
      </w:r>
      <w:proofErr w:type="gramStart"/>
      <w:r w:rsidRPr="00DF3006">
        <w:rPr>
          <w:rFonts w:cs="Calibri Light"/>
          <w:color w:val="414042" w:themeColor="text1"/>
          <w:sz w:val="16"/>
          <w:szCs w:val="16"/>
        </w:rPr>
        <w:t>as long as</w:t>
      </w:r>
      <w:proofErr w:type="gramEnd"/>
      <w:r w:rsidRPr="00DF3006">
        <w:rPr>
          <w:rFonts w:cs="Calibri Light"/>
          <w:color w:val="414042" w:themeColor="text1"/>
          <w:sz w:val="16"/>
          <w:szCs w:val="16"/>
        </w:rPr>
        <w:t xml:space="preserve"> you attribute the work to the Crime and Corruption Commission. For further information contact: </w:t>
      </w:r>
      <w:hyperlink r:id="rId12" w:history="1">
        <w:r w:rsidR="00D17E13" w:rsidRPr="00DF3006">
          <w:rPr>
            <w:rStyle w:val="Hyperlink"/>
            <w:rFonts w:cs="Calibri Light"/>
            <w:color w:val="414042" w:themeColor="text1"/>
            <w:sz w:val="16"/>
            <w:szCs w:val="16"/>
          </w:rPr>
          <w:t>mailbox@ccc.qld.gov.au</w:t>
        </w:r>
      </w:hyperlink>
    </w:p>
    <w:p w14:paraId="04C9CD2D" w14:textId="77777777" w:rsidR="005F42AC" w:rsidRPr="00DF3006" w:rsidRDefault="005F42AC" w:rsidP="005F42AC">
      <w:pPr>
        <w:suppressAutoHyphens/>
        <w:autoSpaceDE w:val="0"/>
        <w:autoSpaceDN w:val="0"/>
        <w:adjustRightInd w:val="0"/>
        <w:spacing w:after="0"/>
        <w:textAlignment w:val="center"/>
        <w:rPr>
          <w:rFonts w:cs="Calibri"/>
          <w:b/>
          <w:bCs/>
          <w:color w:val="414042" w:themeColor="text1"/>
          <w:sz w:val="16"/>
          <w:szCs w:val="16"/>
          <w:highlight w:val="cyan"/>
        </w:rPr>
      </w:pPr>
    </w:p>
    <w:p w14:paraId="4CD0F649" w14:textId="77777777" w:rsidR="005F42AC" w:rsidRPr="00DF3006" w:rsidRDefault="005F42AC" w:rsidP="005F42AC">
      <w:pPr>
        <w:suppressAutoHyphens/>
        <w:autoSpaceDE w:val="0"/>
        <w:autoSpaceDN w:val="0"/>
        <w:adjustRightInd w:val="0"/>
        <w:spacing w:after="0"/>
        <w:textAlignment w:val="center"/>
        <w:rPr>
          <w:rFonts w:cs="Calibri"/>
          <w:b/>
          <w:bCs/>
          <w:color w:val="414042" w:themeColor="text1"/>
          <w:sz w:val="16"/>
          <w:szCs w:val="16"/>
          <w:highlight w:val="cyan"/>
        </w:rPr>
      </w:pPr>
    </w:p>
    <w:p w14:paraId="07853E8B" w14:textId="77777777" w:rsidR="005F42AC" w:rsidRPr="00DF3006" w:rsidRDefault="005F42AC" w:rsidP="005F42AC">
      <w:pPr>
        <w:suppressAutoHyphens/>
        <w:autoSpaceDE w:val="0"/>
        <w:autoSpaceDN w:val="0"/>
        <w:adjustRightInd w:val="0"/>
        <w:spacing w:after="0"/>
        <w:textAlignment w:val="center"/>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Attribution</w:t>
      </w:r>
    </w:p>
    <w:p w14:paraId="1DBCFCD1" w14:textId="69E1A40D" w:rsidR="005F42AC" w:rsidRPr="00DF3006" w:rsidRDefault="005F42AC" w:rsidP="005F42AC">
      <w:pPr>
        <w:suppressAutoHyphens/>
        <w:autoSpaceDE w:val="0"/>
        <w:autoSpaceDN w:val="0"/>
        <w:adjustRightInd w:val="0"/>
        <w:spacing w:after="0"/>
        <w:textAlignment w:val="center"/>
        <w:rPr>
          <w:rFonts w:cs="Calibri Light"/>
          <w:i/>
          <w:iCs/>
          <w:color w:val="414042" w:themeColor="text1"/>
          <w:sz w:val="16"/>
          <w:szCs w:val="16"/>
        </w:rPr>
      </w:pPr>
      <w:r w:rsidRPr="00DF3006">
        <w:rPr>
          <w:rFonts w:cs="Calibri Light"/>
          <w:color w:val="414042" w:themeColor="text1"/>
          <w:sz w:val="16"/>
          <w:szCs w:val="16"/>
        </w:rPr>
        <w:t xml:space="preserve">Content from this publication should be attributed as: </w:t>
      </w:r>
      <w:r w:rsidRPr="00DF3006">
        <w:rPr>
          <w:rFonts w:cs="Calibri Light"/>
          <w:i/>
          <w:iCs/>
          <w:color w:val="414042" w:themeColor="text1"/>
          <w:sz w:val="16"/>
          <w:szCs w:val="16"/>
        </w:rPr>
        <w:t>The Crime and Corruption Commission Annual Report</w:t>
      </w:r>
      <w:r w:rsidR="00304825" w:rsidRPr="00DF3006">
        <w:rPr>
          <w:rFonts w:cs="Calibri Light"/>
          <w:i/>
          <w:iCs/>
          <w:color w:val="414042" w:themeColor="text1"/>
          <w:sz w:val="16"/>
          <w:szCs w:val="16"/>
        </w:rPr>
        <w:t xml:space="preserve"> 202</w:t>
      </w:r>
      <w:r w:rsidR="00130B40" w:rsidRPr="00DF3006">
        <w:rPr>
          <w:rFonts w:cs="Calibri Light"/>
          <w:i/>
          <w:iCs/>
          <w:color w:val="414042" w:themeColor="text1"/>
          <w:sz w:val="16"/>
          <w:szCs w:val="16"/>
        </w:rPr>
        <w:t>2</w:t>
      </w:r>
      <w:r w:rsidR="00304825" w:rsidRPr="00DF3006">
        <w:rPr>
          <w:rFonts w:cs="Calibri Light"/>
          <w:i/>
          <w:iCs/>
          <w:color w:val="414042" w:themeColor="text1"/>
          <w:sz w:val="16"/>
          <w:szCs w:val="16"/>
        </w:rPr>
        <w:t>–2</w:t>
      </w:r>
      <w:r w:rsidR="00130B40" w:rsidRPr="00DF3006">
        <w:rPr>
          <w:rFonts w:cs="Calibri Light"/>
          <w:i/>
          <w:iCs/>
          <w:color w:val="414042" w:themeColor="text1"/>
          <w:sz w:val="16"/>
          <w:szCs w:val="16"/>
        </w:rPr>
        <w:t>3</w:t>
      </w:r>
    </w:p>
    <w:p w14:paraId="763B98BE" w14:textId="77777777" w:rsidR="005F42AC" w:rsidRPr="00DF3006" w:rsidRDefault="005F42AC" w:rsidP="005F42AC">
      <w:pPr>
        <w:suppressAutoHyphens/>
        <w:autoSpaceDE w:val="0"/>
        <w:autoSpaceDN w:val="0"/>
        <w:adjustRightInd w:val="0"/>
        <w:spacing w:before="113" w:after="0"/>
        <w:textAlignment w:val="center"/>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Disclaimer of Liability</w:t>
      </w:r>
    </w:p>
    <w:p w14:paraId="675FA16A" w14:textId="77777777" w:rsidR="005F42AC" w:rsidRPr="00DF3006" w:rsidRDefault="005F42AC" w:rsidP="005F42AC">
      <w:pPr>
        <w:suppressAutoHyphens/>
        <w:autoSpaceDE w:val="0"/>
        <w:autoSpaceDN w:val="0"/>
        <w:adjustRightInd w:val="0"/>
        <w:spacing w:after="113"/>
        <w:textAlignment w:val="center"/>
        <w:rPr>
          <w:rFonts w:cs="Calibri Light"/>
          <w:color w:val="414042" w:themeColor="text1"/>
          <w:sz w:val="16"/>
          <w:szCs w:val="16"/>
        </w:rPr>
      </w:pPr>
      <w:r w:rsidRPr="00DF3006">
        <w:rPr>
          <w:rFonts w:cs="Calibri Light"/>
          <w:color w:val="414042" w:themeColor="text1"/>
          <w:sz w:val="16"/>
          <w:szCs w:val="16"/>
        </w:rPr>
        <w:t>While every effort is made to ensure that accurate information is disseminated through this medium, the Crime and Corruption Commission makes no representation about the content and suitability of this information for any purpose. The information provided is only intended to increase awareness and provide general information on the topic. It does not constitute legal advice. The Crime and Corruption Commission does not accept responsibility for any actions undertaken based on the information contained herein.</w:t>
      </w:r>
    </w:p>
    <w:tbl>
      <w:tblPr>
        <w:tblW w:w="0" w:type="auto"/>
        <w:tblCellMar>
          <w:left w:w="0" w:type="dxa"/>
        </w:tblCellMar>
        <w:tblLook w:val="04A0" w:firstRow="1" w:lastRow="0" w:firstColumn="1" w:lastColumn="0" w:noHBand="0" w:noVBand="1"/>
      </w:tblPr>
      <w:tblGrid>
        <w:gridCol w:w="3544"/>
        <w:gridCol w:w="6084"/>
      </w:tblGrid>
      <w:tr w:rsidR="00DF3006" w:rsidRPr="00DF3006" w14:paraId="793AAD54" w14:textId="77777777" w:rsidTr="00287386">
        <w:tc>
          <w:tcPr>
            <w:tcW w:w="3544" w:type="dxa"/>
            <w:shd w:val="clear" w:color="auto" w:fill="auto"/>
          </w:tcPr>
          <w:p w14:paraId="5AC04B07"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Crime and Corruption Commission</w:t>
            </w:r>
          </w:p>
          <w:p w14:paraId="1E0B3E7C"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GPO Box 3123, Brisbane QLD 4001</w:t>
            </w:r>
          </w:p>
          <w:p w14:paraId="3068E6F3"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Level 2, North Tower Green Square</w:t>
            </w:r>
          </w:p>
          <w:p w14:paraId="4370D231"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515 St Pauls Terrace</w:t>
            </w:r>
          </w:p>
          <w:p w14:paraId="5A3C7A71" w14:textId="466F031E"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Fortitude Valley QLD 4006</w:t>
            </w:r>
          </w:p>
        </w:tc>
        <w:tc>
          <w:tcPr>
            <w:tcW w:w="6084" w:type="dxa"/>
            <w:shd w:val="clear" w:color="auto" w:fill="auto"/>
          </w:tcPr>
          <w:p w14:paraId="5D321651"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Phone:</w:t>
            </w:r>
            <w:r w:rsidRPr="00DF3006">
              <w:rPr>
                <w:rFonts w:cs="Calibri Light"/>
                <w:bCs/>
                <w:color w:val="414042" w:themeColor="text1"/>
                <w:sz w:val="16"/>
                <w:szCs w:val="16"/>
              </w:rPr>
              <w:tab/>
              <w:t>07 3360 6060</w:t>
            </w:r>
          </w:p>
          <w:p w14:paraId="658F1663"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ab/>
              <w:t>(toll-free outside Brisbane: 1800 061 611)</w:t>
            </w:r>
          </w:p>
          <w:p w14:paraId="3D5AC28F"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Fax:</w:t>
            </w:r>
            <w:r w:rsidRPr="00DF3006">
              <w:rPr>
                <w:rFonts w:cs="Calibri Light"/>
                <w:bCs/>
                <w:color w:val="414042" w:themeColor="text1"/>
                <w:sz w:val="16"/>
                <w:szCs w:val="16"/>
              </w:rPr>
              <w:tab/>
              <w:t>07 3360 6333</w:t>
            </w:r>
          </w:p>
          <w:p w14:paraId="5DE6C5AF" w14:textId="77777777" w:rsidR="005F42AC" w:rsidRPr="00DF3006" w:rsidRDefault="005F42AC" w:rsidP="00A03A18">
            <w:pPr>
              <w:suppressAutoHyphens/>
              <w:autoSpaceDE w:val="0"/>
              <w:autoSpaceDN w:val="0"/>
              <w:adjustRightInd w:val="0"/>
              <w:spacing w:after="0" w:line="288" w:lineRule="auto"/>
              <w:textAlignment w:val="center"/>
              <w:rPr>
                <w:rFonts w:cs="Calibri Light"/>
                <w:b/>
                <w:bCs/>
                <w:color w:val="414042" w:themeColor="text1"/>
                <w:sz w:val="16"/>
                <w:szCs w:val="16"/>
              </w:rPr>
            </w:pPr>
            <w:r w:rsidRPr="00DF3006">
              <w:rPr>
                <w:rFonts w:cs="Calibri Light"/>
                <w:bCs/>
                <w:color w:val="414042" w:themeColor="text1"/>
                <w:sz w:val="16"/>
                <w:szCs w:val="16"/>
              </w:rPr>
              <w:t>Email:</w:t>
            </w:r>
            <w:r w:rsidRPr="00DF3006">
              <w:rPr>
                <w:rFonts w:cs="Calibri Light"/>
                <w:bCs/>
                <w:color w:val="414042" w:themeColor="text1"/>
                <w:sz w:val="16"/>
                <w:szCs w:val="16"/>
              </w:rPr>
              <w:tab/>
              <w:t>mailbox@ccc.qld.gov.au</w:t>
            </w:r>
          </w:p>
        </w:tc>
      </w:tr>
      <w:tr w:rsidR="00DF3006" w:rsidRPr="00DF3006" w14:paraId="089F69AD" w14:textId="77777777" w:rsidTr="00287386">
        <w:tc>
          <w:tcPr>
            <w:tcW w:w="3544" w:type="dxa"/>
            <w:shd w:val="clear" w:color="auto" w:fill="auto"/>
          </w:tcPr>
          <w:p w14:paraId="5B1858CA" w14:textId="77777777" w:rsidR="005F42AC" w:rsidRPr="00DF3006" w:rsidRDefault="005F42AC" w:rsidP="00A03A18">
            <w:pPr>
              <w:suppressAutoHyphens/>
              <w:autoSpaceDE w:val="0"/>
              <w:autoSpaceDN w:val="0"/>
              <w:adjustRightInd w:val="0"/>
              <w:spacing w:after="0" w:line="288" w:lineRule="auto"/>
              <w:textAlignment w:val="center"/>
              <w:rPr>
                <w:rFonts w:cs="Calibri Light"/>
                <w:bCs/>
                <w:color w:val="414042" w:themeColor="text1"/>
                <w:sz w:val="16"/>
                <w:szCs w:val="16"/>
              </w:rPr>
            </w:pPr>
          </w:p>
        </w:tc>
        <w:tc>
          <w:tcPr>
            <w:tcW w:w="6084" w:type="dxa"/>
            <w:shd w:val="clear" w:color="auto" w:fill="auto"/>
          </w:tcPr>
          <w:p w14:paraId="50131F2A" w14:textId="77777777" w:rsidR="005F42AC" w:rsidRPr="00DF3006" w:rsidRDefault="005F42AC" w:rsidP="00A03A18">
            <w:pPr>
              <w:suppressAutoHyphens/>
              <w:autoSpaceDE w:val="0"/>
              <w:autoSpaceDN w:val="0"/>
              <w:adjustRightInd w:val="0"/>
              <w:spacing w:after="0" w:line="288" w:lineRule="auto"/>
              <w:textAlignment w:val="center"/>
              <w:rPr>
                <w:rFonts w:cs="Calibri Light"/>
                <w:bCs/>
                <w:color w:val="414042" w:themeColor="text1"/>
                <w:sz w:val="16"/>
                <w:szCs w:val="16"/>
              </w:rPr>
            </w:pPr>
          </w:p>
        </w:tc>
      </w:tr>
    </w:tbl>
    <w:p w14:paraId="66A5B609" w14:textId="75364234" w:rsidR="005F42AC" w:rsidRPr="00DF3006" w:rsidRDefault="005F42AC" w:rsidP="005F42AC">
      <w:pPr>
        <w:rPr>
          <w:color w:val="414042" w:themeColor="text1"/>
          <w:sz w:val="16"/>
          <w:szCs w:val="16"/>
        </w:rPr>
        <w:sectPr w:rsidR="005F42AC" w:rsidRPr="00DF3006" w:rsidSect="00C7783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2155" w:right="1134" w:bottom="964" w:left="1134" w:header="709" w:footer="283" w:gutter="0"/>
          <w:pgNumType w:start="1"/>
          <w:cols w:space="567"/>
          <w:titlePg/>
          <w:docGrid w:linePitch="360"/>
        </w:sectPr>
      </w:pPr>
      <w:r w:rsidRPr="00DF3006">
        <w:rPr>
          <w:rFonts w:cs="Calibri Light"/>
          <w:color w:val="414042" w:themeColor="text1"/>
          <w:sz w:val="16"/>
          <w:szCs w:val="16"/>
        </w:rPr>
        <w:t xml:space="preserve">Note: This publication is accessible through our website: </w:t>
      </w:r>
      <w:hyperlink r:id="rId19" w:history="1">
        <w:r w:rsidRPr="00DF3006">
          <w:rPr>
            <w:rStyle w:val="Hyperlink"/>
            <w:rFonts w:cs="Calibri Light"/>
            <w:color w:val="414042" w:themeColor="text1"/>
            <w:sz w:val="16"/>
            <w:szCs w:val="16"/>
            <w:u w:color="BCBEC0" w:themeColor="accent5"/>
          </w:rPr>
          <w:t>www.ccc.qld.gov.au</w:t>
        </w:r>
      </w:hyperlink>
      <w:r w:rsidR="008D437B" w:rsidRPr="00DF3006">
        <w:rPr>
          <w:color w:val="414042" w:themeColor="text1"/>
        </w:rPr>
        <w:t>.</w:t>
      </w:r>
    </w:p>
    <w:p w14:paraId="29341A6E" w14:textId="06AAB808" w:rsidR="0085715C" w:rsidRPr="00DF3006" w:rsidRDefault="0085715C">
      <w:pPr>
        <w:spacing w:before="120" w:after="0" w:line="260" w:lineRule="exact"/>
        <w:rPr>
          <w:color w:val="414042" w:themeColor="text1"/>
        </w:rPr>
      </w:pPr>
    </w:p>
    <w:tbl>
      <w:tblPr>
        <w:tblpPr w:leftFromText="180" w:rightFromText="180" w:vertAnchor="text" w:horzAnchor="margin" w:tblpY="35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tblCellMar>
        <w:tblLook w:val="04A0" w:firstRow="1" w:lastRow="0" w:firstColumn="1" w:lastColumn="0" w:noHBand="0" w:noVBand="1"/>
      </w:tblPr>
      <w:tblGrid>
        <w:gridCol w:w="8221"/>
        <w:gridCol w:w="1417"/>
      </w:tblGrid>
      <w:tr w:rsidR="00DF3006" w:rsidRPr="00DF3006" w14:paraId="075A75EE" w14:textId="77777777" w:rsidTr="005848DF">
        <w:trPr>
          <w:trHeight w:val="942"/>
        </w:trPr>
        <w:tc>
          <w:tcPr>
            <w:tcW w:w="4265" w:type="pct"/>
            <w:tcBorders>
              <w:top w:val="nil"/>
              <w:left w:val="nil"/>
              <w:bottom w:val="nil"/>
              <w:right w:val="nil"/>
            </w:tcBorders>
            <w:shd w:val="clear" w:color="auto" w:fill="auto"/>
            <w:vAlign w:val="center"/>
          </w:tcPr>
          <w:p w14:paraId="49493FF8" w14:textId="5BFD8047" w:rsidR="00CA0225" w:rsidRPr="00DF3006" w:rsidRDefault="00CA0225" w:rsidP="00767AA4">
            <w:pPr>
              <w:pStyle w:val="Heading2"/>
            </w:pPr>
            <w:bookmarkStart w:id="3" w:name="_Toc102037805"/>
            <w:bookmarkStart w:id="4" w:name="_Toc102038167"/>
            <w:bookmarkStart w:id="5" w:name="_Toc102038528"/>
            <w:bookmarkStart w:id="6" w:name="_Toc102038888"/>
            <w:bookmarkStart w:id="7" w:name="_Toc102039240"/>
            <w:bookmarkStart w:id="8" w:name="_Toc102039595"/>
            <w:bookmarkStart w:id="9" w:name="_Toc102039952"/>
            <w:bookmarkStart w:id="10" w:name="_Toc102040277"/>
            <w:bookmarkStart w:id="11" w:name="_Toc102040611"/>
            <w:bookmarkStart w:id="12" w:name="_Toc102040939"/>
            <w:bookmarkStart w:id="13" w:name="_Toc102041269"/>
            <w:bookmarkStart w:id="14" w:name="_Toc102041601"/>
            <w:bookmarkStart w:id="15" w:name="_Toc102041928"/>
            <w:bookmarkStart w:id="16" w:name="_Toc102042257"/>
            <w:bookmarkStart w:id="17" w:name="_Toc102045387"/>
            <w:r w:rsidRPr="00DF3006">
              <w:lastRenderedPageBreak/>
              <w:t>Contents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c>
        <w:tc>
          <w:tcPr>
            <w:tcW w:w="735" w:type="pct"/>
            <w:tcBorders>
              <w:top w:val="nil"/>
              <w:left w:val="nil"/>
              <w:bottom w:val="nil"/>
              <w:right w:val="nil"/>
            </w:tcBorders>
            <w:shd w:val="clear" w:color="auto" w:fill="auto"/>
            <w:vAlign w:val="center"/>
          </w:tcPr>
          <w:p w14:paraId="1A27E3CA" w14:textId="23971583" w:rsidR="00CA0225" w:rsidRPr="00DF3006" w:rsidRDefault="00CA0225" w:rsidP="00CA0225">
            <w:pPr>
              <w:spacing w:after="0"/>
              <w:jc w:val="right"/>
              <w:rPr>
                <w:color w:val="414042" w:themeColor="text1"/>
              </w:rPr>
            </w:pPr>
          </w:p>
        </w:tc>
      </w:tr>
      <w:tr w:rsidR="00DF3006" w:rsidRPr="00DF3006" w14:paraId="2D2B6B4F" w14:textId="77777777" w:rsidTr="005848DF">
        <w:trPr>
          <w:trHeight w:val="941"/>
        </w:trPr>
        <w:tc>
          <w:tcPr>
            <w:tcW w:w="4265" w:type="pct"/>
            <w:tcBorders>
              <w:top w:val="nil"/>
              <w:left w:val="nil"/>
              <w:right w:val="nil"/>
            </w:tcBorders>
            <w:shd w:val="clear" w:color="auto" w:fill="auto"/>
            <w:vAlign w:val="center"/>
          </w:tcPr>
          <w:p w14:paraId="6E2A9163" w14:textId="69E6BF1F" w:rsidR="00CA0225" w:rsidRPr="008830AA" w:rsidRDefault="00086D38" w:rsidP="00767AA4">
            <w:pPr>
              <w:suppressAutoHyphens/>
              <w:autoSpaceDE w:val="0"/>
              <w:autoSpaceDN w:val="0"/>
              <w:adjustRightInd w:val="0"/>
              <w:spacing w:before="120" w:after="240"/>
              <w:textAlignment w:val="center"/>
              <w:rPr>
                <w:color w:val="414042" w:themeColor="text1"/>
              </w:rPr>
            </w:pPr>
            <w:hyperlink w:anchor="_About_us" w:history="1">
              <w:r w:rsidR="00CA0225" w:rsidRPr="008830AA">
                <w:rPr>
                  <w:rStyle w:val="Hyperlink"/>
                  <w:rFonts w:cs="Calibri"/>
                  <w:bCs/>
                  <w:color w:val="414042" w:themeColor="text1"/>
                  <w:sz w:val="28"/>
                  <w:szCs w:val="28"/>
                  <w:u w:val="none"/>
                </w:rPr>
                <w:t>About us</w:t>
              </w:r>
            </w:hyperlink>
          </w:p>
        </w:tc>
        <w:tc>
          <w:tcPr>
            <w:tcW w:w="735" w:type="pct"/>
            <w:tcBorders>
              <w:top w:val="nil"/>
              <w:left w:val="nil"/>
              <w:right w:val="nil"/>
            </w:tcBorders>
            <w:shd w:val="clear" w:color="auto" w:fill="auto"/>
            <w:vAlign w:val="center"/>
          </w:tcPr>
          <w:p w14:paraId="721866C4" w14:textId="5B9930B3" w:rsidR="00CA0225" w:rsidRPr="008830AA" w:rsidRDefault="00086D38" w:rsidP="004C56F1">
            <w:pPr>
              <w:spacing w:after="0"/>
              <w:jc w:val="right"/>
              <w:rPr>
                <w:color w:val="414042" w:themeColor="text1"/>
              </w:rPr>
            </w:pPr>
            <w:hyperlink w:anchor="_About_us" w:history="1">
              <w:r w:rsidR="00744795" w:rsidRPr="008830AA">
                <w:rPr>
                  <w:rStyle w:val="Hyperlink"/>
                  <w:color w:val="414042" w:themeColor="text1"/>
                  <w:u w:val="none"/>
                </w:rPr>
                <w:t>5</w:t>
              </w:r>
            </w:hyperlink>
          </w:p>
        </w:tc>
      </w:tr>
      <w:tr w:rsidR="00DF3006" w:rsidRPr="00DF3006" w14:paraId="1BF3EAF7" w14:textId="77777777" w:rsidTr="005848DF">
        <w:trPr>
          <w:trHeight w:val="794"/>
        </w:trPr>
        <w:tc>
          <w:tcPr>
            <w:tcW w:w="4265" w:type="pct"/>
            <w:tcBorders>
              <w:left w:val="nil"/>
              <w:right w:val="nil"/>
            </w:tcBorders>
            <w:shd w:val="clear" w:color="auto" w:fill="auto"/>
            <w:vAlign w:val="center"/>
          </w:tcPr>
          <w:p w14:paraId="017638E2" w14:textId="7082AE41" w:rsidR="00D6193C" w:rsidRPr="008830AA" w:rsidRDefault="00086D38" w:rsidP="00740B4F">
            <w:pPr>
              <w:suppressAutoHyphens/>
              <w:autoSpaceDE w:val="0"/>
              <w:autoSpaceDN w:val="0"/>
              <w:adjustRightInd w:val="0"/>
              <w:spacing w:before="120" w:after="240"/>
              <w:textAlignment w:val="center"/>
              <w:rPr>
                <w:color w:val="414042" w:themeColor="text1"/>
              </w:rPr>
            </w:pPr>
            <w:hyperlink w:anchor="_2022–23_at_a" w:history="1">
              <w:r w:rsidR="00D6193C" w:rsidRPr="008830AA">
                <w:rPr>
                  <w:rStyle w:val="Hyperlink"/>
                  <w:rFonts w:cs="Calibri"/>
                  <w:bCs/>
                  <w:color w:val="414042" w:themeColor="text1"/>
                  <w:sz w:val="28"/>
                  <w:szCs w:val="28"/>
                  <w:u w:val="none"/>
                </w:rPr>
                <w:t>2022</w:t>
              </w:r>
              <w:r w:rsidR="00CA59A5" w:rsidRPr="008830AA">
                <w:rPr>
                  <w:rStyle w:val="Hyperlink"/>
                  <w:rFonts w:cs="Calibri"/>
                  <w:bCs/>
                  <w:color w:val="414042" w:themeColor="text1"/>
                  <w:sz w:val="28"/>
                  <w:szCs w:val="28"/>
                  <w:u w:val="none"/>
                </w:rPr>
                <w:t>–</w:t>
              </w:r>
              <w:r w:rsidR="00D6193C" w:rsidRPr="008830AA">
                <w:rPr>
                  <w:rStyle w:val="Hyperlink"/>
                  <w:rFonts w:cs="Calibri"/>
                  <w:bCs/>
                  <w:color w:val="414042" w:themeColor="text1"/>
                  <w:sz w:val="28"/>
                  <w:szCs w:val="28"/>
                  <w:u w:val="none"/>
                </w:rPr>
                <w:t xml:space="preserve">23 </w:t>
              </w:r>
              <w:proofErr w:type="gramStart"/>
              <w:r w:rsidR="00D6193C" w:rsidRPr="008830AA">
                <w:rPr>
                  <w:rStyle w:val="Hyperlink"/>
                  <w:rFonts w:cs="Calibri"/>
                  <w:bCs/>
                  <w:color w:val="414042" w:themeColor="text1"/>
                  <w:sz w:val="28"/>
                  <w:szCs w:val="28"/>
                  <w:u w:val="none"/>
                </w:rPr>
                <w:t>at a glance</w:t>
              </w:r>
              <w:proofErr w:type="gramEnd"/>
            </w:hyperlink>
          </w:p>
        </w:tc>
        <w:tc>
          <w:tcPr>
            <w:tcW w:w="735" w:type="pct"/>
            <w:tcBorders>
              <w:left w:val="nil"/>
              <w:right w:val="nil"/>
            </w:tcBorders>
            <w:shd w:val="clear" w:color="auto" w:fill="auto"/>
            <w:vAlign w:val="center"/>
          </w:tcPr>
          <w:p w14:paraId="2F70F857" w14:textId="1E824550" w:rsidR="00D6193C" w:rsidRPr="008830AA" w:rsidRDefault="00086D38" w:rsidP="004C56F1">
            <w:pPr>
              <w:spacing w:after="0"/>
              <w:jc w:val="right"/>
              <w:rPr>
                <w:color w:val="414042" w:themeColor="text1"/>
              </w:rPr>
            </w:pPr>
            <w:hyperlink w:anchor="_2022–23_at_a" w:history="1">
              <w:r w:rsidR="00744795" w:rsidRPr="008830AA">
                <w:rPr>
                  <w:rStyle w:val="Hyperlink"/>
                  <w:color w:val="414042" w:themeColor="text1"/>
                  <w:u w:val="none"/>
                </w:rPr>
                <w:t>16</w:t>
              </w:r>
            </w:hyperlink>
          </w:p>
        </w:tc>
      </w:tr>
      <w:tr w:rsidR="00DF3006" w:rsidRPr="00DF3006" w14:paraId="2FCEAB53" w14:textId="77777777" w:rsidTr="005848DF">
        <w:trPr>
          <w:trHeight w:val="794"/>
        </w:trPr>
        <w:tc>
          <w:tcPr>
            <w:tcW w:w="4265" w:type="pct"/>
            <w:tcBorders>
              <w:left w:val="nil"/>
              <w:right w:val="nil"/>
            </w:tcBorders>
            <w:shd w:val="clear" w:color="auto" w:fill="auto"/>
            <w:vAlign w:val="center"/>
          </w:tcPr>
          <w:p w14:paraId="346AF21F" w14:textId="6BBE6C95" w:rsidR="00740B4F" w:rsidRPr="008830AA" w:rsidRDefault="00086D38" w:rsidP="00740B4F">
            <w:pPr>
              <w:suppressAutoHyphens/>
              <w:autoSpaceDE w:val="0"/>
              <w:autoSpaceDN w:val="0"/>
              <w:adjustRightInd w:val="0"/>
              <w:spacing w:before="120" w:after="240"/>
              <w:textAlignment w:val="center"/>
              <w:rPr>
                <w:rFonts w:cs="Calibri"/>
                <w:bCs/>
                <w:color w:val="414042" w:themeColor="text1"/>
                <w:sz w:val="28"/>
                <w:szCs w:val="28"/>
              </w:rPr>
            </w:pPr>
            <w:hyperlink w:anchor="_Reducing_the_incidence" w:history="1">
              <w:r w:rsidR="00740B4F" w:rsidRPr="008830AA">
                <w:rPr>
                  <w:rStyle w:val="Hyperlink"/>
                  <w:rFonts w:cs="Calibri"/>
                  <w:bCs/>
                  <w:color w:val="414042" w:themeColor="text1"/>
                  <w:sz w:val="28"/>
                  <w:szCs w:val="28"/>
                  <w:u w:val="none"/>
                </w:rPr>
                <w:t xml:space="preserve">Reducing </w:t>
              </w:r>
              <w:r w:rsidR="0004473A" w:rsidRPr="008830AA">
                <w:rPr>
                  <w:rStyle w:val="Hyperlink"/>
                  <w:rFonts w:cs="Calibri"/>
                  <w:bCs/>
                  <w:color w:val="414042" w:themeColor="text1"/>
                  <w:sz w:val="28"/>
                  <w:szCs w:val="28"/>
                  <w:u w:val="none"/>
                </w:rPr>
                <w:t xml:space="preserve">the incidence of major </w:t>
              </w:r>
              <w:r w:rsidR="00740B4F" w:rsidRPr="008830AA">
                <w:rPr>
                  <w:rStyle w:val="Hyperlink"/>
                  <w:rFonts w:cs="Calibri"/>
                  <w:bCs/>
                  <w:color w:val="414042" w:themeColor="text1"/>
                  <w:sz w:val="28"/>
                  <w:szCs w:val="28"/>
                  <w:u w:val="none"/>
                </w:rPr>
                <w:t xml:space="preserve">crime and </w:t>
              </w:r>
              <w:r w:rsidR="00EF2A5F" w:rsidRPr="008830AA">
                <w:rPr>
                  <w:rStyle w:val="Hyperlink"/>
                  <w:rFonts w:cs="Calibri"/>
                  <w:bCs/>
                  <w:color w:val="414042" w:themeColor="text1"/>
                  <w:sz w:val="28"/>
                  <w:szCs w:val="28"/>
                  <w:u w:val="none"/>
                </w:rPr>
                <w:t>c</w:t>
              </w:r>
              <w:r w:rsidR="00740B4F" w:rsidRPr="008830AA">
                <w:rPr>
                  <w:rStyle w:val="Hyperlink"/>
                  <w:rFonts w:cs="Calibri"/>
                  <w:bCs/>
                  <w:color w:val="414042" w:themeColor="text1"/>
                  <w:sz w:val="28"/>
                  <w:szCs w:val="28"/>
                  <w:u w:val="none"/>
                </w:rPr>
                <w:t>orruption in Queensland</w:t>
              </w:r>
            </w:hyperlink>
          </w:p>
        </w:tc>
        <w:tc>
          <w:tcPr>
            <w:tcW w:w="735" w:type="pct"/>
            <w:tcBorders>
              <w:left w:val="nil"/>
              <w:right w:val="nil"/>
            </w:tcBorders>
            <w:shd w:val="clear" w:color="auto" w:fill="auto"/>
            <w:vAlign w:val="center"/>
          </w:tcPr>
          <w:p w14:paraId="05D74DC1" w14:textId="654A640A" w:rsidR="00740B4F" w:rsidRPr="008830AA" w:rsidRDefault="00086D38" w:rsidP="004C56F1">
            <w:pPr>
              <w:spacing w:after="0"/>
              <w:jc w:val="right"/>
              <w:rPr>
                <w:bCs/>
                <w:color w:val="414042" w:themeColor="text1"/>
                <w:sz w:val="28"/>
                <w:szCs w:val="32"/>
              </w:rPr>
            </w:pPr>
            <w:hyperlink w:anchor="reducingccinqld" w:history="1">
              <w:r w:rsidR="00744795" w:rsidRPr="008830AA">
                <w:rPr>
                  <w:rStyle w:val="Hyperlink"/>
                  <w:color w:val="414042" w:themeColor="text1"/>
                  <w:u w:val="none"/>
                </w:rPr>
                <w:t>30</w:t>
              </w:r>
            </w:hyperlink>
            <w:hyperlink w:anchor="reducingccinqld" w:history="1"/>
          </w:p>
        </w:tc>
      </w:tr>
      <w:tr w:rsidR="00DF3006" w:rsidRPr="00DF3006" w14:paraId="3D67813E" w14:textId="77777777" w:rsidTr="005848DF">
        <w:trPr>
          <w:trHeight w:val="794"/>
        </w:trPr>
        <w:tc>
          <w:tcPr>
            <w:tcW w:w="4265" w:type="pct"/>
            <w:tcBorders>
              <w:left w:val="nil"/>
              <w:right w:val="nil"/>
            </w:tcBorders>
            <w:shd w:val="clear" w:color="auto" w:fill="auto"/>
            <w:vAlign w:val="center"/>
          </w:tcPr>
          <w:p w14:paraId="268F4A33" w14:textId="11DAA484" w:rsidR="00740B4F" w:rsidRPr="008830AA" w:rsidRDefault="00086D38" w:rsidP="00740B4F">
            <w:pPr>
              <w:suppressAutoHyphens/>
              <w:autoSpaceDE w:val="0"/>
              <w:autoSpaceDN w:val="0"/>
              <w:adjustRightInd w:val="0"/>
              <w:spacing w:before="120" w:after="240"/>
              <w:textAlignment w:val="center"/>
              <w:rPr>
                <w:rFonts w:cs="Calibri"/>
                <w:bCs/>
                <w:color w:val="414042" w:themeColor="text1"/>
                <w:sz w:val="28"/>
                <w:szCs w:val="28"/>
              </w:rPr>
            </w:pPr>
            <w:hyperlink w:anchor="_Building_our_organisational" w:history="1">
              <w:r w:rsidR="00740B4F" w:rsidRPr="008830AA">
                <w:rPr>
                  <w:rStyle w:val="Hyperlink"/>
                  <w:rFonts w:cs="Calibri"/>
                  <w:bCs/>
                  <w:color w:val="414042" w:themeColor="text1"/>
                  <w:sz w:val="28"/>
                  <w:szCs w:val="28"/>
                  <w:u w:val="none"/>
                </w:rPr>
                <w:t>Building our organisational capability</w:t>
              </w:r>
            </w:hyperlink>
          </w:p>
        </w:tc>
        <w:tc>
          <w:tcPr>
            <w:tcW w:w="735" w:type="pct"/>
            <w:tcBorders>
              <w:left w:val="nil"/>
              <w:right w:val="nil"/>
            </w:tcBorders>
            <w:shd w:val="clear" w:color="auto" w:fill="auto"/>
            <w:vAlign w:val="center"/>
          </w:tcPr>
          <w:p w14:paraId="621E3F19" w14:textId="41FEE145" w:rsidR="00740B4F" w:rsidRPr="008830AA" w:rsidRDefault="00086D38" w:rsidP="004C56F1">
            <w:pPr>
              <w:spacing w:after="0"/>
              <w:jc w:val="right"/>
              <w:rPr>
                <w:color w:val="414042" w:themeColor="text1"/>
              </w:rPr>
            </w:pPr>
            <w:hyperlink w:anchor="_Building_our_organisational" w:history="1">
              <w:r w:rsidR="00744795" w:rsidRPr="008830AA">
                <w:rPr>
                  <w:rStyle w:val="Hyperlink"/>
                  <w:color w:val="414042" w:themeColor="text1"/>
                  <w:u w:val="none"/>
                </w:rPr>
                <w:t>51</w:t>
              </w:r>
            </w:hyperlink>
          </w:p>
        </w:tc>
      </w:tr>
      <w:tr w:rsidR="00DF3006" w:rsidRPr="00DF3006" w14:paraId="7FB1459A" w14:textId="77777777" w:rsidTr="005848DF">
        <w:trPr>
          <w:trHeight w:val="794"/>
        </w:trPr>
        <w:tc>
          <w:tcPr>
            <w:tcW w:w="4265" w:type="pct"/>
            <w:tcBorders>
              <w:left w:val="nil"/>
              <w:right w:val="nil"/>
            </w:tcBorders>
            <w:shd w:val="clear" w:color="auto" w:fill="auto"/>
            <w:vAlign w:val="center"/>
          </w:tcPr>
          <w:p w14:paraId="46D5F539" w14:textId="135732C6" w:rsidR="00740B4F" w:rsidRPr="008830AA" w:rsidRDefault="00086D38" w:rsidP="00740B4F">
            <w:pPr>
              <w:suppressAutoHyphens/>
              <w:autoSpaceDE w:val="0"/>
              <w:autoSpaceDN w:val="0"/>
              <w:adjustRightInd w:val="0"/>
              <w:spacing w:before="120" w:after="240"/>
              <w:textAlignment w:val="center"/>
              <w:rPr>
                <w:rFonts w:cs="Calibri"/>
                <w:bCs/>
                <w:color w:val="414042" w:themeColor="text1"/>
                <w:sz w:val="28"/>
                <w:szCs w:val="28"/>
              </w:rPr>
            </w:pPr>
            <w:hyperlink w:anchor="_Governance_and_people" w:history="1">
              <w:r w:rsidR="00740B4F" w:rsidRPr="008830AA">
                <w:rPr>
                  <w:rStyle w:val="Hyperlink"/>
                  <w:rFonts w:cs="Calibri"/>
                  <w:bCs/>
                  <w:color w:val="414042" w:themeColor="text1"/>
                  <w:sz w:val="28"/>
                  <w:szCs w:val="28"/>
                  <w:u w:val="none"/>
                </w:rPr>
                <w:t>Governance and people</w:t>
              </w:r>
            </w:hyperlink>
          </w:p>
        </w:tc>
        <w:tc>
          <w:tcPr>
            <w:tcW w:w="735" w:type="pct"/>
            <w:tcBorders>
              <w:left w:val="nil"/>
              <w:bottom w:val="single" w:sz="4" w:space="0" w:color="auto"/>
              <w:right w:val="nil"/>
            </w:tcBorders>
            <w:shd w:val="clear" w:color="auto" w:fill="auto"/>
            <w:vAlign w:val="center"/>
          </w:tcPr>
          <w:p w14:paraId="192D7369" w14:textId="1595D7C7" w:rsidR="00740B4F" w:rsidRPr="008830AA" w:rsidRDefault="00086D38" w:rsidP="004C56F1">
            <w:pPr>
              <w:spacing w:after="0"/>
              <w:jc w:val="right"/>
              <w:rPr>
                <w:color w:val="414042" w:themeColor="text1"/>
              </w:rPr>
            </w:pPr>
            <w:hyperlink w:anchor="_Governance_and_people" w:history="1">
              <w:r w:rsidR="00744795" w:rsidRPr="008830AA">
                <w:rPr>
                  <w:rStyle w:val="Hyperlink"/>
                  <w:color w:val="414042" w:themeColor="text1"/>
                  <w:u w:val="none"/>
                </w:rPr>
                <w:t>58</w:t>
              </w:r>
            </w:hyperlink>
          </w:p>
        </w:tc>
      </w:tr>
      <w:tr w:rsidR="00DF3006" w:rsidRPr="00DF3006" w14:paraId="2846F598" w14:textId="77777777" w:rsidTr="005848DF">
        <w:trPr>
          <w:trHeight w:val="794"/>
        </w:trPr>
        <w:tc>
          <w:tcPr>
            <w:tcW w:w="4265" w:type="pct"/>
            <w:tcBorders>
              <w:left w:val="nil"/>
              <w:right w:val="nil"/>
            </w:tcBorders>
            <w:shd w:val="clear" w:color="auto" w:fill="auto"/>
            <w:vAlign w:val="center"/>
          </w:tcPr>
          <w:p w14:paraId="58DB1E11" w14:textId="1CF12039" w:rsidR="00E249E5" w:rsidRPr="008830AA" w:rsidRDefault="00086D38" w:rsidP="00E249E5">
            <w:pPr>
              <w:suppressAutoHyphens/>
              <w:autoSpaceDE w:val="0"/>
              <w:autoSpaceDN w:val="0"/>
              <w:adjustRightInd w:val="0"/>
              <w:spacing w:before="120" w:after="240"/>
              <w:textAlignment w:val="center"/>
              <w:rPr>
                <w:color w:val="414042" w:themeColor="text1"/>
              </w:rPr>
            </w:pPr>
            <w:hyperlink w:anchor="_Setting_our_strategic" w:history="1">
              <w:r w:rsidR="00E249E5" w:rsidRPr="008830AA">
                <w:rPr>
                  <w:rStyle w:val="Hyperlink"/>
                  <w:rFonts w:cs="Calibri"/>
                  <w:bCs/>
                  <w:color w:val="414042" w:themeColor="text1"/>
                  <w:sz w:val="28"/>
                  <w:szCs w:val="28"/>
                  <w:u w:val="none"/>
                </w:rPr>
                <w:t xml:space="preserve">Setting </w:t>
              </w:r>
              <w:r w:rsidR="00744795" w:rsidRPr="008830AA">
                <w:rPr>
                  <w:rStyle w:val="Hyperlink"/>
                  <w:rFonts w:cs="Calibri"/>
                  <w:bCs/>
                  <w:color w:val="414042" w:themeColor="text1"/>
                  <w:sz w:val="28"/>
                  <w:szCs w:val="28"/>
                  <w:u w:val="none"/>
                </w:rPr>
                <w:t>our</w:t>
              </w:r>
              <w:r w:rsidR="00E249E5" w:rsidRPr="008830AA">
                <w:rPr>
                  <w:rStyle w:val="Hyperlink"/>
                  <w:rFonts w:cs="Calibri"/>
                  <w:bCs/>
                  <w:color w:val="414042" w:themeColor="text1"/>
                  <w:sz w:val="28"/>
                  <w:szCs w:val="28"/>
                  <w:u w:val="none"/>
                </w:rPr>
                <w:t xml:space="preserve"> strategic direction</w:t>
              </w:r>
            </w:hyperlink>
          </w:p>
        </w:tc>
        <w:tc>
          <w:tcPr>
            <w:tcW w:w="735" w:type="pct"/>
            <w:tcBorders>
              <w:left w:val="nil"/>
              <w:bottom w:val="single" w:sz="4" w:space="0" w:color="auto"/>
              <w:right w:val="nil"/>
            </w:tcBorders>
            <w:shd w:val="clear" w:color="auto" w:fill="auto"/>
            <w:vAlign w:val="center"/>
          </w:tcPr>
          <w:p w14:paraId="691D68B6" w14:textId="57E072F3" w:rsidR="00E249E5" w:rsidRPr="008830AA" w:rsidRDefault="00086D38" w:rsidP="004C56F1">
            <w:pPr>
              <w:spacing w:after="0"/>
              <w:jc w:val="right"/>
              <w:rPr>
                <w:color w:val="414042" w:themeColor="text1"/>
              </w:rPr>
            </w:pPr>
            <w:hyperlink w:anchor="financialinformation" w:history="1">
              <w:r w:rsidR="00744795" w:rsidRPr="008830AA">
                <w:rPr>
                  <w:rStyle w:val="Hyperlink"/>
                  <w:color w:val="414042" w:themeColor="text1"/>
                  <w:u w:val="none"/>
                </w:rPr>
                <w:t>74</w:t>
              </w:r>
            </w:hyperlink>
          </w:p>
        </w:tc>
      </w:tr>
      <w:tr w:rsidR="00DF3006" w:rsidRPr="00DF3006" w14:paraId="5400ED00" w14:textId="77777777" w:rsidTr="005848DF">
        <w:trPr>
          <w:trHeight w:val="794"/>
        </w:trPr>
        <w:tc>
          <w:tcPr>
            <w:tcW w:w="4265" w:type="pct"/>
            <w:tcBorders>
              <w:left w:val="nil"/>
              <w:right w:val="nil"/>
            </w:tcBorders>
            <w:shd w:val="clear" w:color="auto" w:fill="auto"/>
            <w:vAlign w:val="center"/>
          </w:tcPr>
          <w:p w14:paraId="4EC82991" w14:textId="5D1C535A" w:rsidR="00E249E5" w:rsidRPr="008830AA" w:rsidRDefault="00086D38" w:rsidP="00E249E5">
            <w:pPr>
              <w:suppressAutoHyphens/>
              <w:autoSpaceDE w:val="0"/>
              <w:autoSpaceDN w:val="0"/>
              <w:adjustRightInd w:val="0"/>
              <w:spacing w:before="120" w:after="240"/>
              <w:textAlignment w:val="center"/>
              <w:rPr>
                <w:rFonts w:cs="Calibri"/>
                <w:bCs/>
                <w:color w:val="414042" w:themeColor="text1"/>
                <w:sz w:val="28"/>
                <w:szCs w:val="28"/>
              </w:rPr>
            </w:pPr>
            <w:hyperlink w:anchor="_Financial_information" w:history="1">
              <w:r w:rsidR="00E249E5" w:rsidRPr="008830AA">
                <w:rPr>
                  <w:rStyle w:val="Hyperlink"/>
                  <w:rFonts w:cs="Calibri"/>
                  <w:bCs/>
                  <w:color w:val="414042" w:themeColor="text1"/>
                  <w:sz w:val="28"/>
                  <w:szCs w:val="28"/>
                  <w:u w:val="none"/>
                </w:rPr>
                <w:t>Financial information</w:t>
              </w:r>
            </w:hyperlink>
          </w:p>
        </w:tc>
        <w:tc>
          <w:tcPr>
            <w:tcW w:w="735" w:type="pct"/>
            <w:tcBorders>
              <w:top w:val="single" w:sz="4" w:space="0" w:color="auto"/>
              <w:left w:val="nil"/>
              <w:right w:val="nil"/>
            </w:tcBorders>
            <w:shd w:val="clear" w:color="auto" w:fill="auto"/>
            <w:vAlign w:val="center"/>
          </w:tcPr>
          <w:p w14:paraId="6FEF8CFE" w14:textId="67D5207F" w:rsidR="00E249E5" w:rsidRPr="008830AA" w:rsidRDefault="00086D38" w:rsidP="004C56F1">
            <w:pPr>
              <w:spacing w:after="0"/>
              <w:jc w:val="right"/>
              <w:rPr>
                <w:color w:val="414042" w:themeColor="text1"/>
              </w:rPr>
            </w:pPr>
            <w:hyperlink w:anchor="_Financial_information" w:history="1">
              <w:r w:rsidR="00744795" w:rsidRPr="008830AA">
                <w:rPr>
                  <w:rStyle w:val="Hyperlink"/>
                  <w:color w:val="414042" w:themeColor="text1"/>
                  <w:u w:val="none"/>
                </w:rPr>
                <w:t>81</w:t>
              </w:r>
            </w:hyperlink>
          </w:p>
        </w:tc>
      </w:tr>
      <w:tr w:rsidR="00DF3006" w:rsidRPr="00DF3006" w14:paraId="47222F2F" w14:textId="77777777" w:rsidTr="005848DF">
        <w:trPr>
          <w:trHeight w:val="794"/>
        </w:trPr>
        <w:tc>
          <w:tcPr>
            <w:tcW w:w="4265" w:type="pct"/>
            <w:tcBorders>
              <w:left w:val="nil"/>
              <w:right w:val="nil"/>
            </w:tcBorders>
            <w:shd w:val="clear" w:color="auto" w:fill="auto"/>
            <w:vAlign w:val="center"/>
          </w:tcPr>
          <w:p w14:paraId="4290F53D" w14:textId="7DF08CC5" w:rsidR="00E249E5" w:rsidRPr="008830AA" w:rsidRDefault="00086D38" w:rsidP="00E249E5">
            <w:pPr>
              <w:suppressAutoHyphens/>
              <w:autoSpaceDE w:val="0"/>
              <w:autoSpaceDN w:val="0"/>
              <w:adjustRightInd w:val="0"/>
              <w:spacing w:before="120" w:after="240"/>
              <w:textAlignment w:val="center"/>
              <w:rPr>
                <w:rFonts w:cs="Calibri"/>
                <w:bCs/>
                <w:color w:val="414042" w:themeColor="text1"/>
                <w:sz w:val="28"/>
                <w:szCs w:val="28"/>
              </w:rPr>
            </w:pPr>
            <w:hyperlink w:anchor="_Appendices" w:history="1">
              <w:r w:rsidR="00E249E5" w:rsidRPr="008830AA">
                <w:rPr>
                  <w:rStyle w:val="Hyperlink"/>
                  <w:rFonts w:cs="Calibri"/>
                  <w:bCs/>
                  <w:color w:val="414042" w:themeColor="text1"/>
                  <w:sz w:val="28"/>
                  <w:szCs w:val="28"/>
                  <w:u w:val="none"/>
                </w:rPr>
                <w:t>Appendices</w:t>
              </w:r>
            </w:hyperlink>
          </w:p>
        </w:tc>
        <w:tc>
          <w:tcPr>
            <w:tcW w:w="735" w:type="pct"/>
            <w:tcBorders>
              <w:left w:val="nil"/>
              <w:right w:val="nil"/>
            </w:tcBorders>
            <w:shd w:val="clear" w:color="auto" w:fill="auto"/>
            <w:vAlign w:val="center"/>
          </w:tcPr>
          <w:p w14:paraId="4E1CEFA3" w14:textId="188F15CB" w:rsidR="00E249E5" w:rsidRPr="008830AA" w:rsidRDefault="00086D38" w:rsidP="004C56F1">
            <w:pPr>
              <w:spacing w:after="0"/>
              <w:jc w:val="right"/>
              <w:rPr>
                <w:color w:val="414042" w:themeColor="text1"/>
              </w:rPr>
            </w:pPr>
            <w:hyperlink w:anchor="financialstatements" w:history="1">
              <w:r w:rsidR="00744795" w:rsidRPr="008830AA">
                <w:rPr>
                  <w:rStyle w:val="Hyperlink"/>
                  <w:color w:val="414042" w:themeColor="text1"/>
                  <w:u w:val="none"/>
                </w:rPr>
                <w:t>120</w:t>
              </w:r>
            </w:hyperlink>
          </w:p>
        </w:tc>
      </w:tr>
    </w:tbl>
    <w:p w14:paraId="15727EC4" w14:textId="3E5DE59F" w:rsidR="00740B4F" w:rsidRPr="00DF3006" w:rsidRDefault="00705AC0" w:rsidP="00705AC0">
      <w:pPr>
        <w:rPr>
          <w:color w:val="414042" w:themeColor="text1"/>
        </w:rPr>
      </w:pPr>
      <w:r w:rsidRPr="00DF3006">
        <w:rPr>
          <w:color w:val="414042" w:themeColor="text1"/>
        </w:rPr>
        <w:t>.</w:t>
      </w:r>
    </w:p>
    <w:p w14:paraId="3F236752" w14:textId="77777777" w:rsidR="00986531" w:rsidRPr="00DF3006" w:rsidRDefault="00986531">
      <w:pPr>
        <w:spacing w:before="120" w:after="0" w:line="260" w:lineRule="exact"/>
        <w:rPr>
          <w:color w:val="414042" w:themeColor="text1"/>
        </w:rPr>
      </w:pPr>
    </w:p>
    <w:p w14:paraId="32F25DE3" w14:textId="5389E058" w:rsidR="00C04288" w:rsidRPr="00DF3006" w:rsidRDefault="00C04288">
      <w:pPr>
        <w:spacing w:before="120" w:after="0" w:line="260" w:lineRule="exact"/>
        <w:rPr>
          <w:color w:val="414042" w:themeColor="text1"/>
        </w:rPr>
      </w:pPr>
    </w:p>
    <w:p w14:paraId="6B7063A9" w14:textId="77777777" w:rsidR="00C04288" w:rsidRPr="00DF3006" w:rsidRDefault="00C04288">
      <w:pPr>
        <w:spacing w:before="120" w:after="0" w:line="260" w:lineRule="exact"/>
        <w:rPr>
          <w:color w:val="414042" w:themeColor="text1"/>
        </w:rPr>
      </w:pPr>
      <w:r w:rsidRPr="00DF3006">
        <w:rPr>
          <w:color w:val="414042" w:themeColor="text1"/>
        </w:rPr>
        <w:br w:type="page"/>
      </w:r>
    </w:p>
    <w:p w14:paraId="0190E0E7" w14:textId="77777777" w:rsidR="00C04288" w:rsidRPr="00DF3006" w:rsidRDefault="00C04288">
      <w:pPr>
        <w:spacing w:before="120" w:after="0" w:line="260" w:lineRule="exact"/>
        <w:rPr>
          <w:color w:val="414042" w:themeColor="text1"/>
        </w:rPr>
        <w:sectPr w:rsidR="00C04288" w:rsidRPr="00DF3006" w:rsidSect="00C77834">
          <w:headerReference w:type="even" r:id="rId20"/>
          <w:headerReference w:type="default" r:id="rId21"/>
          <w:footerReference w:type="even" r:id="rId22"/>
          <w:footerReference w:type="default" r:id="rId23"/>
          <w:headerReference w:type="first" r:id="rId24"/>
          <w:footerReference w:type="first" r:id="rId25"/>
          <w:type w:val="continuous"/>
          <w:pgSz w:w="11906" w:h="16838"/>
          <w:pgMar w:top="2155" w:right="1134" w:bottom="964" w:left="1134" w:header="709" w:footer="283" w:gutter="0"/>
          <w:cols w:space="567"/>
          <w:docGrid w:linePitch="360"/>
        </w:sectPr>
      </w:pPr>
    </w:p>
    <w:tbl>
      <w:tblPr>
        <w:tblW w:w="0" w:type="auto"/>
        <w:shd w:val="clear" w:color="auto" w:fill="E6E7E8" w:themeFill="background2"/>
        <w:tblLook w:val="04A0" w:firstRow="1" w:lastRow="0" w:firstColumn="1" w:lastColumn="0" w:noHBand="0" w:noVBand="1"/>
      </w:tblPr>
      <w:tblGrid>
        <w:gridCol w:w="4535"/>
      </w:tblGrid>
      <w:tr w:rsidR="00DF3006" w:rsidRPr="00DF3006" w14:paraId="691FF5F5" w14:textId="77777777" w:rsidTr="00913BBD">
        <w:tc>
          <w:tcPr>
            <w:tcW w:w="4535" w:type="dxa"/>
            <w:shd w:val="clear" w:color="auto" w:fill="E6E7E8" w:themeFill="accent6"/>
          </w:tcPr>
          <w:p w14:paraId="172EA5F1" w14:textId="77777777" w:rsidR="00C04288" w:rsidRPr="00DF3006" w:rsidRDefault="00C04288" w:rsidP="00913BBD">
            <w:pPr>
              <w:shd w:val="clear" w:color="auto" w:fill="E6E7E8" w:themeFill="accent6"/>
              <w:spacing w:before="120" w:after="0" w:line="260" w:lineRule="exact"/>
              <w:rPr>
                <w:rFonts w:asciiTheme="majorHAnsi" w:hAnsiTheme="majorHAnsi" w:cstheme="majorHAnsi"/>
                <w:b/>
                <w:bCs/>
                <w:color w:val="414042" w:themeColor="text1"/>
              </w:rPr>
            </w:pPr>
          </w:p>
          <w:p w14:paraId="2D672374" w14:textId="6C4B050B" w:rsidR="00D92454" w:rsidRPr="00E6066A" w:rsidRDefault="00D92454" w:rsidP="00E6066A">
            <w:pPr>
              <w:pStyle w:val="BODY"/>
              <w:ind w:firstLine="184"/>
              <w:rPr>
                <w:rFonts w:asciiTheme="minorHAnsi" w:hAnsiTheme="minorHAnsi" w:cstheme="minorHAnsi"/>
                <w:b/>
                <w:bCs/>
                <w:color w:val="414042" w:themeColor="text1"/>
                <w:sz w:val="28"/>
                <w:szCs w:val="28"/>
              </w:rPr>
            </w:pPr>
            <w:r w:rsidRPr="00E6066A">
              <w:rPr>
                <w:rFonts w:asciiTheme="minorHAnsi" w:hAnsiTheme="minorHAnsi" w:cstheme="minorHAnsi"/>
                <w:b/>
                <w:bCs/>
                <w:color w:val="414042" w:themeColor="text1"/>
                <w:sz w:val="28"/>
                <w:szCs w:val="28"/>
              </w:rPr>
              <w:t>Letter of compliance</w:t>
            </w:r>
          </w:p>
          <w:p w14:paraId="3D817312" w14:textId="1DFD5497" w:rsidR="00D92454" w:rsidRPr="00DF3006" w:rsidRDefault="00DE2B68" w:rsidP="00DE2B68">
            <w:pPr>
              <w:shd w:val="clear" w:color="auto" w:fill="E6E7E8" w:themeFill="accent6"/>
              <w:spacing w:before="240"/>
              <w:ind w:left="177" w:right="173"/>
              <w:rPr>
                <w:rFonts w:asciiTheme="majorHAnsi" w:hAnsiTheme="majorHAnsi" w:cstheme="majorHAnsi"/>
                <w:color w:val="414042" w:themeColor="text1"/>
              </w:rPr>
            </w:pPr>
            <w:r w:rsidRPr="00DF3006">
              <w:rPr>
                <w:rFonts w:asciiTheme="majorHAnsi" w:hAnsiTheme="majorHAnsi" w:cstheme="majorHAnsi"/>
                <w:color w:val="414042" w:themeColor="text1"/>
                <w:highlight w:val="red"/>
              </w:rPr>
              <w:br/>
            </w:r>
            <w:r w:rsidR="00D92454" w:rsidRPr="00C923CE">
              <w:rPr>
                <w:rFonts w:asciiTheme="majorHAnsi" w:hAnsiTheme="majorHAnsi" w:cstheme="majorHAnsi"/>
                <w:color w:val="414042" w:themeColor="text1"/>
              </w:rPr>
              <w:t>3</w:t>
            </w:r>
            <w:r w:rsidR="00C923CE">
              <w:rPr>
                <w:rFonts w:asciiTheme="majorHAnsi" w:hAnsiTheme="majorHAnsi" w:cstheme="majorHAnsi"/>
                <w:color w:val="414042" w:themeColor="text1"/>
              </w:rPr>
              <w:t>0</w:t>
            </w:r>
            <w:r w:rsidR="00D92454" w:rsidRPr="00C923CE">
              <w:rPr>
                <w:rFonts w:asciiTheme="majorHAnsi" w:hAnsiTheme="majorHAnsi" w:cstheme="majorHAnsi"/>
                <w:color w:val="414042" w:themeColor="text1"/>
              </w:rPr>
              <w:t xml:space="preserve"> </w:t>
            </w:r>
            <w:r w:rsidR="00D92454" w:rsidRPr="00DF3006">
              <w:rPr>
                <w:rFonts w:asciiTheme="majorHAnsi" w:hAnsiTheme="majorHAnsi" w:cstheme="majorHAnsi"/>
                <w:color w:val="414042" w:themeColor="text1"/>
              </w:rPr>
              <w:t>August 2023</w:t>
            </w:r>
          </w:p>
          <w:p w14:paraId="6880BCFE" w14:textId="77777777" w:rsidR="00D92454" w:rsidRPr="00DF3006" w:rsidRDefault="00D92454" w:rsidP="00420125">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 xml:space="preserve">The Honourable Yvette </w:t>
            </w:r>
            <w:proofErr w:type="spellStart"/>
            <w:r w:rsidRPr="00DF3006">
              <w:rPr>
                <w:rFonts w:asciiTheme="majorHAnsi" w:hAnsiTheme="majorHAnsi" w:cstheme="majorHAnsi"/>
                <w:color w:val="414042" w:themeColor="text1"/>
              </w:rPr>
              <w:t>D'Ath</w:t>
            </w:r>
            <w:proofErr w:type="spellEnd"/>
            <w:r w:rsidRPr="00DF3006">
              <w:rPr>
                <w:rFonts w:asciiTheme="majorHAnsi" w:hAnsiTheme="majorHAnsi" w:cstheme="majorHAnsi"/>
                <w:color w:val="414042" w:themeColor="text1"/>
              </w:rPr>
              <w:t xml:space="preserve"> MP</w:t>
            </w:r>
          </w:p>
          <w:p w14:paraId="2DDF58E1" w14:textId="55D43653" w:rsidR="00D92454" w:rsidRPr="00DF3006" w:rsidRDefault="00D92454" w:rsidP="00420125">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Attorney-General and Minister for Justice,</w:t>
            </w:r>
            <w:r w:rsidRPr="00DF3006">
              <w:rPr>
                <w:rFonts w:asciiTheme="majorHAnsi" w:hAnsiTheme="majorHAnsi" w:cstheme="majorHAnsi"/>
                <w:color w:val="414042" w:themeColor="text1"/>
              </w:rPr>
              <w:br/>
              <w:t xml:space="preserve">and Minister for the Prevention of Domestic </w:t>
            </w:r>
            <w:r w:rsidR="00420125" w:rsidRPr="00DF3006">
              <w:rPr>
                <w:rFonts w:asciiTheme="majorHAnsi" w:hAnsiTheme="majorHAnsi" w:cstheme="majorHAnsi"/>
                <w:color w:val="414042" w:themeColor="text1"/>
              </w:rPr>
              <w:br/>
            </w:r>
            <w:r w:rsidRPr="00DF3006">
              <w:rPr>
                <w:rFonts w:asciiTheme="majorHAnsi" w:hAnsiTheme="majorHAnsi" w:cstheme="majorHAnsi"/>
                <w:color w:val="414042" w:themeColor="text1"/>
              </w:rPr>
              <w:t>and Family Violence</w:t>
            </w:r>
          </w:p>
          <w:p w14:paraId="5B848E2F" w14:textId="6CAC6377" w:rsidR="006116DC" w:rsidRPr="00DF3006" w:rsidRDefault="006116DC" w:rsidP="00420125">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Leader of the House</w:t>
            </w:r>
          </w:p>
          <w:p w14:paraId="6C618C33" w14:textId="77777777" w:rsidR="00D92454" w:rsidRPr="00DF3006" w:rsidRDefault="00D92454" w:rsidP="00420125">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1 William Street Brisbane Qld 4000</w:t>
            </w:r>
          </w:p>
          <w:p w14:paraId="754C5FE8" w14:textId="77777777" w:rsidR="00D92454" w:rsidRPr="00DF3006" w:rsidRDefault="00D92454" w:rsidP="00DE2B68">
            <w:pPr>
              <w:shd w:val="clear" w:color="auto" w:fill="E6E7E8" w:themeFill="accent6"/>
              <w:ind w:left="177" w:right="173"/>
              <w:rPr>
                <w:rFonts w:asciiTheme="majorHAnsi" w:hAnsiTheme="majorHAnsi" w:cstheme="majorHAnsi"/>
                <w:color w:val="414042" w:themeColor="text1"/>
              </w:rPr>
            </w:pPr>
          </w:p>
          <w:p w14:paraId="0E085054" w14:textId="77777777" w:rsidR="00D92454" w:rsidRPr="00DF3006" w:rsidRDefault="00D92454" w:rsidP="00DE2B68">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Dear Attorney-General</w:t>
            </w:r>
          </w:p>
          <w:p w14:paraId="6FFE6288" w14:textId="448ACB35" w:rsidR="00D92454" w:rsidRPr="00DF3006" w:rsidRDefault="00D92454" w:rsidP="00DE2B68">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I am pleased to submit for presentation to the Parliament the Annual Report 2022–23 and financial statements for the Crime and Corruption Commission for the reporting period 1 July 2022 to 30 June 2023.</w:t>
            </w:r>
          </w:p>
          <w:p w14:paraId="0D16E835" w14:textId="77777777" w:rsidR="00D92454" w:rsidRPr="00DF3006" w:rsidRDefault="00D92454" w:rsidP="00DE2B68">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I certify that this Annual Report complies with:</w:t>
            </w:r>
          </w:p>
          <w:p w14:paraId="42D6E2D7" w14:textId="7281FB3B" w:rsidR="00D92454" w:rsidRPr="00DF3006" w:rsidRDefault="00D92454" w:rsidP="00DE2B68">
            <w:pPr>
              <w:pStyle w:val="Bullets"/>
              <w:ind w:right="173"/>
              <w:rPr>
                <w:color w:val="414042" w:themeColor="text1"/>
              </w:rPr>
            </w:pPr>
            <w:r w:rsidRPr="00DF3006">
              <w:rPr>
                <w:color w:val="414042" w:themeColor="text1"/>
              </w:rPr>
              <w:t xml:space="preserve">the prescribed requirements of the </w:t>
            </w:r>
            <w:r w:rsidRPr="00DF3006">
              <w:rPr>
                <w:i/>
                <w:iCs/>
                <w:color w:val="414042" w:themeColor="text1"/>
              </w:rPr>
              <w:t>Financial Accountability Act 2009</w:t>
            </w:r>
            <w:r w:rsidRPr="00DF3006">
              <w:rPr>
                <w:color w:val="414042" w:themeColor="text1"/>
              </w:rPr>
              <w:t xml:space="preserve"> </w:t>
            </w:r>
            <w:r w:rsidR="00462084" w:rsidRPr="00DF3006">
              <w:rPr>
                <w:color w:val="414042" w:themeColor="text1"/>
              </w:rPr>
              <w:t xml:space="preserve">(Qld) </w:t>
            </w:r>
            <w:r w:rsidRPr="00DF3006">
              <w:rPr>
                <w:color w:val="414042" w:themeColor="text1"/>
              </w:rPr>
              <w:t xml:space="preserve">and the </w:t>
            </w:r>
            <w:r w:rsidRPr="00DF3006">
              <w:rPr>
                <w:i/>
                <w:iCs/>
                <w:color w:val="414042" w:themeColor="text1"/>
              </w:rPr>
              <w:t>Financial and Performance Management Standard 2019</w:t>
            </w:r>
            <w:r w:rsidR="00462084" w:rsidRPr="00DF3006">
              <w:rPr>
                <w:color w:val="414042" w:themeColor="text1"/>
              </w:rPr>
              <w:t xml:space="preserve"> (Qld)</w:t>
            </w:r>
            <w:r w:rsidRPr="00DF3006">
              <w:rPr>
                <w:color w:val="414042" w:themeColor="text1"/>
              </w:rPr>
              <w:t>, and</w:t>
            </w:r>
          </w:p>
          <w:p w14:paraId="48C924AD" w14:textId="1D0488F1" w:rsidR="00D92454" w:rsidRPr="00DF3006" w:rsidRDefault="00D92454" w:rsidP="00DE2B68">
            <w:pPr>
              <w:pStyle w:val="Bullets"/>
              <w:ind w:right="173"/>
              <w:rPr>
                <w:color w:val="414042" w:themeColor="text1"/>
              </w:rPr>
            </w:pPr>
            <w:r w:rsidRPr="00DF3006">
              <w:rPr>
                <w:color w:val="414042" w:themeColor="text1"/>
              </w:rPr>
              <w:t xml:space="preserve">the detailed requirements set out in the </w:t>
            </w:r>
            <w:r w:rsidRPr="00DF3006">
              <w:rPr>
                <w:i/>
                <w:iCs/>
                <w:color w:val="414042" w:themeColor="text1"/>
              </w:rPr>
              <w:t>Annual report requirements for Queensland Government agencies</w:t>
            </w:r>
            <w:r w:rsidRPr="00DF3006">
              <w:rPr>
                <w:color w:val="414042" w:themeColor="text1"/>
              </w:rPr>
              <w:t>.</w:t>
            </w:r>
          </w:p>
          <w:p w14:paraId="6790E121" w14:textId="14CC6737" w:rsidR="00D92454" w:rsidRPr="00DF3006" w:rsidRDefault="00D92454" w:rsidP="00DE2B68">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 xml:space="preserve">A checklist outlining the annual reporting requirements can be accessed at page </w:t>
            </w:r>
            <w:r w:rsidR="00596E3B" w:rsidRPr="00DF3006">
              <w:rPr>
                <w:rFonts w:asciiTheme="majorHAnsi" w:hAnsiTheme="majorHAnsi" w:cstheme="majorHAnsi"/>
                <w:color w:val="414042" w:themeColor="text1"/>
              </w:rPr>
              <w:t>126</w:t>
            </w:r>
            <w:r w:rsidRPr="00DF3006">
              <w:rPr>
                <w:rFonts w:asciiTheme="majorHAnsi" w:hAnsiTheme="majorHAnsi" w:cstheme="majorHAnsi"/>
                <w:color w:val="414042" w:themeColor="text1"/>
              </w:rPr>
              <w:t xml:space="preserve"> of this annual report.</w:t>
            </w:r>
          </w:p>
          <w:p w14:paraId="3C19987D" w14:textId="77777777" w:rsidR="00D92454" w:rsidRPr="00DF3006" w:rsidRDefault="00D92454" w:rsidP="00DE2B68">
            <w:pPr>
              <w:shd w:val="clear" w:color="auto" w:fill="E6E7E8" w:themeFill="accent6"/>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Yours sincerely</w:t>
            </w:r>
          </w:p>
          <w:p w14:paraId="7B80FEC6" w14:textId="77777777" w:rsidR="00C923CE" w:rsidRDefault="00C923CE" w:rsidP="00DE2B68">
            <w:pPr>
              <w:shd w:val="clear" w:color="auto" w:fill="E6E7E8" w:themeFill="accent6"/>
              <w:spacing w:after="120"/>
              <w:ind w:left="177" w:right="173"/>
              <w:rPr>
                <w:rFonts w:asciiTheme="majorHAnsi" w:hAnsiTheme="majorHAnsi" w:cstheme="majorHAnsi"/>
                <w:b/>
                <w:bCs/>
                <w:color w:val="414042" w:themeColor="text1"/>
              </w:rPr>
            </w:pPr>
            <w:r>
              <w:rPr>
                <w:rFonts w:asciiTheme="majorHAnsi" w:hAnsiTheme="majorHAnsi" w:cstheme="majorHAnsi"/>
                <w:b/>
                <w:bCs/>
                <w:noProof/>
                <w:color w:val="414042" w:themeColor="text1"/>
              </w:rPr>
              <w:drawing>
                <wp:inline distT="0" distB="0" distL="0" distR="0" wp14:anchorId="09D2BE7C" wp14:editId="74E24AC6">
                  <wp:extent cx="1330426" cy="401540"/>
                  <wp:effectExtent l="0" t="0" r="0" b="0"/>
                  <wp:docPr id="2942" name="Picture 2942"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ature&#10;&#10;Description automatically generated"/>
                          <pic:cNvPicPr/>
                        </pic:nvPicPr>
                        <pic:blipFill>
                          <a:blip r:embed="rId26">
                            <a:extLst>
                              <a:ext uri="{BEBA8EAE-BF5A-486C-A8C5-ECC9F3942E4B}">
                                <a14:imgProps xmlns:a14="http://schemas.microsoft.com/office/drawing/2010/main">
                                  <a14:imgLayer r:embed="rId27">
                                    <a14:imgEffect>
                                      <a14:backgroundRemoval t="9023" b="89474" l="2961" r="91800">
                                        <a14:foregroundMark x1="28246" y1="19549" x2="27790" y2="57143"/>
                                        <a14:foregroundMark x1="4744" y1="45113" x2="5458" y2="48910"/>
                                        <a14:foregroundMark x1="3189" y1="36842" x2="4744" y2="45113"/>
                                        <a14:foregroundMark x1="87472" y1="42105" x2="91800" y2="30075"/>
                                        <a14:backgroundMark x1="5467" y1="48872" x2="8884" y2="51880"/>
                                        <a14:backgroundMark x1="4556" y1="45113" x2="4556" y2="45113"/>
                                        <a14:backgroundMark x1="5239" y1="50376" x2="4784" y2="42105"/>
                                      </a14:backgroundRemoval>
                                    </a14:imgEffect>
                                  </a14:imgLayer>
                                </a14:imgProps>
                              </a:ext>
                              <a:ext uri="{28A0092B-C50C-407E-A947-70E740481C1C}">
                                <a14:useLocalDpi xmlns:a14="http://schemas.microsoft.com/office/drawing/2010/main" val="0"/>
                              </a:ext>
                            </a:extLst>
                          </a:blip>
                          <a:stretch>
                            <a:fillRect/>
                          </a:stretch>
                        </pic:blipFill>
                        <pic:spPr>
                          <a:xfrm>
                            <a:off x="0" y="0"/>
                            <a:ext cx="1363597" cy="411551"/>
                          </a:xfrm>
                          <a:prstGeom prst="rect">
                            <a:avLst/>
                          </a:prstGeom>
                        </pic:spPr>
                      </pic:pic>
                    </a:graphicData>
                  </a:graphic>
                </wp:inline>
              </w:drawing>
            </w:r>
          </w:p>
          <w:p w14:paraId="218DF27A" w14:textId="36A1E2A7" w:rsidR="00D92454" w:rsidRPr="00DF3006" w:rsidRDefault="00D92454" w:rsidP="00DE2B68">
            <w:pPr>
              <w:shd w:val="clear" w:color="auto" w:fill="E6E7E8" w:themeFill="accent6"/>
              <w:spacing w:after="120"/>
              <w:ind w:left="177" w:right="173"/>
              <w:rPr>
                <w:rFonts w:asciiTheme="majorHAnsi" w:hAnsiTheme="majorHAnsi" w:cstheme="majorHAnsi"/>
                <w:b/>
                <w:bCs/>
                <w:color w:val="414042" w:themeColor="text1"/>
              </w:rPr>
            </w:pPr>
            <w:r w:rsidRPr="00DF3006">
              <w:rPr>
                <w:rFonts w:asciiTheme="majorHAnsi" w:hAnsiTheme="majorHAnsi" w:cstheme="majorHAnsi"/>
                <w:b/>
                <w:bCs/>
                <w:color w:val="414042" w:themeColor="text1"/>
              </w:rPr>
              <w:t>Bruce Barbour</w:t>
            </w:r>
          </w:p>
          <w:p w14:paraId="450A23E5" w14:textId="56E8009F" w:rsidR="00D92454" w:rsidRPr="00DF3006" w:rsidRDefault="00D92454" w:rsidP="00420125">
            <w:pPr>
              <w:shd w:val="clear" w:color="auto" w:fill="E6E7E8" w:themeFill="accent6"/>
              <w:spacing w:after="120"/>
              <w:ind w:left="177" w:right="173"/>
              <w:rPr>
                <w:rFonts w:asciiTheme="majorHAnsi" w:hAnsiTheme="majorHAnsi" w:cstheme="majorHAnsi"/>
                <w:color w:val="414042" w:themeColor="text1"/>
              </w:rPr>
            </w:pPr>
            <w:r w:rsidRPr="00DF3006">
              <w:rPr>
                <w:rFonts w:asciiTheme="majorHAnsi" w:hAnsiTheme="majorHAnsi" w:cstheme="majorHAnsi"/>
                <w:color w:val="414042" w:themeColor="text1"/>
              </w:rPr>
              <w:t>Chairperson</w:t>
            </w:r>
            <w:r w:rsidR="00420125" w:rsidRPr="00DF3006">
              <w:rPr>
                <w:rFonts w:asciiTheme="majorHAnsi" w:hAnsiTheme="majorHAnsi" w:cstheme="majorHAnsi"/>
                <w:color w:val="414042" w:themeColor="text1"/>
              </w:rPr>
              <w:br/>
            </w:r>
            <w:r w:rsidRPr="00DF3006">
              <w:rPr>
                <w:rFonts w:asciiTheme="majorHAnsi" w:hAnsiTheme="majorHAnsi" w:cstheme="majorHAnsi"/>
                <w:color w:val="414042" w:themeColor="text1"/>
              </w:rPr>
              <w:t>Crime and Corruption Commission</w:t>
            </w:r>
          </w:p>
          <w:p w14:paraId="1D6CC1FC" w14:textId="705A9B70" w:rsidR="00420125" w:rsidRPr="00DF3006" w:rsidRDefault="00420125" w:rsidP="00420125">
            <w:pPr>
              <w:shd w:val="clear" w:color="auto" w:fill="E6E7E8" w:themeFill="accent6"/>
              <w:spacing w:after="120"/>
              <w:ind w:left="177" w:right="173"/>
              <w:rPr>
                <w:rFonts w:asciiTheme="majorHAnsi" w:hAnsiTheme="majorHAnsi" w:cstheme="majorHAnsi"/>
                <w:color w:val="414042" w:themeColor="text1"/>
              </w:rPr>
            </w:pPr>
          </w:p>
          <w:p w14:paraId="5F0A0F0C" w14:textId="1FF026D6" w:rsidR="00420125" w:rsidRPr="00DF3006" w:rsidRDefault="00420125" w:rsidP="00420125">
            <w:pPr>
              <w:shd w:val="clear" w:color="auto" w:fill="E6E7E8" w:themeFill="accent6"/>
              <w:spacing w:after="120"/>
              <w:ind w:left="177" w:right="173"/>
              <w:rPr>
                <w:rFonts w:asciiTheme="majorHAnsi" w:hAnsiTheme="majorHAnsi" w:cstheme="majorHAnsi"/>
                <w:color w:val="414042" w:themeColor="text1"/>
              </w:rPr>
            </w:pPr>
          </w:p>
          <w:p w14:paraId="5B0EB3A9" w14:textId="5E0F4504" w:rsidR="00420125" w:rsidRPr="00DF3006" w:rsidRDefault="00420125" w:rsidP="00420125">
            <w:pPr>
              <w:shd w:val="clear" w:color="auto" w:fill="E6E7E8" w:themeFill="accent6"/>
              <w:spacing w:after="120"/>
              <w:ind w:left="177" w:right="173"/>
              <w:rPr>
                <w:rFonts w:asciiTheme="majorHAnsi" w:hAnsiTheme="majorHAnsi" w:cstheme="majorHAnsi"/>
                <w:color w:val="414042" w:themeColor="text1"/>
              </w:rPr>
            </w:pPr>
          </w:p>
          <w:p w14:paraId="4D824E31" w14:textId="77777777" w:rsidR="00420125" w:rsidRPr="00DF3006" w:rsidRDefault="00420125" w:rsidP="00420125">
            <w:pPr>
              <w:shd w:val="clear" w:color="auto" w:fill="E6E7E8" w:themeFill="accent6"/>
              <w:spacing w:after="120"/>
              <w:ind w:right="173"/>
              <w:rPr>
                <w:rFonts w:asciiTheme="majorHAnsi" w:hAnsiTheme="majorHAnsi" w:cstheme="majorHAnsi"/>
                <w:color w:val="414042" w:themeColor="text1"/>
              </w:rPr>
            </w:pPr>
          </w:p>
          <w:p w14:paraId="7A45F6F4" w14:textId="294D8510" w:rsidR="00DE2B68" w:rsidRPr="00DF3006" w:rsidRDefault="00DE2B68" w:rsidP="00913BBD">
            <w:pPr>
              <w:shd w:val="clear" w:color="auto" w:fill="E6E7E8" w:themeFill="accent6"/>
              <w:spacing w:before="120" w:after="0" w:line="260" w:lineRule="exact"/>
              <w:rPr>
                <w:color w:val="414042" w:themeColor="text1"/>
              </w:rPr>
            </w:pPr>
          </w:p>
        </w:tc>
      </w:tr>
    </w:tbl>
    <w:p w14:paraId="021904A3" w14:textId="76C4D923" w:rsidR="00D92454" w:rsidRPr="00DF3006" w:rsidRDefault="00D92454" w:rsidP="00E6066A">
      <w:pPr>
        <w:pStyle w:val="Heading3"/>
      </w:pPr>
      <w:r w:rsidRPr="00DF3006">
        <w:t>About this report</w:t>
      </w:r>
    </w:p>
    <w:p w14:paraId="14D384A9" w14:textId="7E118494" w:rsidR="00D92454" w:rsidRPr="00DF3006" w:rsidRDefault="00D92454" w:rsidP="00D92454">
      <w:pPr>
        <w:ind w:right="-143"/>
        <w:rPr>
          <w:color w:val="414042" w:themeColor="text1"/>
        </w:rPr>
      </w:pPr>
      <w:r w:rsidRPr="00DF3006">
        <w:rPr>
          <w:color w:val="414042" w:themeColor="text1"/>
        </w:rPr>
        <w:t xml:space="preserve">This annual report assesses our agency’s performance against our strategic objectives, including performance indicators aligning with our </w:t>
      </w:r>
      <w:r w:rsidRPr="00DF3006">
        <w:rPr>
          <w:i/>
          <w:iCs/>
          <w:color w:val="414042" w:themeColor="text1"/>
          <w:u w:color="BCBEC0" w:themeColor="accent5"/>
        </w:rPr>
        <w:t>Strategic Plan 2022–26</w:t>
      </w:r>
      <w:r w:rsidRPr="00DF3006">
        <w:rPr>
          <w:color w:val="414042" w:themeColor="text1"/>
        </w:rPr>
        <w:t xml:space="preserve">, </w:t>
      </w:r>
      <w:r w:rsidRPr="00DF3006">
        <w:rPr>
          <w:color w:val="414042" w:themeColor="text1"/>
        </w:rPr>
        <w:br/>
      </w:r>
      <w:r w:rsidRPr="00DF3006">
        <w:rPr>
          <w:i/>
          <w:iCs/>
          <w:color w:val="414042" w:themeColor="text1"/>
        </w:rPr>
        <w:t>Operational Plan 2022–23</w:t>
      </w:r>
      <w:r w:rsidRPr="00DF3006">
        <w:rPr>
          <w:color w:val="414042" w:themeColor="text1"/>
        </w:rPr>
        <w:t xml:space="preserve">, and </w:t>
      </w:r>
      <w:r w:rsidRPr="00DF3006">
        <w:rPr>
          <w:i/>
          <w:iCs/>
          <w:color w:val="414042" w:themeColor="text1"/>
        </w:rPr>
        <w:t>Service Delivery Statement 2022–23</w:t>
      </w:r>
      <w:r w:rsidRPr="00DF3006">
        <w:rPr>
          <w:color w:val="414042" w:themeColor="text1"/>
        </w:rPr>
        <w:t>. This report includes both qualitative and quantitative performance information demonstrating our commitment to comba</w:t>
      </w:r>
      <w:r w:rsidR="00AF3176" w:rsidRPr="00DF3006">
        <w:rPr>
          <w:color w:val="414042" w:themeColor="text1"/>
        </w:rPr>
        <w:t>t</w:t>
      </w:r>
      <w:r w:rsidRPr="00DF3006">
        <w:rPr>
          <w:color w:val="414042" w:themeColor="text1"/>
        </w:rPr>
        <w:t>ing major crime and reducing corruption for the benefit of the Queensland community.</w:t>
      </w:r>
    </w:p>
    <w:p w14:paraId="1194F7A7" w14:textId="77777777" w:rsidR="00D92454" w:rsidRPr="00DF3006" w:rsidRDefault="00D92454" w:rsidP="00D92454">
      <w:pPr>
        <w:ind w:right="-285"/>
        <w:rPr>
          <w:color w:val="414042" w:themeColor="text1"/>
        </w:rPr>
      </w:pPr>
      <w:r w:rsidRPr="00DF3006">
        <w:rPr>
          <w:color w:val="414042" w:themeColor="text1"/>
        </w:rPr>
        <w:t xml:space="preserve">As part of our commitment to transparent and accountable reporting, we have endeavoured to strike a balance between informing the public and protecting confidential information that could compromise a person or an ongoing investigation. For this reason, it is not possible to include detailed reports on our witness protection program. </w:t>
      </w:r>
    </w:p>
    <w:p w14:paraId="1AED8B40" w14:textId="77777777" w:rsidR="00D92454" w:rsidRPr="00DF3006" w:rsidRDefault="00D92454" w:rsidP="00D92454">
      <w:pPr>
        <w:ind w:right="-285"/>
        <w:rPr>
          <w:color w:val="414042" w:themeColor="text1"/>
        </w:rPr>
      </w:pPr>
      <w:r w:rsidRPr="00DF3006">
        <w:rPr>
          <w:color w:val="414042" w:themeColor="text1"/>
        </w:rPr>
        <w:t xml:space="preserve">This annual report is available on our website at </w:t>
      </w:r>
      <w:hyperlink r:id="rId28" w:history="1">
        <w:r w:rsidRPr="00DF3006">
          <w:rPr>
            <w:rStyle w:val="Hyperlink"/>
            <w:color w:val="414042" w:themeColor="text1"/>
            <w:u w:color="BCBEC0" w:themeColor="accent5"/>
          </w:rPr>
          <w:t>www.ccc.qld.gov.au/annualreport</w:t>
        </w:r>
      </w:hyperlink>
      <w:r w:rsidRPr="00DF3006">
        <w:rPr>
          <w:color w:val="414042" w:themeColor="text1"/>
        </w:rPr>
        <w:t xml:space="preserve"> or in hard copy upon request. Our website also hosts detailed information about our agency, including our </w:t>
      </w:r>
      <w:r w:rsidRPr="00DF3006">
        <w:rPr>
          <w:i/>
          <w:iCs/>
          <w:color w:val="414042" w:themeColor="text1"/>
          <w:u w:color="BCBEC0" w:themeColor="accent5"/>
        </w:rPr>
        <w:t>Strategic Plan 2022–26</w:t>
      </w:r>
      <w:r w:rsidRPr="00DF3006">
        <w:rPr>
          <w:color w:val="414042" w:themeColor="text1"/>
        </w:rPr>
        <w:t xml:space="preserve">, </w:t>
      </w:r>
      <w:r w:rsidRPr="00DF3006">
        <w:rPr>
          <w:color w:val="414042" w:themeColor="text1"/>
          <w:u w:color="BCBEC0" w:themeColor="accent5"/>
        </w:rPr>
        <w:t>publications</w:t>
      </w:r>
      <w:r w:rsidRPr="00DF3006">
        <w:rPr>
          <w:color w:val="414042" w:themeColor="text1"/>
        </w:rPr>
        <w:t xml:space="preserve">, </w:t>
      </w:r>
      <w:r w:rsidRPr="00DF3006">
        <w:rPr>
          <w:color w:val="414042" w:themeColor="text1"/>
          <w:u w:color="BCBEC0" w:themeColor="accent5"/>
        </w:rPr>
        <w:t>media releases</w:t>
      </w:r>
      <w:r w:rsidRPr="00DF3006">
        <w:rPr>
          <w:color w:val="414042" w:themeColor="text1"/>
        </w:rPr>
        <w:t xml:space="preserve"> and information about </w:t>
      </w:r>
      <w:r w:rsidRPr="00DF3006">
        <w:rPr>
          <w:color w:val="414042" w:themeColor="text1"/>
          <w:u w:color="BCBEC0" w:themeColor="accent5"/>
        </w:rPr>
        <w:t>government bodies</w:t>
      </w:r>
      <w:r w:rsidRPr="00DF3006">
        <w:rPr>
          <w:color w:val="414042" w:themeColor="text1"/>
        </w:rPr>
        <w:t xml:space="preserve"> relevant to us.</w:t>
      </w:r>
    </w:p>
    <w:p w14:paraId="2603D7F7" w14:textId="77777777" w:rsidR="00D92454" w:rsidRPr="00DF3006" w:rsidRDefault="00D92454" w:rsidP="00D92454">
      <w:pPr>
        <w:ind w:right="-285"/>
        <w:rPr>
          <w:color w:val="414042" w:themeColor="text1"/>
        </w:rPr>
      </w:pPr>
      <w:r w:rsidRPr="00DF3006">
        <w:rPr>
          <w:color w:val="414042" w:themeColor="text1"/>
        </w:rPr>
        <w:t xml:space="preserve">Additional information on consultancies, overseas travel, and interpreter services (in accordance with the Queensland Language Services Policy) is published online through the Queensland Government Open Data portal, </w:t>
      </w:r>
      <w:hyperlink r:id="rId29" w:history="1">
        <w:r w:rsidRPr="00DF3006">
          <w:rPr>
            <w:rStyle w:val="Hyperlink"/>
            <w:color w:val="414042" w:themeColor="text1"/>
            <w:u w:color="BCBEC0" w:themeColor="accent5"/>
          </w:rPr>
          <w:t>www.data.qld.gov.au</w:t>
        </w:r>
      </w:hyperlink>
      <w:r w:rsidRPr="00DF3006">
        <w:rPr>
          <w:rStyle w:val="Hyperlink"/>
          <w:color w:val="414042" w:themeColor="text1"/>
          <w:u w:val="none"/>
        </w:rPr>
        <w:t>.</w:t>
      </w:r>
    </w:p>
    <w:p w14:paraId="75627B49" w14:textId="77777777" w:rsidR="00D92454" w:rsidRPr="00DF3006" w:rsidRDefault="00D92454" w:rsidP="00463FBB">
      <w:pPr>
        <w:pStyle w:val="Heading4"/>
      </w:pPr>
      <w:r w:rsidRPr="00DF3006">
        <w:t>Acknowledgement of Country</w:t>
      </w:r>
    </w:p>
    <w:p w14:paraId="5E20881E" w14:textId="77777777" w:rsidR="00D92454" w:rsidRPr="00DF3006" w:rsidRDefault="00D92454" w:rsidP="00D92454">
      <w:pPr>
        <w:ind w:right="-285"/>
        <w:rPr>
          <w:color w:val="414042" w:themeColor="text1"/>
        </w:rPr>
      </w:pPr>
      <w:r w:rsidRPr="00DF3006">
        <w:rPr>
          <w:color w:val="414042" w:themeColor="text1"/>
        </w:rPr>
        <w:t>We acknowledge Aboriginal and Torres Strait Islander peoples as the First Australians and recognise their culture, history, diversity and their deep connection to the land, waters and seas of Queensland and the Torres Strait.</w:t>
      </w:r>
      <w:r w:rsidRPr="00DF3006">
        <w:rPr>
          <w:color w:val="414042" w:themeColor="text1"/>
        </w:rPr>
        <w:br/>
        <w:t>We acknowledge the Traditional Custodians of the lands on which we operate and wish to pay our respects to their Elders past, present, and emerging.</w:t>
      </w:r>
    </w:p>
    <w:p w14:paraId="2112D69E" w14:textId="77777777" w:rsidR="00D92454" w:rsidRPr="00DF3006" w:rsidRDefault="00D92454" w:rsidP="00463FBB">
      <w:pPr>
        <w:pStyle w:val="Heading4"/>
      </w:pPr>
      <w:bookmarkStart w:id="18" w:name="_Hlk144293641"/>
      <w:r w:rsidRPr="00DF3006">
        <w:t>Interpreter service</w:t>
      </w:r>
    </w:p>
    <w:bookmarkEnd w:id="18"/>
    <w:p w14:paraId="6AC03E91" w14:textId="627AA96B" w:rsidR="00D92454" w:rsidRPr="00DF3006" w:rsidRDefault="00E13A38" w:rsidP="00D92454">
      <w:pPr>
        <w:ind w:right="-285"/>
        <w:rPr>
          <w:color w:val="414042" w:themeColor="text1"/>
        </w:rPr>
      </w:pPr>
      <w:r w:rsidRPr="00DF3006">
        <w:rPr>
          <w:noProof/>
          <w:color w:val="414042" w:themeColor="text1"/>
        </w:rPr>
        <w:drawing>
          <wp:anchor distT="0" distB="71755" distL="114300" distR="180340" simplePos="0" relativeHeight="252372992" behindDoc="1" locked="0" layoutInCell="1" allowOverlap="1" wp14:anchorId="5DC2225D" wp14:editId="76457A88">
            <wp:simplePos x="0" y="0"/>
            <wp:positionH relativeFrom="column">
              <wp:posOffset>-5080</wp:posOffset>
            </wp:positionH>
            <wp:positionV relativeFrom="page">
              <wp:posOffset>7716358</wp:posOffset>
            </wp:positionV>
            <wp:extent cx="532800" cy="532800"/>
            <wp:effectExtent l="0" t="0" r="635" b="635"/>
            <wp:wrapTight wrapText="bothSides">
              <wp:wrapPolygon edited="0">
                <wp:start x="0" y="0"/>
                <wp:lineTo x="0" y="20853"/>
                <wp:lineTo x="20853" y="20853"/>
                <wp:lineTo x="2085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532800" cy="532800"/>
                    </a:xfrm>
                    <a:prstGeom prst="rect">
                      <a:avLst/>
                    </a:prstGeom>
                  </pic:spPr>
                </pic:pic>
              </a:graphicData>
            </a:graphic>
            <wp14:sizeRelH relativeFrom="page">
              <wp14:pctWidth>0</wp14:pctWidth>
            </wp14:sizeRelH>
            <wp14:sizeRelV relativeFrom="page">
              <wp14:pctHeight>0</wp14:pctHeight>
            </wp14:sizeRelV>
          </wp:anchor>
        </w:drawing>
      </w:r>
      <w:r w:rsidR="00D92454" w:rsidRPr="00DF3006">
        <w:rPr>
          <w:color w:val="414042" w:themeColor="text1"/>
        </w:rPr>
        <w:t xml:space="preserve">The Queensland Government is committed </w:t>
      </w:r>
      <w:r w:rsidRPr="00DF3006">
        <w:rPr>
          <w:color w:val="414042" w:themeColor="text1"/>
        </w:rPr>
        <w:br/>
      </w:r>
      <w:r w:rsidR="00D92454" w:rsidRPr="00DF3006">
        <w:rPr>
          <w:color w:val="414042" w:themeColor="text1"/>
        </w:rPr>
        <w:t xml:space="preserve">to providing accessible services to Queenslanders from all culturally and linguistically diverse backgrounds. If you have difficulty in understanding this annual report, you can contact us on either </w:t>
      </w:r>
      <w:r w:rsidR="00D92454" w:rsidRPr="00DF3006">
        <w:rPr>
          <w:rFonts w:asciiTheme="minorHAnsi" w:hAnsiTheme="minorHAnsi" w:cstheme="minorHAnsi"/>
          <w:b/>
          <w:bCs/>
          <w:color w:val="414042" w:themeColor="text1"/>
        </w:rPr>
        <w:t>07 3360 6060</w:t>
      </w:r>
      <w:r w:rsidR="00D92454" w:rsidRPr="00DF3006">
        <w:rPr>
          <w:color w:val="414042" w:themeColor="text1"/>
        </w:rPr>
        <w:t xml:space="preserve"> or </w:t>
      </w:r>
      <w:r w:rsidR="00D92454" w:rsidRPr="00DF3006">
        <w:rPr>
          <w:rFonts w:asciiTheme="minorHAnsi" w:hAnsiTheme="minorHAnsi" w:cstheme="minorHAnsi"/>
          <w:b/>
          <w:bCs/>
          <w:color w:val="414042" w:themeColor="text1"/>
        </w:rPr>
        <w:t>toll-free 1800 061 611</w:t>
      </w:r>
      <w:r w:rsidR="00D92454" w:rsidRPr="00DF3006">
        <w:rPr>
          <w:b/>
          <w:bCs/>
          <w:color w:val="414042" w:themeColor="text1"/>
        </w:rPr>
        <w:t xml:space="preserve"> </w:t>
      </w:r>
      <w:r w:rsidR="00D92454" w:rsidRPr="00DF3006">
        <w:rPr>
          <w:color w:val="414042" w:themeColor="text1"/>
        </w:rPr>
        <w:t>and we will arrange for an interpreter to effectively communicate the report to you.</w:t>
      </w:r>
    </w:p>
    <w:p w14:paraId="6C2D3257" w14:textId="77777777" w:rsidR="00D92454" w:rsidRPr="00DF3006" w:rsidRDefault="00D92454" w:rsidP="00463FBB">
      <w:pPr>
        <w:pStyle w:val="Heading4"/>
      </w:pPr>
      <w:r w:rsidRPr="00DF3006">
        <w:t>Feedback</w:t>
      </w:r>
    </w:p>
    <w:p w14:paraId="1CF12280" w14:textId="77777777" w:rsidR="00D92454" w:rsidRPr="00DF3006" w:rsidRDefault="00D92454" w:rsidP="00D92454">
      <w:pPr>
        <w:ind w:right="-285"/>
        <w:rPr>
          <w:color w:val="414042" w:themeColor="text1"/>
          <w:spacing w:val="-4"/>
        </w:rPr>
      </w:pPr>
      <w:r w:rsidRPr="00DF3006">
        <w:rPr>
          <w:color w:val="414042" w:themeColor="text1"/>
          <w:spacing w:val="-4"/>
        </w:rPr>
        <w:t>We welcome your comments on this report. See the back cover for contact details on where to address your feedback.</w:t>
      </w:r>
    </w:p>
    <w:p w14:paraId="7B87FD6F" w14:textId="518215BE" w:rsidR="00D92454" w:rsidRPr="00DF3006" w:rsidRDefault="00D92454">
      <w:pPr>
        <w:spacing w:before="120" w:after="0" w:line="260" w:lineRule="exact"/>
        <w:rPr>
          <w:color w:val="414042" w:themeColor="text1"/>
        </w:rPr>
        <w:sectPr w:rsidR="00D92454" w:rsidRPr="00DF3006" w:rsidSect="00C04288">
          <w:type w:val="continuous"/>
          <w:pgSz w:w="11906" w:h="16838"/>
          <w:pgMar w:top="2155" w:right="1134" w:bottom="964" w:left="1134" w:header="709" w:footer="283" w:gutter="0"/>
          <w:cols w:num="2" w:space="567"/>
          <w:docGrid w:linePitch="360"/>
        </w:sectPr>
      </w:pPr>
    </w:p>
    <w:p w14:paraId="4AF10DC1" w14:textId="77777777" w:rsidR="008C6A0B" w:rsidRPr="00DF3006" w:rsidRDefault="008C6A0B" w:rsidP="00074FC3">
      <w:pPr>
        <w:rPr>
          <w:color w:val="414042" w:themeColor="text1"/>
        </w:rPr>
        <w:sectPr w:rsidR="008C6A0B" w:rsidRPr="00DF3006" w:rsidSect="00C77834">
          <w:headerReference w:type="even" r:id="rId31"/>
          <w:headerReference w:type="default" r:id="rId32"/>
          <w:footerReference w:type="even" r:id="rId33"/>
          <w:headerReference w:type="first" r:id="rId34"/>
          <w:type w:val="continuous"/>
          <w:pgSz w:w="11906" w:h="16838"/>
          <w:pgMar w:top="2155" w:right="1134" w:bottom="964" w:left="1134" w:header="709" w:footer="283" w:gutter="0"/>
          <w:cols w:num="2" w:space="567"/>
          <w:titlePg/>
          <w:docGrid w:linePitch="360"/>
        </w:sectPr>
      </w:pPr>
    </w:p>
    <w:p w14:paraId="469A639E" w14:textId="77777777" w:rsidR="008C6A0B" w:rsidRPr="00DF3006" w:rsidRDefault="008C6A0B" w:rsidP="008C6A0B">
      <w:pPr>
        <w:framePr w:hSpace="180" w:wrap="around" w:vAnchor="text" w:hAnchor="margin" w:y="-58"/>
        <w:suppressAutoHyphens/>
        <w:autoSpaceDE w:val="0"/>
        <w:autoSpaceDN w:val="0"/>
        <w:adjustRightInd w:val="0"/>
        <w:spacing w:after="170" w:line="288" w:lineRule="auto"/>
        <w:textAlignment w:val="center"/>
        <w:rPr>
          <w:rFonts w:cs="Calibri Light"/>
          <w:bCs/>
          <w:color w:val="414042" w:themeColor="text1"/>
          <w:szCs w:val="20"/>
        </w:rPr>
      </w:pPr>
    </w:p>
    <w:p w14:paraId="4227AD5C" w14:textId="5249E48D" w:rsidR="00123A41" w:rsidRPr="00DF3006" w:rsidRDefault="00123A41" w:rsidP="00123A41">
      <w:pPr>
        <w:pStyle w:val="Heading1"/>
      </w:pPr>
      <w:bookmarkStart w:id="19" w:name="_About_us"/>
      <w:bookmarkStart w:id="20" w:name="aboutus"/>
      <w:bookmarkStart w:id="21" w:name="_Toc102037811"/>
      <w:bookmarkStart w:id="22" w:name="_Toc102038173"/>
      <w:bookmarkStart w:id="23" w:name="_Toc102038534"/>
      <w:bookmarkStart w:id="24" w:name="_Toc102038894"/>
      <w:bookmarkStart w:id="25" w:name="_Toc102039246"/>
      <w:bookmarkStart w:id="26" w:name="_Toc102039601"/>
      <w:bookmarkStart w:id="27" w:name="_Toc102039958"/>
      <w:bookmarkStart w:id="28" w:name="_Toc102040283"/>
      <w:bookmarkStart w:id="29" w:name="_Toc102040617"/>
      <w:bookmarkStart w:id="30" w:name="_Toc102040945"/>
      <w:bookmarkStart w:id="31" w:name="_Toc102041275"/>
      <w:bookmarkStart w:id="32" w:name="_Toc102041607"/>
      <w:bookmarkStart w:id="33" w:name="_Toc102041934"/>
      <w:bookmarkStart w:id="34" w:name="_Toc102042263"/>
      <w:bookmarkStart w:id="35" w:name="_Toc102045393"/>
      <w:bookmarkStart w:id="36" w:name="_Hlk73093692"/>
      <w:bookmarkEnd w:id="19"/>
      <w:bookmarkEnd w:id="20"/>
      <w:r w:rsidRPr="00DF3006">
        <w:t>About us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bl>
      <w:tblPr>
        <w:tblW w:w="4846" w:type="pct"/>
        <w:tblBorders>
          <w:insideH w:val="single" w:sz="12" w:space="0" w:color="FFFFFF" w:themeColor="background1"/>
        </w:tblBorders>
        <w:tblLook w:val="04A0" w:firstRow="1" w:lastRow="0" w:firstColumn="1" w:lastColumn="0" w:noHBand="0" w:noVBand="1"/>
      </w:tblPr>
      <w:tblGrid>
        <w:gridCol w:w="7833"/>
        <w:gridCol w:w="1508"/>
      </w:tblGrid>
      <w:tr w:rsidR="00DF3006" w:rsidRPr="00DF3006" w14:paraId="2EE9ABCE" w14:textId="77777777" w:rsidTr="00145765">
        <w:tc>
          <w:tcPr>
            <w:tcW w:w="4193" w:type="pct"/>
            <w:shd w:val="clear" w:color="auto" w:fill="auto"/>
          </w:tcPr>
          <w:p w14:paraId="321D5983" w14:textId="67586A6E" w:rsidR="000549D5" w:rsidRPr="007B1580" w:rsidRDefault="00086D38" w:rsidP="000549D5">
            <w:pPr>
              <w:autoSpaceDE w:val="0"/>
              <w:autoSpaceDN w:val="0"/>
              <w:adjustRightInd w:val="0"/>
              <w:spacing w:before="120" w:after="120"/>
              <w:textAlignment w:val="center"/>
              <w:rPr>
                <w:rStyle w:val="Hyperlink"/>
                <w:rFonts w:cs="Calibri Light"/>
                <w:bCs/>
                <w:color w:val="414042" w:themeColor="text1"/>
                <w:szCs w:val="20"/>
                <w:u w:val="none"/>
              </w:rPr>
            </w:pPr>
            <w:hyperlink w:anchor="messagefromchair" w:history="1">
              <w:r w:rsidR="00E97578" w:rsidRPr="007B1580">
                <w:rPr>
                  <w:rStyle w:val="Hyperlink"/>
                  <w:u w:val="none"/>
                </w:rPr>
                <w:t xml:space="preserve">Message from the </w:t>
              </w:r>
              <w:r w:rsidR="000549D5" w:rsidRPr="007B1580">
                <w:rPr>
                  <w:rStyle w:val="Hyperlink"/>
                  <w:rFonts w:cs="Calibri Light"/>
                  <w:bCs/>
                  <w:szCs w:val="20"/>
                  <w:u w:val="none"/>
                </w:rPr>
                <w:t>Chairperson</w:t>
              </w:r>
            </w:hyperlink>
          </w:p>
        </w:tc>
        <w:tc>
          <w:tcPr>
            <w:tcW w:w="807" w:type="pct"/>
            <w:shd w:val="clear" w:color="auto" w:fill="auto"/>
          </w:tcPr>
          <w:p w14:paraId="2AFFB5AE" w14:textId="5866E521" w:rsidR="000549D5" w:rsidRPr="00DF3006" w:rsidRDefault="00596E3B" w:rsidP="000549D5">
            <w:pPr>
              <w:spacing w:before="120" w:after="120"/>
              <w:jc w:val="center"/>
              <w:rPr>
                <w:color w:val="414042" w:themeColor="text1"/>
              </w:rPr>
            </w:pPr>
            <w:r w:rsidRPr="00DF3006">
              <w:rPr>
                <w:color w:val="414042" w:themeColor="text1"/>
              </w:rPr>
              <w:t>6</w:t>
            </w:r>
          </w:p>
        </w:tc>
      </w:tr>
      <w:tr w:rsidR="00DF3006" w:rsidRPr="00DF3006" w14:paraId="2823A220" w14:textId="77777777" w:rsidTr="00145765">
        <w:tc>
          <w:tcPr>
            <w:tcW w:w="4193" w:type="pct"/>
            <w:shd w:val="clear" w:color="auto" w:fill="auto"/>
          </w:tcPr>
          <w:p w14:paraId="1CC00801" w14:textId="531D9BB9" w:rsidR="000549D5" w:rsidRPr="007B1580" w:rsidRDefault="00086D38" w:rsidP="000549D5">
            <w:pPr>
              <w:autoSpaceDE w:val="0"/>
              <w:autoSpaceDN w:val="0"/>
              <w:adjustRightInd w:val="0"/>
              <w:spacing w:before="120" w:after="120"/>
              <w:textAlignment w:val="center"/>
              <w:rPr>
                <w:color w:val="414042" w:themeColor="text1"/>
              </w:rPr>
            </w:pPr>
            <w:hyperlink w:anchor="messagefromCEO" w:history="1">
              <w:r w:rsidR="000549D5" w:rsidRPr="007B1580">
                <w:rPr>
                  <w:rStyle w:val="Hyperlink"/>
                  <w:u w:val="none"/>
                </w:rPr>
                <w:t xml:space="preserve">Message from the </w:t>
              </w:r>
              <w:r w:rsidR="00E249E5" w:rsidRPr="007B1580">
                <w:rPr>
                  <w:rStyle w:val="Hyperlink"/>
                  <w:u w:val="none"/>
                </w:rPr>
                <w:t>Chief Executive Officer</w:t>
              </w:r>
            </w:hyperlink>
          </w:p>
        </w:tc>
        <w:tc>
          <w:tcPr>
            <w:tcW w:w="807" w:type="pct"/>
            <w:shd w:val="clear" w:color="auto" w:fill="auto"/>
          </w:tcPr>
          <w:p w14:paraId="0DFFC48A" w14:textId="6BFBAEB9" w:rsidR="000549D5" w:rsidRPr="00DF3006" w:rsidRDefault="00596E3B" w:rsidP="000549D5">
            <w:pPr>
              <w:spacing w:before="120" w:after="120"/>
              <w:jc w:val="center"/>
              <w:rPr>
                <w:color w:val="414042" w:themeColor="text1"/>
              </w:rPr>
            </w:pPr>
            <w:r w:rsidRPr="00DF3006">
              <w:rPr>
                <w:color w:val="414042" w:themeColor="text1"/>
              </w:rPr>
              <w:t>8</w:t>
            </w:r>
          </w:p>
        </w:tc>
      </w:tr>
      <w:tr w:rsidR="00DF3006" w:rsidRPr="00DF3006" w14:paraId="67E1E297" w14:textId="77777777" w:rsidTr="00145765">
        <w:tc>
          <w:tcPr>
            <w:tcW w:w="4193" w:type="pct"/>
            <w:shd w:val="clear" w:color="auto" w:fill="auto"/>
          </w:tcPr>
          <w:p w14:paraId="2D4AB33A" w14:textId="526F29EB" w:rsidR="000549D5" w:rsidRPr="00DF3006" w:rsidRDefault="00086D38" w:rsidP="000549D5">
            <w:pPr>
              <w:autoSpaceDE w:val="0"/>
              <w:autoSpaceDN w:val="0"/>
              <w:adjustRightInd w:val="0"/>
              <w:spacing w:before="120" w:after="120"/>
              <w:textAlignment w:val="center"/>
              <w:rPr>
                <w:color w:val="414042" w:themeColor="text1"/>
              </w:rPr>
            </w:pPr>
            <w:hyperlink w:anchor="_Our_vision,_purpose" w:history="1">
              <w:r w:rsidR="000549D5" w:rsidRPr="00DF3006">
                <w:rPr>
                  <w:color w:val="414042" w:themeColor="text1"/>
                </w:rPr>
                <w:t xml:space="preserve">Our vision, </w:t>
              </w:r>
              <w:proofErr w:type="gramStart"/>
              <w:r w:rsidR="000549D5" w:rsidRPr="00DF3006">
                <w:rPr>
                  <w:color w:val="414042" w:themeColor="text1"/>
                </w:rPr>
                <w:t>purpose</w:t>
              </w:r>
              <w:proofErr w:type="gramEnd"/>
              <w:r w:rsidR="000549D5" w:rsidRPr="00DF3006">
                <w:rPr>
                  <w:color w:val="414042" w:themeColor="text1"/>
                </w:rPr>
                <w:t xml:space="preserve"> and values</w:t>
              </w:r>
            </w:hyperlink>
          </w:p>
        </w:tc>
        <w:tc>
          <w:tcPr>
            <w:tcW w:w="807" w:type="pct"/>
            <w:shd w:val="clear" w:color="auto" w:fill="auto"/>
          </w:tcPr>
          <w:p w14:paraId="25CA95CF" w14:textId="543B550B" w:rsidR="000549D5" w:rsidRPr="00DF3006" w:rsidRDefault="00596E3B" w:rsidP="000549D5">
            <w:pPr>
              <w:spacing w:before="120" w:after="120"/>
              <w:jc w:val="center"/>
              <w:rPr>
                <w:color w:val="414042" w:themeColor="text1"/>
              </w:rPr>
            </w:pPr>
            <w:r w:rsidRPr="00DF3006">
              <w:rPr>
                <w:color w:val="414042" w:themeColor="text1"/>
              </w:rPr>
              <w:t>10</w:t>
            </w:r>
          </w:p>
        </w:tc>
      </w:tr>
      <w:tr w:rsidR="00DF3006" w:rsidRPr="00DF3006" w14:paraId="5DB5EC1B" w14:textId="77777777" w:rsidTr="00145765">
        <w:tc>
          <w:tcPr>
            <w:tcW w:w="4193" w:type="pct"/>
            <w:shd w:val="clear" w:color="auto" w:fill="auto"/>
          </w:tcPr>
          <w:p w14:paraId="5FBEA421" w14:textId="627E0D6E" w:rsidR="000549D5" w:rsidRPr="00DF3006" w:rsidRDefault="00086D38" w:rsidP="000549D5">
            <w:pPr>
              <w:autoSpaceDE w:val="0"/>
              <w:autoSpaceDN w:val="0"/>
              <w:adjustRightInd w:val="0"/>
              <w:spacing w:before="120" w:after="120"/>
              <w:textAlignment w:val="center"/>
              <w:rPr>
                <w:rStyle w:val="Hyperlink"/>
                <w:color w:val="414042" w:themeColor="text1"/>
                <w:u w:val="none"/>
              </w:rPr>
            </w:pPr>
            <w:hyperlink w:anchor="whoweare" w:history="1">
              <w:r w:rsidR="000549D5" w:rsidRPr="00DF3006">
                <w:rPr>
                  <w:rStyle w:val="Hyperlink"/>
                  <w:rFonts w:cs="Calibri Light"/>
                  <w:bCs/>
                  <w:color w:val="414042" w:themeColor="text1"/>
                  <w:szCs w:val="20"/>
                  <w:u w:val="none"/>
                </w:rPr>
                <w:t>Who we are</w:t>
              </w:r>
            </w:hyperlink>
          </w:p>
        </w:tc>
        <w:tc>
          <w:tcPr>
            <w:tcW w:w="807" w:type="pct"/>
            <w:shd w:val="clear" w:color="auto" w:fill="auto"/>
          </w:tcPr>
          <w:p w14:paraId="2FAB67B2" w14:textId="7B44504B" w:rsidR="000549D5" w:rsidRPr="00DF3006" w:rsidRDefault="00596E3B" w:rsidP="000549D5">
            <w:pPr>
              <w:spacing w:before="120" w:after="120"/>
              <w:jc w:val="center"/>
              <w:rPr>
                <w:bCs/>
                <w:color w:val="414042" w:themeColor="text1"/>
              </w:rPr>
            </w:pPr>
            <w:r w:rsidRPr="00DF3006">
              <w:rPr>
                <w:bCs/>
                <w:color w:val="414042" w:themeColor="text1"/>
              </w:rPr>
              <w:t>11</w:t>
            </w:r>
          </w:p>
        </w:tc>
      </w:tr>
      <w:tr w:rsidR="00DF3006" w:rsidRPr="00DF3006" w14:paraId="054BDCFC" w14:textId="77777777" w:rsidTr="00145765">
        <w:tc>
          <w:tcPr>
            <w:tcW w:w="4193" w:type="pct"/>
            <w:shd w:val="clear" w:color="auto" w:fill="auto"/>
          </w:tcPr>
          <w:p w14:paraId="63ECED84" w14:textId="37E8C5BD" w:rsidR="000549D5" w:rsidRPr="00DF3006" w:rsidRDefault="00086D38" w:rsidP="000549D5">
            <w:pPr>
              <w:autoSpaceDE w:val="0"/>
              <w:autoSpaceDN w:val="0"/>
              <w:adjustRightInd w:val="0"/>
              <w:spacing w:before="120" w:after="120"/>
              <w:textAlignment w:val="center"/>
              <w:rPr>
                <w:rStyle w:val="Hyperlink"/>
                <w:color w:val="414042" w:themeColor="text1"/>
                <w:u w:val="none"/>
              </w:rPr>
            </w:pPr>
            <w:hyperlink w:anchor="orgstructure" w:history="1">
              <w:r w:rsidR="000549D5" w:rsidRPr="00DF3006">
                <w:rPr>
                  <w:rStyle w:val="Hyperlink"/>
                  <w:rFonts w:cs="Calibri Light"/>
                  <w:bCs/>
                  <w:color w:val="414042" w:themeColor="text1"/>
                  <w:szCs w:val="20"/>
                  <w:u w:val="none"/>
                </w:rPr>
                <w:t>Our organisational structure</w:t>
              </w:r>
            </w:hyperlink>
          </w:p>
        </w:tc>
        <w:tc>
          <w:tcPr>
            <w:tcW w:w="807" w:type="pct"/>
            <w:shd w:val="clear" w:color="auto" w:fill="auto"/>
          </w:tcPr>
          <w:p w14:paraId="1360D804" w14:textId="7522C3CE" w:rsidR="000549D5" w:rsidRPr="00DF3006" w:rsidRDefault="00596E3B" w:rsidP="000549D5">
            <w:pPr>
              <w:spacing w:before="120" w:after="120"/>
              <w:jc w:val="center"/>
              <w:rPr>
                <w:bCs/>
                <w:color w:val="414042" w:themeColor="text1"/>
              </w:rPr>
            </w:pPr>
            <w:r w:rsidRPr="00DF3006">
              <w:rPr>
                <w:color w:val="414042" w:themeColor="text1"/>
              </w:rPr>
              <w:t>12</w:t>
            </w:r>
          </w:p>
        </w:tc>
      </w:tr>
      <w:tr w:rsidR="00DF3006" w:rsidRPr="00DF3006" w14:paraId="7B442C84" w14:textId="77777777" w:rsidTr="00145765">
        <w:tc>
          <w:tcPr>
            <w:tcW w:w="4193" w:type="pct"/>
            <w:shd w:val="clear" w:color="auto" w:fill="auto"/>
          </w:tcPr>
          <w:p w14:paraId="272FBCD9" w14:textId="511385F7" w:rsidR="000549D5" w:rsidRPr="00DF3006" w:rsidRDefault="00086D38" w:rsidP="000549D5">
            <w:pPr>
              <w:autoSpaceDE w:val="0"/>
              <w:autoSpaceDN w:val="0"/>
              <w:adjustRightInd w:val="0"/>
              <w:spacing w:before="120" w:after="120"/>
              <w:textAlignment w:val="center"/>
              <w:rPr>
                <w:rStyle w:val="Hyperlink"/>
                <w:color w:val="414042" w:themeColor="text1"/>
                <w:u w:val="none"/>
              </w:rPr>
            </w:pPr>
            <w:hyperlink w:anchor="stakeholders" w:history="1">
              <w:r w:rsidR="000549D5" w:rsidRPr="00DF3006">
                <w:rPr>
                  <w:rStyle w:val="Hyperlink"/>
                  <w:rFonts w:cs="Calibri Light"/>
                  <w:bCs/>
                  <w:color w:val="414042" w:themeColor="text1"/>
                  <w:szCs w:val="20"/>
                  <w:u w:val="none"/>
                </w:rPr>
                <w:t>Our stakeholders and partners</w:t>
              </w:r>
            </w:hyperlink>
          </w:p>
        </w:tc>
        <w:tc>
          <w:tcPr>
            <w:tcW w:w="807" w:type="pct"/>
            <w:shd w:val="clear" w:color="auto" w:fill="auto"/>
          </w:tcPr>
          <w:p w14:paraId="6D6CA007" w14:textId="2DBB736E" w:rsidR="000549D5" w:rsidRPr="00DF3006" w:rsidRDefault="00596E3B" w:rsidP="000549D5">
            <w:pPr>
              <w:spacing w:before="120" w:after="120"/>
              <w:jc w:val="center"/>
              <w:rPr>
                <w:bCs/>
                <w:color w:val="414042" w:themeColor="text1"/>
              </w:rPr>
            </w:pPr>
            <w:r w:rsidRPr="00DF3006">
              <w:rPr>
                <w:color w:val="414042" w:themeColor="text1"/>
              </w:rPr>
              <w:t>13</w:t>
            </w:r>
          </w:p>
        </w:tc>
      </w:tr>
      <w:tr w:rsidR="00DF3006" w:rsidRPr="00DF3006" w14:paraId="4D024298" w14:textId="77777777" w:rsidTr="00145765">
        <w:tc>
          <w:tcPr>
            <w:tcW w:w="4193" w:type="pct"/>
            <w:shd w:val="clear" w:color="auto" w:fill="auto"/>
          </w:tcPr>
          <w:p w14:paraId="016CCD73" w14:textId="7FB36E47" w:rsidR="000549D5" w:rsidRPr="00DF3006" w:rsidRDefault="00086D38" w:rsidP="000549D5">
            <w:pPr>
              <w:autoSpaceDE w:val="0"/>
              <w:autoSpaceDN w:val="0"/>
              <w:adjustRightInd w:val="0"/>
              <w:spacing w:before="120" w:after="120"/>
              <w:textAlignment w:val="center"/>
              <w:rPr>
                <w:rStyle w:val="Hyperlink"/>
                <w:color w:val="414042" w:themeColor="text1"/>
                <w:u w:val="none"/>
              </w:rPr>
            </w:pPr>
            <w:hyperlink w:anchor="howwework" w:history="1">
              <w:r w:rsidR="000549D5" w:rsidRPr="00DF3006">
                <w:rPr>
                  <w:rStyle w:val="Hyperlink"/>
                  <w:rFonts w:cs="Calibri Light"/>
                  <w:bCs/>
                  <w:color w:val="414042" w:themeColor="text1"/>
                  <w:szCs w:val="20"/>
                  <w:u w:val="none"/>
                </w:rPr>
                <w:t>How we work</w:t>
              </w:r>
            </w:hyperlink>
          </w:p>
        </w:tc>
        <w:tc>
          <w:tcPr>
            <w:tcW w:w="807" w:type="pct"/>
            <w:shd w:val="clear" w:color="auto" w:fill="auto"/>
          </w:tcPr>
          <w:p w14:paraId="4612743E" w14:textId="370A94DE" w:rsidR="000549D5" w:rsidRPr="00DF3006" w:rsidRDefault="00596E3B" w:rsidP="000549D5">
            <w:pPr>
              <w:spacing w:before="120" w:after="120"/>
              <w:jc w:val="center"/>
              <w:rPr>
                <w:bCs/>
                <w:color w:val="414042" w:themeColor="text1"/>
              </w:rPr>
            </w:pPr>
            <w:r w:rsidRPr="00DF3006">
              <w:rPr>
                <w:color w:val="414042" w:themeColor="text1"/>
              </w:rPr>
              <w:t>14</w:t>
            </w:r>
          </w:p>
        </w:tc>
      </w:tr>
    </w:tbl>
    <w:p w14:paraId="2556DD6B" w14:textId="77777777" w:rsidR="00CA1C7B" w:rsidRPr="00DF3006" w:rsidRDefault="00CA1C7B" w:rsidP="00123A41">
      <w:pPr>
        <w:rPr>
          <w:color w:val="414042" w:themeColor="text1"/>
        </w:rPr>
        <w:sectPr w:rsidR="00CA1C7B" w:rsidRPr="00DF3006" w:rsidSect="00C77834">
          <w:headerReference w:type="even" r:id="rId35"/>
          <w:headerReference w:type="default" r:id="rId36"/>
          <w:headerReference w:type="first" r:id="rId37"/>
          <w:pgSz w:w="11906" w:h="16838"/>
          <w:pgMar w:top="2155" w:right="1134" w:bottom="964" w:left="1134" w:header="709" w:footer="283" w:gutter="0"/>
          <w:cols w:space="567"/>
          <w:docGrid w:linePitch="360"/>
        </w:sectPr>
      </w:pPr>
    </w:p>
    <w:bookmarkEnd w:id="36"/>
    <w:p w14:paraId="33E694DC" w14:textId="513EA351" w:rsidR="004A1EA9" w:rsidRPr="00DF3006" w:rsidRDefault="004A1EA9">
      <w:pPr>
        <w:spacing w:before="120" w:after="0" w:line="260" w:lineRule="exact"/>
        <w:rPr>
          <w:color w:val="414042" w:themeColor="text1"/>
        </w:rPr>
      </w:pPr>
    </w:p>
    <w:p w14:paraId="0DAD7C71" w14:textId="77777777" w:rsidR="00395E1D" w:rsidRPr="00DF3006" w:rsidRDefault="00395E1D" w:rsidP="00123A41">
      <w:pPr>
        <w:rPr>
          <w:color w:val="414042" w:themeColor="text1"/>
        </w:rPr>
        <w:sectPr w:rsidR="00395E1D" w:rsidRPr="00DF3006" w:rsidSect="00C77834">
          <w:type w:val="continuous"/>
          <w:pgSz w:w="11906" w:h="16838"/>
          <w:pgMar w:top="2155" w:right="1134" w:bottom="964" w:left="1134" w:header="709" w:footer="283" w:gutter="0"/>
          <w:cols w:num="2" w:space="567"/>
          <w:docGrid w:linePitch="360"/>
        </w:sectPr>
      </w:pPr>
    </w:p>
    <w:p w14:paraId="44838D7A" w14:textId="4D8F3A8A" w:rsidR="007A3E39" w:rsidRPr="00DF3006" w:rsidRDefault="007A3E39" w:rsidP="007A3E39">
      <w:pPr>
        <w:pStyle w:val="Heading2"/>
      </w:pPr>
      <w:bookmarkStart w:id="37" w:name="_Toc102037842"/>
      <w:bookmarkStart w:id="38" w:name="_Toc102038204"/>
      <w:bookmarkStart w:id="39" w:name="_Toc102038565"/>
      <w:bookmarkStart w:id="40" w:name="_Toc102038925"/>
      <w:bookmarkStart w:id="41" w:name="_Toc102039277"/>
      <w:bookmarkStart w:id="42" w:name="_Toc102039632"/>
      <w:bookmarkStart w:id="43" w:name="_Toc102039989"/>
      <w:bookmarkStart w:id="44" w:name="_Toc102040314"/>
      <w:bookmarkStart w:id="45" w:name="_Toc102040648"/>
      <w:bookmarkStart w:id="46" w:name="_Toc102040976"/>
      <w:bookmarkStart w:id="47" w:name="_Toc102041306"/>
      <w:bookmarkStart w:id="48" w:name="_Toc102041638"/>
      <w:bookmarkStart w:id="49" w:name="_Toc102041965"/>
      <w:bookmarkStart w:id="50" w:name="_Toc102042294"/>
      <w:bookmarkStart w:id="51" w:name="_Toc102045424"/>
      <w:bookmarkStart w:id="52" w:name="messagefromchair"/>
      <w:bookmarkStart w:id="53" w:name="_Toc102037812"/>
      <w:bookmarkStart w:id="54" w:name="_Toc102038174"/>
      <w:bookmarkStart w:id="55" w:name="_Toc102038535"/>
      <w:bookmarkStart w:id="56" w:name="_Toc102038895"/>
      <w:bookmarkStart w:id="57" w:name="_Toc102039247"/>
      <w:bookmarkStart w:id="58" w:name="_Toc102039602"/>
      <w:bookmarkStart w:id="59" w:name="_Toc102039959"/>
      <w:bookmarkStart w:id="60" w:name="_Toc102040284"/>
      <w:bookmarkStart w:id="61" w:name="_Toc102040618"/>
      <w:bookmarkStart w:id="62" w:name="_Toc102040946"/>
      <w:bookmarkStart w:id="63" w:name="_Toc102041276"/>
      <w:bookmarkStart w:id="64" w:name="_Toc102041608"/>
      <w:bookmarkStart w:id="65" w:name="_Toc102041935"/>
      <w:bookmarkStart w:id="66" w:name="_Toc102042264"/>
      <w:bookmarkStart w:id="67" w:name="_Toc102045394"/>
      <w:bookmarkStart w:id="68" w:name="vision"/>
      <w:r w:rsidRPr="00DF3006">
        <w:lastRenderedPageBreak/>
        <w:t>Message from the Chairperson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5D752D9" w14:textId="72E82383" w:rsidR="007A3E39" w:rsidRPr="00DF3006" w:rsidRDefault="00716CA6" w:rsidP="007A3E39">
      <w:pPr>
        <w:rPr>
          <w:rFonts w:ascii="Calibri" w:hAnsi="Calibri" w:cs="Calibri"/>
          <w:b/>
          <w:bCs/>
          <w:color w:val="414042" w:themeColor="text1"/>
          <w:spacing w:val="-6"/>
          <w:sz w:val="24"/>
          <w:szCs w:val="24"/>
          <w:lang w:val="en-US"/>
        </w:rPr>
      </w:pPr>
      <w:r w:rsidRPr="00DF3006">
        <w:rPr>
          <w:rFonts w:ascii="Calibri" w:hAnsi="Calibri" w:cs="Calibri"/>
          <w:b/>
          <w:bCs/>
          <w:color w:val="414042" w:themeColor="text1"/>
          <w:spacing w:val="-6"/>
          <w:sz w:val="24"/>
          <w:szCs w:val="24"/>
          <w:lang w:val="en-US"/>
        </w:rPr>
        <w:t>I am pleased to present the Annual Report 2022–23 for the Crime and Corruption Commission (CCC). This year has been an extremely important one for the CCC. Over the past 12 months we have rigorously assessed our capabilities in view of broader reforms across the law enforcement and anti-corruption landscape, and re-examined how best we can partner with other agencies to combat serious crime and reduce corruption in Queensland.</w:t>
      </w:r>
    </w:p>
    <w:p w14:paraId="3091F3EC" w14:textId="77777777" w:rsidR="007A3E39" w:rsidRPr="00DF3006" w:rsidRDefault="007A3E39" w:rsidP="007A3E39">
      <w:pPr>
        <w:rPr>
          <w:color w:val="414042" w:themeColor="text1"/>
        </w:rPr>
      </w:pPr>
    </w:p>
    <w:p w14:paraId="6A477B33" w14:textId="77777777" w:rsidR="007A3E39" w:rsidRPr="00DF3006" w:rsidRDefault="007A3E39" w:rsidP="007A3E39">
      <w:pPr>
        <w:rPr>
          <w:color w:val="414042" w:themeColor="text1"/>
        </w:rPr>
        <w:sectPr w:rsidR="007A3E39" w:rsidRPr="00DF3006" w:rsidSect="00AF2677">
          <w:headerReference w:type="even" r:id="rId38"/>
          <w:headerReference w:type="default" r:id="rId39"/>
          <w:footerReference w:type="even" r:id="rId40"/>
          <w:footerReference w:type="default" r:id="rId41"/>
          <w:headerReference w:type="first" r:id="rId42"/>
          <w:footerReference w:type="first" r:id="rId43"/>
          <w:type w:val="continuous"/>
          <w:pgSz w:w="11906" w:h="16838"/>
          <w:pgMar w:top="2155" w:right="1134" w:bottom="1440" w:left="1134" w:header="709" w:footer="283" w:gutter="0"/>
          <w:cols w:space="708"/>
          <w:docGrid w:linePitch="360"/>
        </w:sectPr>
      </w:pPr>
    </w:p>
    <w:p w14:paraId="31C1EEFE"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The CCC is both an enforcement agency and a standing commission of inquiry of more than 30 years in operation, and the only agency of its type in Australia with such wide-ranging responsibilities. Our strength comes of course from the commitment we have to our vision of </w:t>
      </w:r>
      <w:r w:rsidRPr="00DF3006">
        <w:rPr>
          <w:rFonts w:asciiTheme="majorHAnsi" w:hAnsiTheme="majorHAnsi" w:cstheme="majorHAnsi"/>
          <w:b/>
          <w:bCs/>
          <w:color w:val="414042" w:themeColor="text1"/>
          <w:szCs w:val="20"/>
        </w:rPr>
        <w:t>safe communities supported by fair and ethical public institutions</w:t>
      </w:r>
      <w:r w:rsidRPr="00DF3006">
        <w:rPr>
          <w:rFonts w:asciiTheme="majorHAnsi" w:hAnsiTheme="majorHAnsi" w:cstheme="majorHAnsi"/>
          <w:color w:val="414042" w:themeColor="text1"/>
          <w:szCs w:val="20"/>
        </w:rPr>
        <w:t xml:space="preserve">. This year, we have continued to deliver on our core business while investing considerable time, </w:t>
      </w:r>
      <w:proofErr w:type="gramStart"/>
      <w:r w:rsidRPr="00DF3006">
        <w:rPr>
          <w:rFonts w:asciiTheme="majorHAnsi" w:hAnsiTheme="majorHAnsi" w:cstheme="majorHAnsi"/>
          <w:color w:val="414042" w:themeColor="text1"/>
          <w:szCs w:val="20"/>
        </w:rPr>
        <w:t>energy</w:t>
      </w:r>
      <w:proofErr w:type="gramEnd"/>
      <w:r w:rsidRPr="00DF3006">
        <w:rPr>
          <w:rFonts w:asciiTheme="majorHAnsi" w:hAnsiTheme="majorHAnsi" w:cstheme="majorHAnsi"/>
          <w:color w:val="414042" w:themeColor="text1"/>
          <w:szCs w:val="20"/>
        </w:rPr>
        <w:t xml:space="preserve"> and resources into an ambitious transformation journey.</w:t>
      </w:r>
    </w:p>
    <w:p w14:paraId="77FA4C54" w14:textId="01181BE7" w:rsidR="00EA669D" w:rsidRPr="00DF3006" w:rsidRDefault="00EA669D" w:rsidP="00EA669D">
      <w:pPr>
        <w:rPr>
          <w:color w:val="414042" w:themeColor="text1"/>
        </w:rPr>
      </w:pPr>
      <w:r w:rsidRPr="00DF3006">
        <w:rPr>
          <w:rFonts w:asciiTheme="majorHAnsi" w:hAnsiTheme="majorHAnsi" w:cstheme="majorHAnsi"/>
          <w:color w:val="414042" w:themeColor="text1"/>
          <w:szCs w:val="20"/>
        </w:rPr>
        <w:t>The CCC makes an important contribution to law enforcement in this State, using our specialist capabilities and functions for comba</w:t>
      </w:r>
      <w:r w:rsidR="00AF3176" w:rsidRPr="00DF3006">
        <w:rPr>
          <w:rFonts w:asciiTheme="majorHAnsi" w:hAnsiTheme="majorHAnsi" w:cstheme="majorHAnsi"/>
          <w:color w:val="414042" w:themeColor="text1"/>
          <w:szCs w:val="20"/>
        </w:rPr>
        <w:t>t</w:t>
      </w:r>
      <w:r w:rsidRPr="00DF3006">
        <w:rPr>
          <w:rFonts w:asciiTheme="majorHAnsi" w:hAnsiTheme="majorHAnsi" w:cstheme="majorHAnsi"/>
          <w:color w:val="414042" w:themeColor="text1"/>
          <w:szCs w:val="20"/>
        </w:rPr>
        <w:t xml:space="preserve">ing and reducing the incidence of </w:t>
      </w:r>
      <w:r w:rsidRPr="00DF3006">
        <w:rPr>
          <w:rFonts w:asciiTheme="majorHAnsi" w:hAnsiTheme="majorHAnsi" w:cstheme="majorHAnsi"/>
          <w:b/>
          <w:bCs/>
          <w:color w:val="414042" w:themeColor="text1"/>
          <w:szCs w:val="20"/>
        </w:rPr>
        <w:t>serious and organised crime</w:t>
      </w:r>
      <w:r w:rsidRPr="00DF3006">
        <w:rPr>
          <w:rFonts w:asciiTheme="majorHAnsi" w:hAnsiTheme="majorHAnsi" w:cstheme="majorHAnsi"/>
          <w:color w:val="414042" w:themeColor="text1"/>
          <w:szCs w:val="20"/>
        </w:rPr>
        <w:t xml:space="preserve"> affecting Queenslanders. In 2022–23, we held 117 hearing days, with 103 witnesses attending for major crime investigations.</w:t>
      </w:r>
    </w:p>
    <w:p w14:paraId="584F37D9"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b/>
          <w:bCs/>
          <w:color w:val="414042" w:themeColor="text1"/>
          <w:szCs w:val="20"/>
        </w:rPr>
        <w:t>Crime investigations</w:t>
      </w:r>
      <w:r w:rsidRPr="00DF3006">
        <w:rPr>
          <w:rFonts w:asciiTheme="majorHAnsi" w:hAnsiTheme="majorHAnsi" w:cstheme="majorHAnsi"/>
          <w:color w:val="414042" w:themeColor="text1"/>
          <w:szCs w:val="20"/>
        </w:rPr>
        <w:t xml:space="preserve"> targeting enablers and major crime networks resulted in five people being charged with 12 offences, including drug trafficking charges and analogous offences, consorting, and contravening access orders.</w:t>
      </w:r>
    </w:p>
    <w:p w14:paraId="721E75B1" w14:textId="40BF69B3"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We undertook four </w:t>
      </w:r>
      <w:r w:rsidRPr="00DF3006">
        <w:rPr>
          <w:rFonts w:asciiTheme="majorHAnsi" w:hAnsiTheme="majorHAnsi" w:cstheme="majorHAnsi"/>
          <w:b/>
          <w:bCs/>
          <w:color w:val="414042" w:themeColor="text1"/>
          <w:szCs w:val="20"/>
        </w:rPr>
        <w:t>intelligence operations</w:t>
      </w:r>
      <w:r w:rsidRPr="00DF3006">
        <w:rPr>
          <w:rFonts w:asciiTheme="majorHAnsi" w:hAnsiTheme="majorHAnsi" w:cstheme="majorHAnsi"/>
          <w:color w:val="414042" w:themeColor="text1"/>
          <w:szCs w:val="20"/>
        </w:rPr>
        <w:t xml:space="preserve"> making a significant contribution to Queensland and national intelligence on money laundering facilitators. We also made 221 intelligence disseminations, relating to crime investigations and intelligence operations, to the Queensland Police Service</w:t>
      </w:r>
      <w:r w:rsidR="00076199" w:rsidRPr="00DF3006">
        <w:rPr>
          <w:rFonts w:asciiTheme="majorHAnsi" w:hAnsiTheme="majorHAnsi" w:cstheme="majorHAnsi"/>
          <w:color w:val="414042" w:themeColor="text1"/>
          <w:szCs w:val="20"/>
        </w:rPr>
        <w:t xml:space="preserve"> (QPS)</w:t>
      </w:r>
      <w:r w:rsidRPr="00DF3006">
        <w:rPr>
          <w:rFonts w:asciiTheme="majorHAnsi" w:hAnsiTheme="majorHAnsi" w:cstheme="majorHAnsi"/>
          <w:color w:val="414042" w:themeColor="text1"/>
          <w:szCs w:val="20"/>
        </w:rPr>
        <w:t xml:space="preserve"> and other law enforcement agencies.</w:t>
      </w:r>
    </w:p>
    <w:p w14:paraId="1595FCCB" w14:textId="1C1738ED"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In 2022–23, we continued to pursue our commitment to making Queensland a hostile place to engage in crime for profit by pursuing the </w:t>
      </w:r>
      <w:r w:rsidRPr="00DF3006">
        <w:rPr>
          <w:rFonts w:asciiTheme="majorHAnsi" w:hAnsiTheme="majorHAnsi" w:cstheme="majorHAnsi"/>
          <w:b/>
          <w:bCs/>
          <w:color w:val="414042" w:themeColor="text1"/>
          <w:szCs w:val="20"/>
        </w:rPr>
        <w:t>confiscation of crime</w:t>
      </w:r>
      <w:r w:rsidR="00AF3176" w:rsidRPr="00DF3006">
        <w:rPr>
          <w:rFonts w:asciiTheme="majorHAnsi" w:hAnsiTheme="majorHAnsi" w:cstheme="majorHAnsi"/>
          <w:b/>
          <w:bCs/>
          <w:color w:val="414042" w:themeColor="text1"/>
          <w:szCs w:val="20"/>
        </w:rPr>
        <w:t>-</w:t>
      </w:r>
      <w:r w:rsidRPr="00DF3006">
        <w:rPr>
          <w:rFonts w:asciiTheme="majorHAnsi" w:hAnsiTheme="majorHAnsi" w:cstheme="majorHAnsi"/>
          <w:b/>
          <w:bCs/>
          <w:color w:val="414042" w:themeColor="text1"/>
          <w:szCs w:val="20"/>
        </w:rPr>
        <w:t>derived assets</w:t>
      </w:r>
      <w:r w:rsidRPr="00DF3006">
        <w:rPr>
          <w:rFonts w:asciiTheme="majorHAnsi" w:hAnsiTheme="majorHAnsi" w:cstheme="majorHAnsi"/>
          <w:color w:val="414042" w:themeColor="text1"/>
          <w:szCs w:val="20"/>
        </w:rPr>
        <w:t xml:space="preserve"> from those who engage in serious criminal activity for financial benefit. We obtained 15 court orders under which $4.296 million of serious crime derived assets or other benefits were forfeited to the State.</w:t>
      </w:r>
    </w:p>
    <w:p w14:paraId="15195101" w14:textId="6531DFA5" w:rsidR="00CE794D" w:rsidRPr="00DF3006" w:rsidRDefault="00CE794D" w:rsidP="00CE794D">
      <w:pPr>
        <w:rPr>
          <w:rFonts w:asciiTheme="majorHAnsi" w:hAnsiTheme="majorHAnsi" w:cstheme="majorHAnsi"/>
          <w:color w:val="414042" w:themeColor="text1"/>
          <w:szCs w:val="20"/>
        </w:rPr>
      </w:pPr>
      <w:r w:rsidRPr="00DF3006">
        <w:rPr>
          <w:rFonts w:cs="Calibri Light"/>
          <w:color w:val="414042" w:themeColor="text1"/>
          <w:szCs w:val="20"/>
        </w:rPr>
        <w:t xml:space="preserve">Our </w:t>
      </w:r>
      <w:r w:rsidRPr="00DF3006">
        <w:rPr>
          <w:rFonts w:asciiTheme="majorHAnsi" w:hAnsiTheme="majorHAnsi" w:cstheme="majorHAnsi"/>
          <w:b/>
          <w:bCs/>
          <w:i/>
          <w:iCs/>
          <w:color w:val="414042" w:themeColor="text1"/>
          <w:szCs w:val="20"/>
        </w:rPr>
        <w:t>Crime Position Statement 2023–24</w:t>
      </w:r>
      <w:r w:rsidRPr="00DF3006">
        <w:rPr>
          <w:rFonts w:cs="Calibri Light"/>
          <w:color w:val="414042" w:themeColor="text1"/>
          <w:szCs w:val="20"/>
        </w:rPr>
        <w:t xml:space="preserve"> explains how we will continue to fulfil our role and responsibilities as Queensland’s crime commission. It articulates our approach and value proposition in the fight against serious and organised crime that affects this </w:t>
      </w:r>
      <w:r w:rsidR="008044F4" w:rsidRPr="00DF3006">
        <w:rPr>
          <w:rFonts w:cs="Calibri Light"/>
          <w:color w:val="414042" w:themeColor="text1"/>
          <w:szCs w:val="20"/>
        </w:rPr>
        <w:t>S</w:t>
      </w:r>
      <w:r w:rsidRPr="00DF3006">
        <w:rPr>
          <w:rFonts w:cs="Calibri Light"/>
          <w:color w:val="414042" w:themeColor="text1"/>
          <w:szCs w:val="20"/>
        </w:rPr>
        <w:t xml:space="preserve">tate. Namely, by supporting the </w:t>
      </w:r>
      <w:r w:rsidR="00076199" w:rsidRPr="00DF3006">
        <w:rPr>
          <w:rFonts w:cs="Calibri Light"/>
          <w:color w:val="414042" w:themeColor="text1"/>
          <w:szCs w:val="20"/>
        </w:rPr>
        <w:t>QPS</w:t>
      </w:r>
      <w:r w:rsidRPr="00DF3006">
        <w:rPr>
          <w:rFonts w:cs="Calibri Light"/>
          <w:color w:val="414042" w:themeColor="text1"/>
          <w:szCs w:val="20"/>
        </w:rPr>
        <w:t xml:space="preserve"> and our other enforcement partners through our use of specialist powers and functions. It encompasses our priority focus areas, our key objectives for responding to those priorities, and how we use our </w:t>
      </w:r>
      <w:r w:rsidRPr="00DF3006">
        <w:rPr>
          <w:rFonts w:cs="Calibri Light"/>
          <w:i/>
          <w:iCs/>
          <w:color w:val="414042" w:themeColor="text1"/>
          <w:szCs w:val="20"/>
        </w:rPr>
        <w:t>Matter Prioritisation Model</w:t>
      </w:r>
      <w:r w:rsidRPr="00DF3006">
        <w:rPr>
          <w:rFonts w:cs="Calibri Light"/>
          <w:color w:val="414042" w:themeColor="text1"/>
          <w:szCs w:val="20"/>
        </w:rPr>
        <w:t xml:space="preserve"> to ensure that our case and project selection is consistent and transparent. The associated </w:t>
      </w:r>
      <w:r w:rsidRPr="00DF3006">
        <w:rPr>
          <w:rFonts w:cs="Calibri Light"/>
          <w:i/>
          <w:iCs/>
          <w:color w:val="414042" w:themeColor="text1"/>
          <w:szCs w:val="20"/>
        </w:rPr>
        <w:t>Stakeholder Engagement Strategy</w:t>
      </w:r>
      <w:r w:rsidRPr="00DF3006">
        <w:rPr>
          <w:rFonts w:cs="Calibri Light"/>
          <w:color w:val="414042" w:themeColor="text1"/>
          <w:szCs w:val="20"/>
        </w:rPr>
        <w:t xml:space="preserve"> explains how we aim to capture stakeholder issues and concerns, and to pool resources and capabilities to support and achieve outcomes together with our key partners.</w:t>
      </w:r>
    </w:p>
    <w:p w14:paraId="111487CC" w14:textId="43258DF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We developed a new </w:t>
      </w:r>
      <w:r w:rsidRPr="00DF3006">
        <w:rPr>
          <w:rFonts w:asciiTheme="majorHAnsi" w:hAnsiTheme="majorHAnsi" w:cstheme="majorHAnsi"/>
          <w:b/>
          <w:bCs/>
          <w:i/>
          <w:iCs/>
          <w:color w:val="414042" w:themeColor="text1"/>
          <w:szCs w:val="20"/>
        </w:rPr>
        <w:t>Corruption Strategy 2023</w:t>
      </w:r>
      <w:r w:rsidRPr="00DF3006">
        <w:rPr>
          <w:rFonts w:asciiTheme="majorHAnsi" w:hAnsiTheme="majorHAnsi" w:cstheme="majorHAnsi"/>
          <w:b/>
          <w:bCs/>
          <w:color w:val="414042" w:themeColor="text1"/>
          <w:spacing w:val="-4"/>
          <w:szCs w:val="20"/>
        </w:rPr>
        <w:t>–</w:t>
      </w:r>
      <w:r w:rsidRPr="00DF3006">
        <w:rPr>
          <w:rFonts w:asciiTheme="majorHAnsi" w:hAnsiTheme="majorHAnsi" w:cstheme="majorHAnsi"/>
          <w:b/>
          <w:bCs/>
          <w:i/>
          <w:iCs/>
          <w:color w:val="414042" w:themeColor="text1"/>
          <w:szCs w:val="20"/>
        </w:rPr>
        <w:t>27</w:t>
      </w:r>
      <w:r w:rsidRPr="00DF3006">
        <w:rPr>
          <w:rFonts w:asciiTheme="majorHAnsi" w:hAnsiTheme="majorHAnsi" w:cstheme="majorHAnsi"/>
          <w:color w:val="414042" w:themeColor="text1"/>
          <w:szCs w:val="20"/>
        </w:rPr>
        <w:t xml:space="preserve">. </w:t>
      </w:r>
      <w:r w:rsidRPr="00DF3006">
        <w:rPr>
          <w:rFonts w:asciiTheme="majorHAnsi" w:hAnsiTheme="majorHAnsi" w:cstheme="majorHAnsi"/>
          <w:color w:val="414042" w:themeColor="text1"/>
          <w:szCs w:val="20"/>
          <w:lang w:val="en-GB"/>
        </w:rPr>
        <w:t xml:space="preserve">The strategy reflects the evolving integrity landscape, </w:t>
      </w:r>
      <w:r w:rsidR="00AF3176" w:rsidRPr="00DF3006">
        <w:rPr>
          <w:rFonts w:asciiTheme="majorHAnsi" w:hAnsiTheme="majorHAnsi" w:cstheme="majorHAnsi"/>
          <w:color w:val="414042" w:themeColor="text1"/>
          <w:szCs w:val="20"/>
          <w:lang w:val="en-GB"/>
        </w:rPr>
        <w:t xml:space="preserve">and </w:t>
      </w:r>
      <w:r w:rsidRPr="00DF3006">
        <w:rPr>
          <w:rFonts w:asciiTheme="majorHAnsi" w:hAnsiTheme="majorHAnsi" w:cstheme="majorHAnsi"/>
          <w:color w:val="414042" w:themeColor="text1"/>
          <w:szCs w:val="20"/>
          <w:lang w:val="en-GB"/>
        </w:rPr>
        <w:t xml:space="preserve">incorporates the views expressed through consultations with our internal and external stakeholders. The strategy also incorporates findings from our research into how we can better ensure Queenslanders have confidence in the work we do and our planned approach to deliver a successful transformation program through strategies focused on enhancing corruption data, redesigning the way we work, innovating, </w:t>
      </w:r>
      <w:proofErr w:type="gramStart"/>
      <w:r w:rsidRPr="00DF3006">
        <w:rPr>
          <w:rFonts w:asciiTheme="majorHAnsi" w:hAnsiTheme="majorHAnsi" w:cstheme="majorHAnsi"/>
          <w:color w:val="414042" w:themeColor="text1"/>
          <w:szCs w:val="20"/>
          <w:lang w:val="en-GB"/>
        </w:rPr>
        <w:t>digitising</w:t>
      </w:r>
      <w:proofErr w:type="gramEnd"/>
      <w:r w:rsidRPr="00DF3006">
        <w:rPr>
          <w:rFonts w:asciiTheme="majorHAnsi" w:hAnsiTheme="majorHAnsi" w:cstheme="majorHAnsi"/>
          <w:color w:val="414042" w:themeColor="text1"/>
          <w:szCs w:val="20"/>
          <w:lang w:val="en-GB"/>
        </w:rPr>
        <w:t xml:space="preserve"> and automating where we can and ensuring we have a capable, empowered and adaptable workforce.</w:t>
      </w:r>
    </w:p>
    <w:p w14:paraId="5BAA5C1F"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We received 3,931 </w:t>
      </w:r>
      <w:r w:rsidRPr="00DF3006">
        <w:rPr>
          <w:rFonts w:asciiTheme="majorHAnsi" w:hAnsiTheme="majorHAnsi" w:cstheme="majorHAnsi"/>
          <w:b/>
          <w:bCs/>
          <w:color w:val="414042" w:themeColor="text1"/>
          <w:szCs w:val="20"/>
        </w:rPr>
        <w:t>corruption complaints</w:t>
      </w:r>
      <w:r w:rsidRPr="00DF3006">
        <w:rPr>
          <w:rFonts w:asciiTheme="majorHAnsi" w:hAnsiTheme="majorHAnsi" w:cstheme="majorHAnsi"/>
          <w:color w:val="414042" w:themeColor="text1"/>
          <w:szCs w:val="20"/>
        </w:rPr>
        <w:t xml:space="preserve"> and assessed 3,686 corruption complaints, worked with agencies to build their capacity, and investigated serious and systemic cases of alleged corruption within the Queensland public sector.</w:t>
      </w:r>
    </w:p>
    <w:p w14:paraId="21386CF7" w14:textId="77777777" w:rsidR="00351BCC" w:rsidRPr="00DF3006" w:rsidRDefault="00351BCC"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br w:type="page"/>
      </w:r>
    </w:p>
    <w:p w14:paraId="319D0840" w14:textId="444B8BA1"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lastRenderedPageBreak/>
        <w:t xml:space="preserve">We finalised 39 </w:t>
      </w:r>
      <w:r w:rsidRPr="00DF3006">
        <w:rPr>
          <w:rFonts w:asciiTheme="majorHAnsi" w:hAnsiTheme="majorHAnsi" w:cstheme="majorHAnsi"/>
          <w:b/>
          <w:bCs/>
          <w:color w:val="414042" w:themeColor="text1"/>
          <w:szCs w:val="20"/>
        </w:rPr>
        <w:t>corruption</w:t>
      </w:r>
      <w:r w:rsidRPr="00DF3006">
        <w:rPr>
          <w:rFonts w:asciiTheme="majorHAnsi" w:hAnsiTheme="majorHAnsi" w:cstheme="majorHAnsi"/>
          <w:color w:val="414042" w:themeColor="text1"/>
          <w:szCs w:val="20"/>
        </w:rPr>
        <w:t xml:space="preserve"> </w:t>
      </w:r>
      <w:r w:rsidRPr="00DF3006">
        <w:rPr>
          <w:rFonts w:asciiTheme="majorHAnsi" w:hAnsiTheme="majorHAnsi" w:cstheme="majorHAnsi"/>
          <w:b/>
          <w:bCs/>
          <w:color w:val="414042" w:themeColor="text1"/>
          <w:szCs w:val="20"/>
        </w:rPr>
        <w:t>investigations</w:t>
      </w:r>
      <w:r w:rsidRPr="00DF3006">
        <w:rPr>
          <w:rFonts w:asciiTheme="majorHAnsi" w:hAnsiTheme="majorHAnsi" w:cstheme="majorHAnsi"/>
          <w:color w:val="414042" w:themeColor="text1"/>
          <w:szCs w:val="20"/>
        </w:rPr>
        <w:t xml:space="preserve">, resulting in two criminal charges and seven recommendations for disciplinary action. We also made 21 </w:t>
      </w:r>
      <w:r w:rsidRPr="00DF3006">
        <w:rPr>
          <w:rFonts w:asciiTheme="majorHAnsi" w:hAnsiTheme="majorHAnsi" w:cstheme="majorHAnsi"/>
          <w:b/>
          <w:bCs/>
          <w:color w:val="414042" w:themeColor="text1"/>
          <w:szCs w:val="20"/>
        </w:rPr>
        <w:t>corruption</w:t>
      </w:r>
      <w:r w:rsidRPr="00DF3006">
        <w:rPr>
          <w:rFonts w:asciiTheme="majorHAnsi" w:hAnsiTheme="majorHAnsi" w:cstheme="majorHAnsi"/>
          <w:color w:val="414042" w:themeColor="text1"/>
          <w:szCs w:val="20"/>
        </w:rPr>
        <w:t xml:space="preserve"> </w:t>
      </w:r>
      <w:r w:rsidRPr="00DF3006">
        <w:rPr>
          <w:rFonts w:asciiTheme="majorHAnsi" w:hAnsiTheme="majorHAnsi" w:cstheme="majorHAnsi"/>
          <w:b/>
          <w:bCs/>
          <w:color w:val="414042" w:themeColor="text1"/>
          <w:szCs w:val="20"/>
        </w:rPr>
        <w:t>prevention recommendations</w:t>
      </w:r>
      <w:r w:rsidRPr="00DF3006">
        <w:rPr>
          <w:rFonts w:asciiTheme="majorHAnsi" w:hAnsiTheme="majorHAnsi" w:cstheme="majorHAnsi"/>
          <w:color w:val="414042" w:themeColor="text1"/>
          <w:szCs w:val="20"/>
        </w:rPr>
        <w:t xml:space="preserve"> relating to information security, gifts and benefits, and proper documentation of decision-making in relation to appointment processes.</w:t>
      </w:r>
    </w:p>
    <w:p w14:paraId="705243CF"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The Court of Appeal’s decision in </w:t>
      </w:r>
      <w:r w:rsidRPr="00DF3006">
        <w:rPr>
          <w:rFonts w:asciiTheme="majorHAnsi" w:hAnsiTheme="majorHAnsi" w:cstheme="majorHAnsi"/>
          <w:b/>
          <w:bCs/>
          <w:i/>
          <w:iCs/>
          <w:color w:val="414042" w:themeColor="text1"/>
          <w:szCs w:val="20"/>
        </w:rPr>
        <w:t>Carne v Crime and Corruption Commission</w:t>
      </w:r>
      <w:r w:rsidRPr="00DF3006">
        <w:rPr>
          <w:rFonts w:asciiTheme="majorHAnsi" w:hAnsiTheme="majorHAnsi" w:cstheme="majorHAnsi"/>
          <w:b/>
          <w:bCs/>
          <w:color w:val="414042" w:themeColor="text1"/>
          <w:szCs w:val="20"/>
        </w:rPr>
        <w:t xml:space="preserve"> </w:t>
      </w:r>
      <w:r w:rsidRPr="00DF3006">
        <w:rPr>
          <w:rFonts w:asciiTheme="majorHAnsi" w:hAnsiTheme="majorHAnsi" w:cstheme="majorHAnsi"/>
          <w:color w:val="414042" w:themeColor="text1"/>
          <w:szCs w:val="20"/>
        </w:rPr>
        <w:t xml:space="preserve">[2022] </w:t>
      </w:r>
      <w:proofErr w:type="spellStart"/>
      <w:r w:rsidRPr="00DF3006">
        <w:rPr>
          <w:rFonts w:asciiTheme="majorHAnsi" w:hAnsiTheme="majorHAnsi" w:cstheme="majorHAnsi"/>
          <w:color w:val="414042" w:themeColor="text1"/>
          <w:szCs w:val="20"/>
        </w:rPr>
        <w:t>QCA</w:t>
      </w:r>
      <w:proofErr w:type="spellEnd"/>
      <w:r w:rsidRPr="00DF3006">
        <w:rPr>
          <w:rFonts w:asciiTheme="majorHAnsi" w:hAnsiTheme="majorHAnsi" w:cstheme="majorHAnsi"/>
          <w:color w:val="414042" w:themeColor="text1"/>
          <w:szCs w:val="20"/>
        </w:rPr>
        <w:t xml:space="preserve"> 141 had a significant impact on the public visibility of our corruption function due to the limitations it placed on public reporting of corruption investigations. An appeal has been heard in the High Court, and we await the decision. While we have been unable to publicly report on corruption investigations, we have continued to engage with public sector agencies and published a corruption prevention report, </w:t>
      </w:r>
      <w:r w:rsidRPr="00DF3006">
        <w:rPr>
          <w:rFonts w:asciiTheme="majorHAnsi" w:hAnsiTheme="majorHAnsi" w:cstheme="majorHAnsi"/>
          <w:b/>
          <w:bCs/>
          <w:i/>
          <w:iCs/>
          <w:color w:val="414042" w:themeColor="text1"/>
          <w:szCs w:val="20"/>
        </w:rPr>
        <w:t>Influencing Practices</w:t>
      </w:r>
      <w:r w:rsidRPr="00DF3006">
        <w:rPr>
          <w:rFonts w:asciiTheme="majorHAnsi" w:hAnsiTheme="majorHAnsi" w:cstheme="majorHAnsi"/>
          <w:color w:val="414042" w:themeColor="text1"/>
          <w:szCs w:val="20"/>
        </w:rPr>
        <w:t>, on potential risks for the public sector that are associated with lobbying.</w:t>
      </w:r>
    </w:p>
    <w:p w14:paraId="1F003DC2"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Underpinning everything we have done this year is the need to ensure that Queenslanders can continue to have confidence in their state’s crime and corruption commission. Public confidence is closely linked to public accountability and transparency. That is why this year’s report sets out how we have </w:t>
      </w:r>
      <w:r w:rsidRPr="00DF3006">
        <w:rPr>
          <w:rFonts w:asciiTheme="majorHAnsi" w:hAnsiTheme="majorHAnsi" w:cstheme="majorHAnsi"/>
          <w:b/>
          <w:bCs/>
          <w:color w:val="414042" w:themeColor="text1"/>
          <w:szCs w:val="20"/>
        </w:rPr>
        <w:t>responded to the external inquiries and reviews</w:t>
      </w:r>
      <w:r w:rsidRPr="00DF3006">
        <w:rPr>
          <w:rFonts w:asciiTheme="majorHAnsi" w:hAnsiTheme="majorHAnsi" w:cstheme="majorHAnsi"/>
          <w:color w:val="414042" w:themeColor="text1"/>
          <w:szCs w:val="20"/>
        </w:rPr>
        <w:t xml:space="preserve"> that examined the operations of the CCC, primarily in our corruption function, and our relationship with other justice and integrity bodies. Throughout this report you will see how these reviews have complemented and enabled us to continue to build upon existing strategies to improve our operations.  </w:t>
      </w:r>
    </w:p>
    <w:p w14:paraId="674E0222" w14:textId="77777777" w:rsidR="00EA669D" w:rsidRPr="00DF3006" w:rsidRDefault="00EA669D" w:rsidP="00EA669D">
      <w:pPr>
        <w:rPr>
          <w:bCs/>
          <w:color w:val="414042" w:themeColor="text1"/>
          <w:u w:color="E6E7E8" w:themeColor="background2"/>
        </w:rPr>
      </w:pPr>
      <w:r w:rsidRPr="00DF3006">
        <w:rPr>
          <w:rFonts w:asciiTheme="majorHAnsi" w:hAnsiTheme="majorHAnsi" w:cstheme="majorHAnsi"/>
          <w:color w:val="414042" w:themeColor="text1"/>
          <w:szCs w:val="20"/>
        </w:rPr>
        <w:t xml:space="preserve">On 9 August 2022, the </w:t>
      </w:r>
      <w:r w:rsidRPr="00DF3006">
        <w:rPr>
          <w:color w:val="414042" w:themeColor="text1"/>
        </w:rPr>
        <w:t>Commission</w:t>
      </w:r>
      <w:r w:rsidRPr="00DF3006">
        <w:rPr>
          <w:bCs/>
          <w:color w:val="414042" w:themeColor="text1"/>
          <w:u w:color="E6E7E8" w:themeColor="background2"/>
        </w:rPr>
        <w:t xml:space="preserve"> of Inquiry relating to the Crime and Corruption Commission (</w:t>
      </w:r>
      <w:r w:rsidRPr="00DF3006">
        <w:rPr>
          <w:b/>
          <w:i/>
          <w:iCs/>
          <w:color w:val="414042" w:themeColor="text1"/>
          <w:u w:color="E6E7E8" w:themeColor="background2"/>
        </w:rPr>
        <w:t>Fitzgerald/Wilson Inquiry</w:t>
      </w:r>
      <w:r w:rsidRPr="00DF3006">
        <w:rPr>
          <w:bCs/>
          <w:color w:val="414042" w:themeColor="text1"/>
          <w:u w:color="E6E7E8" w:themeColor="background2"/>
        </w:rPr>
        <w:t xml:space="preserve">) </w:t>
      </w:r>
      <w:r w:rsidRPr="00DF3006">
        <w:rPr>
          <w:rFonts w:asciiTheme="majorHAnsi" w:hAnsiTheme="majorHAnsi" w:cstheme="majorHAnsi"/>
          <w:color w:val="414042" w:themeColor="text1"/>
          <w:szCs w:val="20"/>
        </w:rPr>
        <w:t xml:space="preserve">made 32 recommendations relating to the investigative and charging powers of the CCC, the role of seconded police officers for our corruption jurisdiction and our ongoing role in preventing corruption. As </w:t>
      </w:r>
      <w:proofErr w:type="gramStart"/>
      <w:r w:rsidRPr="00DF3006">
        <w:rPr>
          <w:rFonts w:asciiTheme="majorHAnsi" w:hAnsiTheme="majorHAnsi" w:cstheme="majorHAnsi"/>
          <w:color w:val="414042" w:themeColor="text1"/>
          <w:szCs w:val="20"/>
        </w:rPr>
        <w:t>at</w:t>
      </w:r>
      <w:proofErr w:type="gramEnd"/>
      <w:r w:rsidRPr="00DF3006">
        <w:rPr>
          <w:rFonts w:asciiTheme="majorHAnsi" w:hAnsiTheme="majorHAnsi" w:cstheme="majorHAnsi"/>
          <w:color w:val="414042" w:themeColor="text1"/>
          <w:szCs w:val="20"/>
        </w:rPr>
        <w:t xml:space="preserve"> 30 June 2023, the CCC has completed 10 recommendations in full and made material progress on 15 recommendations. The remaining seven either require legislative amendments (which are therefore dependent on government), relate to future reporting requirements or are not the responsibility of the CCC.</w:t>
      </w:r>
    </w:p>
    <w:p w14:paraId="38627B4B" w14:textId="300D0CAF" w:rsidR="00EA669D" w:rsidRPr="00DF3006" w:rsidRDefault="00EA669D" w:rsidP="00EA669D">
      <w:pPr>
        <w:rPr>
          <w:rFonts w:eastAsia="Calibri" w:cs="Arial"/>
          <w:color w:val="414042" w:themeColor="text1"/>
        </w:rPr>
      </w:pPr>
      <w:r w:rsidRPr="00DF3006">
        <w:rPr>
          <w:rFonts w:asciiTheme="majorHAnsi" w:hAnsiTheme="majorHAnsi" w:cstheme="majorHAnsi"/>
          <w:color w:val="414042" w:themeColor="text1"/>
          <w:szCs w:val="20"/>
        </w:rPr>
        <w:t xml:space="preserve">Throughout the reporting period, we also continued to implement recommendations arising from the Parliamentary Crime and Corruption Committee’s 2021 review of the </w:t>
      </w:r>
      <w:r w:rsidRPr="00DF3006">
        <w:rPr>
          <w:rFonts w:eastAsia="Calibri" w:cs="Arial"/>
          <w:color w:val="414042" w:themeColor="text1"/>
        </w:rPr>
        <w:t>Crime and Corruption Commission’s activities (</w:t>
      </w:r>
      <w:r w:rsidRPr="00DF3006">
        <w:rPr>
          <w:rFonts w:eastAsia="Calibri" w:cs="Arial"/>
          <w:b/>
          <w:bCs/>
          <w:i/>
          <w:iCs/>
          <w:color w:val="414042" w:themeColor="text1"/>
        </w:rPr>
        <w:t>Five-Year Review 2021</w:t>
      </w:r>
      <w:r w:rsidRPr="00DF3006">
        <w:rPr>
          <w:rFonts w:eastAsia="Calibri" w:cs="Arial"/>
          <w:color w:val="414042" w:themeColor="text1"/>
        </w:rPr>
        <w:t>) as well as one recommendation directed to the CCC from the Committee’s inquiry into the investigation of former councillors of Logan City Council (</w:t>
      </w:r>
      <w:r w:rsidRPr="00DF3006">
        <w:rPr>
          <w:rFonts w:eastAsia="Calibri" w:cs="Arial"/>
          <w:b/>
          <w:bCs/>
          <w:i/>
          <w:iCs/>
          <w:color w:val="414042" w:themeColor="text1"/>
        </w:rPr>
        <w:t>Logan Inquiry</w:t>
      </w:r>
      <w:r w:rsidRPr="00DF3006">
        <w:rPr>
          <w:rFonts w:eastAsia="Calibri" w:cs="Arial"/>
          <w:color w:val="414042" w:themeColor="text1"/>
        </w:rPr>
        <w:t>).</w:t>
      </w:r>
    </w:p>
    <w:p w14:paraId="4DE53276" w14:textId="6BAF1FC3" w:rsidR="00EA669D" w:rsidRPr="00DF3006" w:rsidRDefault="00EA669D" w:rsidP="00EA669D">
      <w:pPr>
        <w:rPr>
          <w:rFonts w:asciiTheme="majorHAnsi" w:hAnsiTheme="majorHAnsi" w:cstheme="majorHAnsi"/>
          <w:color w:val="414042" w:themeColor="text1"/>
          <w:szCs w:val="20"/>
        </w:rPr>
      </w:pPr>
      <w:r w:rsidRPr="00DF3006">
        <w:rPr>
          <w:rFonts w:eastAsia="Calibri" w:cs="Arial"/>
          <w:color w:val="414042" w:themeColor="text1"/>
        </w:rPr>
        <w:br w:type="column"/>
      </w:r>
      <w:r w:rsidRPr="00DF3006">
        <w:rPr>
          <w:rFonts w:asciiTheme="majorHAnsi" w:hAnsiTheme="majorHAnsi" w:cstheme="majorHAnsi"/>
          <w:color w:val="414042" w:themeColor="text1"/>
          <w:szCs w:val="20"/>
        </w:rPr>
        <w:t>Recognising the interconnectedness of integrity-related issues in the Queensland public sector, the CCC has participated in a stakeholder reference group established to support the reforms recommended for the broader integrity sector including those made by Professor Peter Coaldrake</w:t>
      </w:r>
      <w:r w:rsidRPr="00DF3006">
        <w:rPr>
          <w:rFonts w:asciiTheme="majorHAnsi" w:hAnsiTheme="majorHAnsi" w:cstheme="majorHAnsi"/>
          <w:b/>
          <w:bCs/>
          <w:color w:val="414042" w:themeColor="text1"/>
          <w:szCs w:val="20"/>
        </w:rPr>
        <w:t xml:space="preserve"> </w:t>
      </w:r>
      <w:r w:rsidRPr="00DF3006">
        <w:rPr>
          <w:rFonts w:asciiTheme="majorHAnsi" w:hAnsiTheme="majorHAnsi" w:cstheme="majorHAnsi"/>
          <w:color w:val="414042" w:themeColor="text1"/>
          <w:szCs w:val="20"/>
        </w:rPr>
        <w:t>in his review of culture and accountability in the Queensland public sector (</w:t>
      </w:r>
      <w:r w:rsidRPr="00DF3006">
        <w:rPr>
          <w:rFonts w:asciiTheme="majorHAnsi" w:hAnsiTheme="majorHAnsi" w:cstheme="majorHAnsi"/>
          <w:b/>
          <w:bCs/>
          <w:i/>
          <w:iCs/>
          <w:color w:val="414042" w:themeColor="text1"/>
          <w:szCs w:val="20"/>
        </w:rPr>
        <w:t>Coaldrake Review</w:t>
      </w:r>
      <w:r w:rsidRPr="00DF3006">
        <w:rPr>
          <w:rFonts w:asciiTheme="majorHAnsi" w:hAnsiTheme="majorHAnsi" w:cstheme="majorHAnsi"/>
          <w:color w:val="414042" w:themeColor="text1"/>
          <w:szCs w:val="20"/>
        </w:rPr>
        <w:t>).</w:t>
      </w:r>
    </w:p>
    <w:p w14:paraId="6CCDBA46" w14:textId="52612B1E"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 xml:space="preserve">We were also extensively engaged in the review of the </w:t>
      </w:r>
      <w:r w:rsidRPr="00DF3006">
        <w:rPr>
          <w:rFonts w:asciiTheme="majorHAnsi" w:hAnsiTheme="majorHAnsi" w:cstheme="majorHAnsi"/>
          <w:b/>
          <w:bCs/>
          <w:i/>
          <w:iCs/>
          <w:color w:val="414042" w:themeColor="text1"/>
          <w:szCs w:val="20"/>
        </w:rPr>
        <w:t>Public Interest Disclosure Act 2010</w:t>
      </w:r>
      <w:r w:rsidR="00462084" w:rsidRPr="00DF3006">
        <w:rPr>
          <w:rFonts w:asciiTheme="majorHAnsi" w:hAnsiTheme="majorHAnsi" w:cstheme="majorHAnsi"/>
          <w:b/>
          <w:bCs/>
          <w:color w:val="414042" w:themeColor="text1"/>
          <w:szCs w:val="20"/>
        </w:rPr>
        <w:t xml:space="preserve"> (Qld)</w:t>
      </w:r>
      <w:r w:rsidRPr="00DF3006">
        <w:rPr>
          <w:rFonts w:asciiTheme="majorHAnsi" w:hAnsiTheme="majorHAnsi" w:cstheme="majorHAnsi"/>
          <w:color w:val="414042" w:themeColor="text1"/>
          <w:szCs w:val="20"/>
        </w:rPr>
        <w:t>, through the provision of written submissions and direct engagement with the reviewer.</w:t>
      </w:r>
    </w:p>
    <w:p w14:paraId="2B6FEE5E"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These outcomes demonstrate our resilience and determination as an agency to continue to deliver results for the people of Queensland, while committing to renewing our internal operations and transforming our relationships with our partners and the Queensland community, to whom we are ultimately accountable.</w:t>
      </w:r>
    </w:p>
    <w:p w14:paraId="00184506"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As we close out the 2022–23 financial year, I am proud to say that we have an ambitious new strategic direction for the next four years and a transformational program of work to make that new direction a reality.</w:t>
      </w:r>
    </w:p>
    <w:p w14:paraId="3E1CA57C" w14:textId="77777777" w:rsidR="00EA669D" w:rsidRPr="00DF3006" w:rsidRDefault="00EA669D" w:rsidP="00EA669D">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Finally, I want to thank our staff for their professionalism and perseverance in carrying on their work in the face of many additional demands throughout the year.</w:t>
      </w:r>
    </w:p>
    <w:p w14:paraId="01C0C974" w14:textId="75398807" w:rsidR="007A3E39" w:rsidRPr="00DF3006" w:rsidRDefault="007A3E39" w:rsidP="00EA669D">
      <w:pPr>
        <w:spacing w:before="480"/>
        <w:rPr>
          <w:color w:val="414042" w:themeColor="text1"/>
        </w:rPr>
      </w:pPr>
      <w:bookmarkStart w:id="69" w:name="_Hlk144293657"/>
      <w:r w:rsidRPr="00DF3006">
        <w:rPr>
          <w:rFonts w:asciiTheme="minorHAnsi" w:hAnsiTheme="minorHAnsi" w:cstheme="minorHAnsi"/>
          <w:b/>
          <w:bCs/>
          <w:color w:val="414042" w:themeColor="text1"/>
        </w:rPr>
        <w:t>Bruce Barbour</w:t>
      </w:r>
      <w:r w:rsidRPr="00DF3006">
        <w:rPr>
          <w:color w:val="414042" w:themeColor="text1"/>
        </w:rPr>
        <w:br/>
      </w:r>
      <w:r w:rsidRPr="00DF3006">
        <w:rPr>
          <w:rFonts w:cs="Calibri Light"/>
          <w:color w:val="414042" w:themeColor="text1"/>
        </w:rPr>
        <w:t>Chairperson</w:t>
      </w:r>
      <w:bookmarkEnd w:id="52"/>
    </w:p>
    <w:bookmarkEnd w:id="69"/>
    <w:p w14:paraId="71805F1E" w14:textId="77777777" w:rsidR="002227D3" w:rsidRPr="00DF3006" w:rsidRDefault="002227D3" w:rsidP="002227D3">
      <w:pPr>
        <w:spacing w:before="480"/>
        <w:rPr>
          <w:rFonts w:cs="Calibri Light"/>
          <w:color w:val="414042" w:themeColor="text1"/>
          <w:highlight w:val="red"/>
        </w:rPr>
        <w:sectPr w:rsidR="002227D3" w:rsidRPr="00DF3006" w:rsidSect="00C77834">
          <w:headerReference w:type="even" r:id="rId44"/>
          <w:headerReference w:type="default" r:id="rId45"/>
          <w:headerReference w:type="first" r:id="rId46"/>
          <w:type w:val="continuous"/>
          <w:pgSz w:w="11906" w:h="16838" w:code="9"/>
          <w:pgMar w:top="2155" w:right="1134" w:bottom="964" w:left="1134" w:header="720" w:footer="284" w:gutter="0"/>
          <w:cols w:num="2" w:space="567"/>
          <w:noEndnote/>
          <w:docGrid w:linePitch="272"/>
        </w:sectPr>
      </w:pPr>
    </w:p>
    <w:p w14:paraId="6E4804BA" w14:textId="6E5E20C0" w:rsidR="00507AF5" w:rsidRPr="00DF3006" w:rsidRDefault="00507AF5" w:rsidP="00507AF5">
      <w:pPr>
        <w:pStyle w:val="Heading2"/>
      </w:pPr>
      <w:bookmarkStart w:id="70" w:name="_Toc102037851"/>
      <w:bookmarkStart w:id="71" w:name="_Toc102038213"/>
      <w:bookmarkStart w:id="72" w:name="_Toc102038574"/>
      <w:bookmarkStart w:id="73" w:name="_Toc102038934"/>
      <w:bookmarkStart w:id="74" w:name="_Toc102039286"/>
      <w:bookmarkStart w:id="75" w:name="_Toc102039641"/>
      <w:bookmarkStart w:id="76" w:name="_Toc102039998"/>
      <w:bookmarkStart w:id="77" w:name="_Toc102040323"/>
      <w:bookmarkStart w:id="78" w:name="_Toc102040657"/>
      <w:bookmarkStart w:id="79" w:name="_Toc102040985"/>
      <w:bookmarkStart w:id="80" w:name="_Toc102041315"/>
      <w:bookmarkStart w:id="81" w:name="_Toc102041647"/>
      <w:bookmarkStart w:id="82" w:name="_Toc102041974"/>
      <w:bookmarkStart w:id="83" w:name="_Toc102042303"/>
      <w:bookmarkStart w:id="84" w:name="_Toc102045433"/>
      <w:bookmarkStart w:id="85" w:name="messagefromCEO"/>
      <w:r w:rsidRPr="00DF3006">
        <w:lastRenderedPageBreak/>
        <w:t>Message from the Chief Executive Officer</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bookmarkEnd w:id="85"/>
    <w:p w14:paraId="5BEA3354" w14:textId="50BAB3E8" w:rsidR="00507AF5" w:rsidRPr="00DF3006" w:rsidRDefault="00BE3D76" w:rsidP="00507AF5">
      <w:pPr>
        <w:rPr>
          <w:rFonts w:ascii="Calibri" w:hAnsi="Calibri" w:cs="Calibri"/>
          <w:b/>
          <w:bCs/>
          <w:color w:val="414042" w:themeColor="text1"/>
          <w:spacing w:val="-6"/>
          <w:sz w:val="24"/>
          <w:szCs w:val="24"/>
          <w:lang w:val="en-US"/>
        </w:rPr>
      </w:pPr>
      <w:r w:rsidRPr="00DF3006">
        <w:rPr>
          <w:rFonts w:ascii="Calibri" w:hAnsi="Calibri" w:cs="Calibri"/>
          <w:b/>
          <w:bCs/>
          <w:color w:val="414042" w:themeColor="text1"/>
          <w:spacing w:val="-6"/>
          <w:sz w:val="24"/>
          <w:szCs w:val="24"/>
          <w:lang w:val="en-US"/>
        </w:rPr>
        <w:t xml:space="preserve">In 2022–23, we continued to build our critical capabilities to enhance our ability to respond to a complex and continually evolving operating environment. Over the past year, we have considered how the CCC can best respond strategically and operationally to our entire renewal agenda. </w:t>
      </w:r>
    </w:p>
    <w:p w14:paraId="2FAC1DB2" w14:textId="77777777" w:rsidR="00507AF5" w:rsidRPr="00DF3006" w:rsidRDefault="00507AF5" w:rsidP="00507AF5">
      <w:pPr>
        <w:rPr>
          <w:color w:val="414042" w:themeColor="text1"/>
        </w:rPr>
      </w:pPr>
    </w:p>
    <w:p w14:paraId="5A50266B" w14:textId="45718946" w:rsidR="009A4055" w:rsidRPr="00DF3006" w:rsidRDefault="009A4055" w:rsidP="00507AF5">
      <w:pPr>
        <w:rPr>
          <w:color w:val="414042" w:themeColor="text1"/>
        </w:rPr>
        <w:sectPr w:rsidR="009A4055" w:rsidRPr="00DF3006" w:rsidSect="003550DF">
          <w:headerReference w:type="even" r:id="rId47"/>
          <w:headerReference w:type="default" r:id="rId48"/>
          <w:footerReference w:type="even" r:id="rId49"/>
          <w:footerReference w:type="default" r:id="rId50"/>
          <w:headerReference w:type="first" r:id="rId51"/>
          <w:footerReference w:type="first" r:id="rId52"/>
          <w:type w:val="continuous"/>
          <w:pgSz w:w="11906" w:h="16838"/>
          <w:pgMar w:top="2155" w:right="1134" w:bottom="964" w:left="1134" w:header="709" w:footer="284" w:gutter="0"/>
          <w:cols w:space="708"/>
          <w:docGrid w:linePitch="360"/>
        </w:sectPr>
      </w:pPr>
    </w:p>
    <w:p w14:paraId="0E23AD11" w14:textId="77777777" w:rsidR="00351BCC" w:rsidRPr="00DF3006" w:rsidRDefault="00351BCC" w:rsidP="00BE3D76">
      <w:pPr>
        <w:rPr>
          <w:color w:val="414042" w:themeColor="text1"/>
        </w:rPr>
      </w:pPr>
      <w:r w:rsidRPr="00DF3006">
        <w:rPr>
          <w:color w:val="414042" w:themeColor="text1"/>
        </w:rPr>
        <w:t xml:space="preserve">The CCC has secured an additional $20.849 million over five years to support the effective management and delivery of a renewal program of the size, scale and complexity recommended by the </w:t>
      </w:r>
      <w:r w:rsidRPr="00DF3006">
        <w:rPr>
          <w:b/>
          <w:bCs/>
          <w:i/>
          <w:iCs/>
          <w:color w:val="414042" w:themeColor="text1"/>
        </w:rPr>
        <w:t>Fitzgerald/Wilson Inquiry.</w:t>
      </w:r>
      <w:r w:rsidRPr="00DF3006">
        <w:rPr>
          <w:color w:val="414042" w:themeColor="text1"/>
        </w:rPr>
        <w:t xml:space="preserve"> This will accelerate our journey to create the best version of the CCC we can and support the delivery of better and more efficient services.</w:t>
      </w:r>
    </w:p>
    <w:p w14:paraId="70C8C0BA" w14:textId="14F32365" w:rsidR="00BE3D76" w:rsidRPr="00DF3006" w:rsidRDefault="00BE3D76" w:rsidP="00BE3D76">
      <w:pPr>
        <w:rPr>
          <w:color w:val="414042" w:themeColor="text1"/>
        </w:rPr>
      </w:pPr>
      <w:r w:rsidRPr="00DF3006">
        <w:rPr>
          <w:color w:val="414042" w:themeColor="text1"/>
        </w:rPr>
        <w:t xml:space="preserve">The CCC is undergoing significant transformation as it delivers initiatives to uplift digital and insights capabilities, implements major reforms in </w:t>
      </w:r>
      <w:r w:rsidRPr="00DF3006">
        <w:rPr>
          <w:b/>
          <w:bCs/>
          <w:color w:val="414042" w:themeColor="text1"/>
        </w:rPr>
        <w:t xml:space="preserve">response to the </w:t>
      </w:r>
      <w:r w:rsidRPr="00DF3006">
        <w:rPr>
          <w:b/>
          <w:bCs/>
          <w:i/>
          <w:iCs/>
          <w:color w:val="414042" w:themeColor="text1"/>
        </w:rPr>
        <w:t>Fitzgerald/Wilson Inquiry</w:t>
      </w:r>
      <w:r w:rsidRPr="00DF3006">
        <w:rPr>
          <w:color w:val="414042" w:themeColor="text1"/>
        </w:rPr>
        <w:t xml:space="preserve">, and commences implementing an ambitious new four-year </w:t>
      </w:r>
      <w:r w:rsidRPr="00DF3006">
        <w:rPr>
          <w:b/>
          <w:bCs/>
          <w:i/>
          <w:iCs/>
          <w:color w:val="414042" w:themeColor="text1"/>
        </w:rPr>
        <w:t>Strategic Plan 2023–27</w:t>
      </w:r>
      <w:r w:rsidRPr="00DF3006">
        <w:rPr>
          <w:color w:val="414042" w:themeColor="text1"/>
        </w:rPr>
        <w:t xml:space="preserve"> that recognises the increasing value of data and insights in combating serious crime and preventing corruption.</w:t>
      </w:r>
    </w:p>
    <w:p w14:paraId="60968373" w14:textId="41EFACA5" w:rsidR="00BE3D76" w:rsidRPr="00DF3006" w:rsidRDefault="00BE3D76" w:rsidP="00BE3D76">
      <w:pPr>
        <w:rPr>
          <w:rFonts w:asciiTheme="majorHAnsi" w:hAnsiTheme="majorHAnsi" w:cstheme="majorHAnsi"/>
          <w:color w:val="414042" w:themeColor="text1"/>
          <w:szCs w:val="20"/>
        </w:rPr>
      </w:pPr>
      <w:r w:rsidRPr="00DF3006">
        <w:rPr>
          <w:rFonts w:asciiTheme="majorHAnsi" w:hAnsiTheme="majorHAnsi" w:cstheme="majorHAnsi"/>
          <w:color w:val="414042" w:themeColor="text1"/>
          <w:szCs w:val="20"/>
        </w:rPr>
        <w:t>Where we were able to respond swiftly to recommendations arising from external inquiries and reviews, we have. Where we needed more time to consider the implications of the recommendations and to undertake more detailed planning, we have developed a renewal program of work and, where necessary, adjusted our existing strategies and operational plans.</w:t>
      </w:r>
    </w:p>
    <w:p w14:paraId="093DB191" w14:textId="77777777" w:rsidR="00BE3D76" w:rsidRPr="00DF3006" w:rsidRDefault="00BE3D76" w:rsidP="00E6066A">
      <w:pPr>
        <w:pStyle w:val="Heading3"/>
      </w:pPr>
      <w:r w:rsidRPr="00DF3006">
        <w:t>Our changing operating environment</w:t>
      </w:r>
    </w:p>
    <w:p w14:paraId="383B6089" w14:textId="77777777" w:rsidR="00351BCC" w:rsidRPr="00DF3006" w:rsidRDefault="00BE3D76" w:rsidP="00351BCC">
      <w:pPr>
        <w:rPr>
          <w:color w:val="414042" w:themeColor="text1"/>
        </w:rPr>
      </w:pPr>
      <w:r w:rsidRPr="00DF3006">
        <w:rPr>
          <w:color w:val="414042" w:themeColor="text1"/>
        </w:rPr>
        <w:t xml:space="preserve">Ongoing and rapid innovation in technology is changing the way societies operate, exponentially increasing the scale of digital information, which is being exploited by organised criminals more than ever before. This level of change makes our </w:t>
      </w:r>
      <w:r w:rsidRPr="00DF3006">
        <w:rPr>
          <w:b/>
          <w:bCs/>
          <w:color w:val="414042" w:themeColor="text1"/>
        </w:rPr>
        <w:t>operating environment</w:t>
      </w:r>
      <w:r w:rsidRPr="00DF3006">
        <w:rPr>
          <w:color w:val="414042" w:themeColor="text1"/>
        </w:rPr>
        <w:t xml:space="preserve"> challenging and dynamic.</w:t>
      </w:r>
    </w:p>
    <w:p w14:paraId="3DDC8A84" w14:textId="504B505D" w:rsidR="00351BCC" w:rsidRPr="00DF3006" w:rsidRDefault="00BE3D76" w:rsidP="00351BCC">
      <w:pPr>
        <w:rPr>
          <w:color w:val="414042" w:themeColor="text1"/>
        </w:rPr>
      </w:pPr>
      <w:r w:rsidRPr="00DF3006">
        <w:rPr>
          <w:color w:val="414042" w:themeColor="text1"/>
        </w:rPr>
        <w:t xml:space="preserve">We recognise that sophisticated </w:t>
      </w:r>
      <w:r w:rsidRPr="00DF3006">
        <w:rPr>
          <w:b/>
          <w:bCs/>
          <w:color w:val="414042" w:themeColor="text1"/>
        </w:rPr>
        <w:t>digital and technical capability</w:t>
      </w:r>
      <w:r w:rsidRPr="00DF3006">
        <w:rPr>
          <w:color w:val="414042" w:themeColor="text1"/>
        </w:rPr>
        <w:t xml:space="preserve"> is necessary to strengthen the security and resilience of our sensitive information holdings, prevent and identify sophisticated criminal networks engaging in major crime, confiscate the proceeds of crime, and </w:t>
      </w:r>
      <w:r w:rsidR="00BE2648" w:rsidRPr="00DF3006">
        <w:rPr>
          <w:color w:val="414042" w:themeColor="text1"/>
        </w:rPr>
        <w:br w:type="column"/>
      </w:r>
      <w:r w:rsidRPr="00DF3006">
        <w:rPr>
          <w:color w:val="414042" w:themeColor="text1"/>
        </w:rPr>
        <w:t>develop our unique strategic data asset that will improve Queensland’s ability to identify and prevent corruption.</w:t>
      </w:r>
    </w:p>
    <w:p w14:paraId="6DBB07B6" w14:textId="55767E6A" w:rsidR="00BE3D76" w:rsidRPr="00DF3006" w:rsidRDefault="00BE3D76" w:rsidP="00BE3D76">
      <w:pPr>
        <w:rPr>
          <w:color w:val="414042" w:themeColor="text1"/>
        </w:rPr>
      </w:pPr>
      <w:r w:rsidRPr="00DF3006">
        <w:rPr>
          <w:rFonts w:asciiTheme="minorHAnsi" w:eastAsia="Times New Roman" w:hAnsiTheme="minorHAnsi" w:cs="Times New Roman"/>
          <w:b/>
          <w:bCs/>
          <w:noProof/>
          <w:color w:val="414042" w:themeColor="text1"/>
          <w:sz w:val="28"/>
          <w:szCs w:val="28"/>
          <w:lang w:eastAsia="en-AU"/>
        </w:rPr>
        <w:t>Continuing to build critical capabilities</w:t>
      </w:r>
    </w:p>
    <w:p w14:paraId="3B23B812" w14:textId="77777777" w:rsidR="00BE3D76" w:rsidRPr="00DF3006" w:rsidRDefault="00BE3D76" w:rsidP="00BE3D76">
      <w:pPr>
        <w:rPr>
          <w:color w:val="414042" w:themeColor="text1"/>
        </w:rPr>
      </w:pPr>
      <w:bookmarkStart w:id="86" w:name="_Hlk137480382"/>
      <w:r w:rsidRPr="00DF3006">
        <w:rPr>
          <w:color w:val="414042" w:themeColor="text1"/>
          <w:spacing w:val="-4"/>
        </w:rPr>
        <w:t xml:space="preserve">In 2022–23, </w:t>
      </w:r>
      <w:r w:rsidRPr="00DF3006">
        <w:rPr>
          <w:color w:val="414042" w:themeColor="text1"/>
        </w:rPr>
        <w:t>we:</w:t>
      </w:r>
    </w:p>
    <w:p w14:paraId="64595431" w14:textId="77777777" w:rsidR="00BE3D76" w:rsidRPr="00DF3006" w:rsidRDefault="00BE3D76" w:rsidP="00BE3D76">
      <w:pPr>
        <w:numPr>
          <w:ilvl w:val="0"/>
          <w:numId w:val="50"/>
        </w:numPr>
        <w:spacing w:after="120"/>
        <w:rPr>
          <w:color w:val="414042" w:themeColor="text1"/>
          <w:spacing w:val="-4"/>
        </w:rPr>
      </w:pPr>
      <w:r w:rsidRPr="00DF3006">
        <w:rPr>
          <w:color w:val="414042" w:themeColor="text1"/>
          <w:spacing w:val="-4"/>
        </w:rPr>
        <w:t xml:space="preserve">upskilled investigators in digital currencies and commenced a trial of </w:t>
      </w:r>
      <w:r w:rsidRPr="00DF3006">
        <w:rPr>
          <w:b/>
          <w:bCs/>
          <w:color w:val="414042" w:themeColor="text1"/>
          <w:spacing w:val="-4"/>
        </w:rPr>
        <w:t>cryptocurrency</w:t>
      </w:r>
      <w:r w:rsidRPr="00DF3006">
        <w:rPr>
          <w:color w:val="414042" w:themeColor="text1"/>
          <w:spacing w:val="-4"/>
        </w:rPr>
        <w:t xml:space="preserve"> forensic software to enhance the effectiveness of criminal </w:t>
      </w:r>
      <w:proofErr w:type="gramStart"/>
      <w:r w:rsidRPr="00DF3006">
        <w:rPr>
          <w:color w:val="414042" w:themeColor="text1"/>
          <w:spacing w:val="-4"/>
        </w:rPr>
        <w:t>investigations</w:t>
      </w:r>
      <w:proofErr w:type="gramEnd"/>
    </w:p>
    <w:p w14:paraId="51FFCAD8" w14:textId="77777777" w:rsidR="00BE3D76" w:rsidRPr="00DF3006" w:rsidRDefault="00BE3D76" w:rsidP="00BE3D76">
      <w:pPr>
        <w:numPr>
          <w:ilvl w:val="0"/>
          <w:numId w:val="50"/>
        </w:numPr>
        <w:spacing w:after="120"/>
        <w:rPr>
          <w:color w:val="414042" w:themeColor="text1"/>
          <w:spacing w:val="-4"/>
        </w:rPr>
      </w:pPr>
      <w:bookmarkStart w:id="87" w:name="_Hlk137480494"/>
      <w:r w:rsidRPr="00DF3006">
        <w:rPr>
          <w:color w:val="414042" w:themeColor="text1"/>
          <w:spacing w:val="-4"/>
        </w:rPr>
        <w:t xml:space="preserve">leveraged technology to improve the efficiency and effectiveness of our investigations by enabling electronic evidence to be shared, searched and analysed anywhere and anytime, and upgraded the system used to assist financial investigators pursue the </w:t>
      </w:r>
      <w:r w:rsidRPr="00DF3006">
        <w:rPr>
          <w:b/>
          <w:bCs/>
          <w:color w:val="414042" w:themeColor="text1"/>
          <w:spacing w:val="-4"/>
        </w:rPr>
        <w:t xml:space="preserve">proceeds of </w:t>
      </w:r>
      <w:proofErr w:type="gramStart"/>
      <w:r w:rsidRPr="00DF3006">
        <w:rPr>
          <w:b/>
          <w:bCs/>
          <w:color w:val="414042" w:themeColor="text1"/>
          <w:spacing w:val="-4"/>
        </w:rPr>
        <w:t>crime</w:t>
      </w:r>
      <w:proofErr w:type="gramEnd"/>
    </w:p>
    <w:p w14:paraId="5D15A1A6" w14:textId="77777777" w:rsidR="00BE3D76" w:rsidRPr="00DF3006" w:rsidRDefault="00BE3D76" w:rsidP="00BE3D76">
      <w:pPr>
        <w:numPr>
          <w:ilvl w:val="0"/>
          <w:numId w:val="50"/>
        </w:numPr>
        <w:spacing w:after="120"/>
        <w:rPr>
          <w:color w:val="414042" w:themeColor="text1"/>
          <w:spacing w:val="-4"/>
        </w:rPr>
      </w:pPr>
      <w:bookmarkStart w:id="88" w:name="_Hlk137480561"/>
      <w:bookmarkEnd w:id="87"/>
      <w:r w:rsidRPr="00DF3006">
        <w:rPr>
          <w:color w:val="414042" w:themeColor="text1"/>
          <w:spacing w:val="-4"/>
        </w:rPr>
        <w:t xml:space="preserve">incorporated our corruption allegations dataset and human resources and finance data into the </w:t>
      </w:r>
      <w:r w:rsidRPr="00DF3006">
        <w:rPr>
          <w:b/>
          <w:bCs/>
          <w:color w:val="414042" w:themeColor="text1"/>
          <w:spacing w:val="-4"/>
        </w:rPr>
        <w:t>Analytics Data Warehouse</w:t>
      </w:r>
      <w:r w:rsidRPr="00DF3006">
        <w:rPr>
          <w:color w:val="414042" w:themeColor="text1"/>
          <w:spacing w:val="-4"/>
        </w:rPr>
        <w:t xml:space="preserve"> to facilitate our ambitious corruption data strategy and improve business intelligence and reporting efficiency, and</w:t>
      </w:r>
    </w:p>
    <w:p w14:paraId="21E74DB3" w14:textId="77777777" w:rsidR="00BE3D76" w:rsidRPr="00DF3006" w:rsidRDefault="00BE3D76" w:rsidP="00BE3D76">
      <w:pPr>
        <w:numPr>
          <w:ilvl w:val="0"/>
          <w:numId w:val="50"/>
        </w:numPr>
        <w:spacing w:after="120"/>
        <w:rPr>
          <w:color w:val="414042" w:themeColor="text1"/>
        </w:rPr>
      </w:pPr>
      <w:bookmarkStart w:id="89" w:name="_Hlk137480543"/>
      <w:bookmarkEnd w:id="88"/>
      <w:r w:rsidRPr="00DF3006">
        <w:rPr>
          <w:color w:val="414042" w:themeColor="text1"/>
          <w:spacing w:val="-4"/>
        </w:rPr>
        <w:t xml:space="preserve">continued to develop our </w:t>
      </w:r>
      <w:r w:rsidRPr="00DF3006">
        <w:rPr>
          <w:b/>
          <w:bCs/>
          <w:color w:val="414042" w:themeColor="text1"/>
          <w:spacing w:val="-4"/>
        </w:rPr>
        <w:t>digital Governance, Risk and Compliance system</w:t>
      </w:r>
      <w:r w:rsidRPr="00DF3006">
        <w:rPr>
          <w:color w:val="414042" w:themeColor="text1"/>
          <w:spacing w:val="-4"/>
        </w:rPr>
        <w:t xml:space="preserve"> which is an essential tool for managing policies and compliance obligation</w:t>
      </w:r>
      <w:bookmarkEnd w:id="89"/>
      <w:r w:rsidRPr="00DF3006">
        <w:rPr>
          <w:color w:val="414042" w:themeColor="text1"/>
          <w:spacing w:val="-4"/>
        </w:rPr>
        <w:t>s.</w:t>
      </w:r>
    </w:p>
    <w:p w14:paraId="419C9130" w14:textId="30A75159" w:rsidR="00BE3D76" w:rsidRPr="00DF3006" w:rsidRDefault="00BE3D76" w:rsidP="00E6066A">
      <w:pPr>
        <w:pStyle w:val="Heading3"/>
      </w:pPr>
      <w:r w:rsidRPr="00DF3006">
        <w:t xml:space="preserve">Focus on </w:t>
      </w:r>
      <w:r w:rsidR="004D316B" w:rsidRPr="00DF3006">
        <w:t>r</w:t>
      </w:r>
      <w:r w:rsidRPr="00DF3006">
        <w:t>enewal</w:t>
      </w:r>
    </w:p>
    <w:p w14:paraId="2E7AAB04" w14:textId="77777777" w:rsidR="00BE3D76" w:rsidRPr="00DF3006" w:rsidRDefault="00BE3D76" w:rsidP="00BE3D76">
      <w:pPr>
        <w:rPr>
          <w:color w:val="414042" w:themeColor="text1"/>
        </w:rPr>
      </w:pPr>
      <w:r w:rsidRPr="00DF3006">
        <w:rPr>
          <w:color w:val="414042" w:themeColor="text1"/>
        </w:rPr>
        <w:t>Our multidisciplinary teams bring together diverse skills and perspectives and continue to be part of the foundation of our success. In August 2022, we established a Strategy and Renewal division to help deliver our renewal agenda through enhanced capabilities including data and analytics, strategic project management and project delivery, strategic policy management and compliance, and talent and capability development (among others).</w:t>
      </w:r>
    </w:p>
    <w:p w14:paraId="3E4FE77D" w14:textId="77777777" w:rsidR="00351BCC" w:rsidRPr="00DF3006" w:rsidRDefault="00351BCC" w:rsidP="00BE3D76">
      <w:pPr>
        <w:rPr>
          <w:rFonts w:asciiTheme="minorHAnsi" w:eastAsia="Times New Roman" w:hAnsiTheme="minorHAnsi" w:cs="Times New Roman"/>
          <w:b/>
          <w:bCs/>
          <w:noProof/>
          <w:color w:val="414042" w:themeColor="text1"/>
          <w:sz w:val="28"/>
          <w:szCs w:val="28"/>
          <w:lang w:eastAsia="en-AU"/>
        </w:rPr>
      </w:pPr>
      <w:r w:rsidRPr="00DF3006">
        <w:rPr>
          <w:rFonts w:asciiTheme="minorHAnsi" w:eastAsia="Times New Roman" w:hAnsiTheme="minorHAnsi" w:cs="Times New Roman"/>
          <w:b/>
          <w:bCs/>
          <w:noProof/>
          <w:color w:val="414042" w:themeColor="text1"/>
          <w:sz w:val="28"/>
          <w:szCs w:val="28"/>
          <w:lang w:eastAsia="en-AU"/>
        </w:rPr>
        <w:br w:type="page"/>
      </w:r>
    </w:p>
    <w:p w14:paraId="32FF845B" w14:textId="03C1D689" w:rsidR="00BE3D76" w:rsidRPr="00DF3006" w:rsidRDefault="00BE3D76" w:rsidP="00BE3D76">
      <w:pPr>
        <w:rPr>
          <w:rFonts w:asciiTheme="minorHAnsi" w:eastAsia="Times New Roman" w:hAnsiTheme="minorHAnsi" w:cs="Times New Roman"/>
          <w:b/>
          <w:bCs/>
          <w:noProof/>
          <w:color w:val="414042" w:themeColor="text1"/>
          <w:sz w:val="28"/>
          <w:szCs w:val="28"/>
          <w:lang w:eastAsia="en-AU"/>
        </w:rPr>
      </w:pPr>
      <w:r w:rsidRPr="00DF3006">
        <w:rPr>
          <w:rFonts w:asciiTheme="minorHAnsi" w:eastAsia="Times New Roman" w:hAnsiTheme="minorHAnsi" w:cs="Times New Roman"/>
          <w:b/>
          <w:bCs/>
          <w:noProof/>
          <w:color w:val="414042" w:themeColor="text1"/>
          <w:sz w:val="28"/>
          <w:szCs w:val="28"/>
          <w:lang w:eastAsia="en-AU"/>
        </w:rPr>
        <w:lastRenderedPageBreak/>
        <w:t>Staffing</w:t>
      </w:r>
    </w:p>
    <w:p w14:paraId="0F8570FA" w14:textId="025E78A3" w:rsidR="00BE3D76" w:rsidRPr="00DF3006" w:rsidRDefault="00BE3D76" w:rsidP="00BE3D76">
      <w:pPr>
        <w:rPr>
          <w:color w:val="414042" w:themeColor="text1"/>
        </w:rPr>
      </w:pPr>
      <w:r w:rsidRPr="00DF3006">
        <w:rPr>
          <w:color w:val="414042" w:themeColor="text1"/>
        </w:rPr>
        <w:t xml:space="preserve">In February 2023, our </w:t>
      </w:r>
      <w:r w:rsidRPr="00DF3006">
        <w:rPr>
          <w:b/>
          <w:bCs/>
          <w:color w:val="414042" w:themeColor="text1"/>
        </w:rPr>
        <w:t xml:space="preserve">budgeted </w:t>
      </w:r>
      <w:r w:rsidR="002E5C1B" w:rsidRPr="00DF3006">
        <w:rPr>
          <w:b/>
          <w:bCs/>
          <w:color w:val="414042" w:themeColor="text1"/>
        </w:rPr>
        <w:t>full-time equivalent (</w:t>
      </w:r>
      <w:r w:rsidRPr="00DF3006">
        <w:rPr>
          <w:b/>
          <w:bCs/>
          <w:color w:val="414042" w:themeColor="text1"/>
        </w:rPr>
        <w:t>FTE</w:t>
      </w:r>
      <w:r w:rsidR="002E5C1B" w:rsidRPr="00DF3006">
        <w:rPr>
          <w:b/>
          <w:bCs/>
          <w:color w:val="414042" w:themeColor="text1"/>
        </w:rPr>
        <w:t>)</w:t>
      </w:r>
      <w:r w:rsidRPr="00DF3006">
        <w:rPr>
          <w:b/>
          <w:bCs/>
          <w:color w:val="414042" w:themeColor="text1"/>
        </w:rPr>
        <w:t xml:space="preserve"> positions</w:t>
      </w:r>
      <w:r w:rsidRPr="00DF3006">
        <w:rPr>
          <w:color w:val="414042" w:themeColor="text1"/>
        </w:rPr>
        <w:t xml:space="preserve"> were increased by 7 FTE, to 359.1 FTE for 2022–23. Our underutilisation of FTE compared to budget was largely due to challenges in recruiting suitably qualified and experienced officers into available roles. This reflects the status of the broader </w:t>
      </w:r>
      <w:r w:rsidRPr="00DF3006">
        <w:rPr>
          <w:b/>
          <w:bCs/>
          <w:color w:val="414042" w:themeColor="text1"/>
        </w:rPr>
        <w:t>labour market</w:t>
      </w:r>
      <w:r w:rsidRPr="00DF3006">
        <w:rPr>
          <w:color w:val="414042" w:themeColor="text1"/>
        </w:rPr>
        <w:t xml:space="preserve">, particularly in relation to high levels of competition in niche talent pools on which the CCC, like other law enforcement and intelligence organisations, rely. We continued to look at new ways of managing labour force issues including commencing the use of </w:t>
      </w:r>
      <w:r w:rsidRPr="00DF3006">
        <w:rPr>
          <w:b/>
          <w:bCs/>
          <w:color w:val="414042" w:themeColor="text1"/>
        </w:rPr>
        <w:t>Continuous Applicant Pools</w:t>
      </w:r>
      <w:r w:rsidRPr="00DF3006">
        <w:rPr>
          <w:color w:val="414042" w:themeColor="text1"/>
        </w:rPr>
        <w:t xml:space="preserve"> in teams with historically higher levels of turnover to increase the speed of recruitment and minimise gaps in resourcing.</w:t>
      </w:r>
    </w:p>
    <w:bookmarkEnd w:id="86"/>
    <w:p w14:paraId="0D4BD91A" w14:textId="77777777" w:rsidR="00BE3D76" w:rsidRPr="00DF3006" w:rsidRDefault="00BE3D76" w:rsidP="00E6066A">
      <w:pPr>
        <w:pStyle w:val="Heading3"/>
      </w:pPr>
      <w:r w:rsidRPr="00DF3006">
        <w:t>Governance maturity and project boards</w:t>
      </w:r>
    </w:p>
    <w:p w14:paraId="31D4695A" w14:textId="62CD6D43" w:rsidR="00BE3D76" w:rsidRPr="00DF3006" w:rsidRDefault="00BE3D76" w:rsidP="00BE3D76">
      <w:pPr>
        <w:rPr>
          <w:color w:val="414042" w:themeColor="text1"/>
          <w:spacing w:val="-2"/>
        </w:rPr>
      </w:pPr>
      <w:r w:rsidRPr="00DF3006">
        <w:rPr>
          <w:color w:val="414042" w:themeColor="text1"/>
          <w:spacing w:val="-2"/>
        </w:rPr>
        <w:t xml:space="preserve">We consider governance to be a critical element in demonstrating transparency and accountability and have observed a maturing of our approach to project governance in the past year which has helped us to improve how we actively manage timelines and deliverables, and importantly gives us the capacity to deal with challenges and changes when they arise. I am confident we will continue to see further improvements to how we approach our </w:t>
      </w:r>
      <w:r w:rsidR="00A221BE" w:rsidRPr="00DF3006">
        <w:rPr>
          <w:color w:val="414042" w:themeColor="text1"/>
          <w:spacing w:val="-2"/>
        </w:rPr>
        <w:t>work,</w:t>
      </w:r>
      <w:r w:rsidRPr="00DF3006">
        <w:rPr>
          <w:color w:val="414042" w:themeColor="text1"/>
          <w:spacing w:val="-2"/>
        </w:rPr>
        <w:t xml:space="preserve"> and this will provide a stronger platform for everything we are committing to deliver in the 2023–24 financial year and beyond.</w:t>
      </w:r>
    </w:p>
    <w:p w14:paraId="3CDA704C" w14:textId="77777777" w:rsidR="00BE3D76" w:rsidRPr="00DF3006" w:rsidRDefault="00BE3D76" w:rsidP="00E6066A">
      <w:pPr>
        <w:pStyle w:val="Heading3"/>
      </w:pPr>
      <w:r w:rsidRPr="00DF3006">
        <w:t>Reviewing our strategic priorities</w:t>
      </w:r>
    </w:p>
    <w:p w14:paraId="2312DBD8" w14:textId="12C4197F" w:rsidR="00BE3D76" w:rsidRPr="00DF3006" w:rsidRDefault="00BE3D76" w:rsidP="00BE3D76">
      <w:pPr>
        <w:rPr>
          <w:color w:val="414042" w:themeColor="text1"/>
        </w:rPr>
      </w:pPr>
      <w:r w:rsidRPr="00DF3006">
        <w:rPr>
          <w:color w:val="414042" w:themeColor="text1"/>
        </w:rPr>
        <w:t>This year, we undertook an extensive and collaborative review of our</w:t>
      </w:r>
      <w:r w:rsidRPr="00DF3006">
        <w:rPr>
          <w:b/>
          <w:bCs/>
          <w:color w:val="414042" w:themeColor="text1"/>
        </w:rPr>
        <w:t xml:space="preserve"> strategic priorities</w:t>
      </w:r>
      <w:r w:rsidRPr="00DF3006">
        <w:rPr>
          <w:color w:val="414042" w:themeColor="text1"/>
        </w:rPr>
        <w:t xml:space="preserve"> to ensure our crime, corruption and witness protection operations are efficient and effective, as an agency we are accessible and accountable to the public, and we continue to develop the critical capabilities necessary to combat major crime and reduce corruption for the benefit of the Queensland community. Strategies require us to identify and balance risks and opportunities to achieve our goals. Changes to our workforce, the implication</w:t>
      </w:r>
      <w:r w:rsidR="00150080" w:rsidRPr="00DF3006">
        <w:rPr>
          <w:color w:val="414042" w:themeColor="text1"/>
        </w:rPr>
        <w:t>s</w:t>
      </w:r>
      <w:r w:rsidRPr="00DF3006">
        <w:rPr>
          <w:color w:val="414042" w:themeColor="text1"/>
        </w:rPr>
        <w:t xml:space="preserve"> of the rise of technology in our sector, and the necessary reform initiatives arising from external inquiries and reviews were some of our key considerations.</w:t>
      </w:r>
    </w:p>
    <w:p w14:paraId="2588A4D8" w14:textId="7BAAAACA" w:rsidR="00BE3D76" w:rsidRPr="00DF3006" w:rsidRDefault="00351BCC" w:rsidP="00BE3D76">
      <w:pPr>
        <w:rPr>
          <w:color w:val="414042" w:themeColor="text1"/>
        </w:rPr>
      </w:pPr>
      <w:r w:rsidRPr="00DF3006">
        <w:rPr>
          <w:rFonts w:asciiTheme="minorHAnsi" w:eastAsia="Times New Roman" w:hAnsiTheme="minorHAnsi" w:cs="Times New Roman"/>
          <w:b/>
          <w:bCs/>
          <w:noProof/>
          <w:color w:val="414042" w:themeColor="text1"/>
          <w:sz w:val="28"/>
          <w:szCs w:val="28"/>
          <w:lang w:eastAsia="en-AU"/>
        </w:rPr>
        <w:br w:type="column"/>
      </w:r>
      <w:r w:rsidR="00BE3D76" w:rsidRPr="00DF3006">
        <w:rPr>
          <w:rFonts w:asciiTheme="minorHAnsi" w:eastAsia="Times New Roman" w:hAnsiTheme="minorHAnsi" w:cs="Times New Roman"/>
          <w:b/>
          <w:bCs/>
          <w:noProof/>
          <w:color w:val="414042" w:themeColor="text1"/>
          <w:sz w:val="28"/>
          <w:szCs w:val="28"/>
          <w:lang w:eastAsia="en-AU"/>
        </w:rPr>
        <w:t>Looking ahead</w:t>
      </w:r>
    </w:p>
    <w:p w14:paraId="0628AEDD" w14:textId="00F30F47" w:rsidR="00BE3D76" w:rsidRPr="00DF3006" w:rsidRDefault="00BE3D76" w:rsidP="00BE3D76">
      <w:pPr>
        <w:rPr>
          <w:color w:val="414042" w:themeColor="text1"/>
        </w:rPr>
      </w:pPr>
      <w:r w:rsidRPr="00DF3006">
        <w:rPr>
          <w:color w:val="414042" w:themeColor="text1"/>
          <w:spacing w:val="-4"/>
        </w:rPr>
        <w:t xml:space="preserve">The </w:t>
      </w:r>
      <w:r w:rsidRPr="00DF3006">
        <w:rPr>
          <w:color w:val="414042" w:themeColor="text1"/>
        </w:rPr>
        <w:t>year</w:t>
      </w:r>
      <w:r w:rsidRPr="00DF3006">
        <w:rPr>
          <w:color w:val="414042" w:themeColor="text1"/>
          <w:spacing w:val="-4"/>
        </w:rPr>
        <w:t xml:space="preserve"> </w:t>
      </w:r>
      <w:r w:rsidRPr="00DF3006">
        <w:rPr>
          <w:color w:val="414042" w:themeColor="text1"/>
        </w:rPr>
        <w:t>ahead</w:t>
      </w:r>
      <w:r w:rsidRPr="00DF3006">
        <w:rPr>
          <w:color w:val="414042" w:themeColor="text1"/>
          <w:spacing w:val="-4"/>
        </w:rPr>
        <w:t xml:space="preserve"> will be productive and revitalising for the CCC. </w:t>
      </w:r>
      <w:r w:rsidRPr="00DF3006">
        <w:rPr>
          <w:color w:val="414042" w:themeColor="text1"/>
        </w:rPr>
        <w:t xml:space="preserve">The development of our new </w:t>
      </w:r>
      <w:r w:rsidRPr="00DF3006">
        <w:rPr>
          <w:b/>
          <w:bCs/>
          <w:i/>
          <w:iCs/>
          <w:color w:val="414042" w:themeColor="text1"/>
        </w:rPr>
        <w:t>Strategic Plan 2023</w:t>
      </w:r>
      <w:r w:rsidRPr="00DF3006">
        <w:rPr>
          <w:b/>
          <w:bCs/>
          <w:color w:val="414042" w:themeColor="text1"/>
          <w:spacing w:val="-4"/>
        </w:rPr>
        <w:t>–</w:t>
      </w:r>
      <w:r w:rsidRPr="00DF3006">
        <w:rPr>
          <w:b/>
          <w:bCs/>
          <w:i/>
          <w:iCs/>
          <w:color w:val="414042" w:themeColor="text1"/>
        </w:rPr>
        <w:t>27</w:t>
      </w:r>
      <w:r w:rsidRPr="00DF3006">
        <w:rPr>
          <w:color w:val="414042" w:themeColor="text1"/>
        </w:rPr>
        <w:t xml:space="preserve"> will guide our transformation as we seek to keep pace with the ongoing and rapid innovation in technology, while implementing recommendations arising from the various external inquiries and reviews. Our revised future-focused </w:t>
      </w:r>
      <w:r w:rsidRPr="00DF3006">
        <w:rPr>
          <w:b/>
          <w:bCs/>
          <w:color w:val="414042" w:themeColor="text1"/>
        </w:rPr>
        <w:t>enabling strategies</w:t>
      </w:r>
      <w:r w:rsidRPr="00DF3006">
        <w:rPr>
          <w:color w:val="414042" w:themeColor="text1"/>
        </w:rPr>
        <w:t xml:space="preserve"> (formerly CCC Futures Strategies) will require continued investment in </w:t>
      </w:r>
      <w:r w:rsidR="004D316B" w:rsidRPr="00DF3006">
        <w:rPr>
          <w:color w:val="414042" w:themeColor="text1"/>
        </w:rPr>
        <w:t xml:space="preserve">workforce, </w:t>
      </w:r>
      <w:proofErr w:type="gramStart"/>
      <w:r w:rsidR="004D316B" w:rsidRPr="00DF3006">
        <w:rPr>
          <w:color w:val="414042" w:themeColor="text1"/>
        </w:rPr>
        <w:t>data</w:t>
      </w:r>
      <w:proofErr w:type="gramEnd"/>
      <w:r w:rsidR="004D316B" w:rsidRPr="00DF3006">
        <w:rPr>
          <w:color w:val="414042" w:themeColor="text1"/>
        </w:rPr>
        <w:t xml:space="preserve"> and analytics (replacing insights) and digital </w:t>
      </w:r>
      <w:r w:rsidRPr="00DF3006">
        <w:rPr>
          <w:color w:val="414042" w:themeColor="text1"/>
        </w:rPr>
        <w:t>capabilities.</w:t>
      </w:r>
    </w:p>
    <w:p w14:paraId="61C91732" w14:textId="1B4D36BE" w:rsidR="00BE3D76" w:rsidRPr="00DF3006" w:rsidRDefault="00BE3D76" w:rsidP="00BE3D76">
      <w:pPr>
        <w:rPr>
          <w:color w:val="414042" w:themeColor="text1"/>
        </w:rPr>
      </w:pPr>
      <w:r w:rsidRPr="00DF3006">
        <w:rPr>
          <w:color w:val="414042" w:themeColor="text1"/>
        </w:rPr>
        <w:t xml:space="preserve">As </w:t>
      </w:r>
      <w:r w:rsidRPr="00DF3006">
        <w:rPr>
          <w:color w:val="414042" w:themeColor="text1"/>
          <w:spacing w:val="-2"/>
        </w:rPr>
        <w:t>part</w:t>
      </w:r>
      <w:r w:rsidRPr="00DF3006">
        <w:rPr>
          <w:color w:val="414042" w:themeColor="text1"/>
        </w:rPr>
        <w:t xml:space="preserve"> of the overall funding to implement the </w:t>
      </w:r>
      <w:r w:rsidRPr="00DF3006">
        <w:rPr>
          <w:i/>
          <w:iCs/>
          <w:color w:val="414042" w:themeColor="text1"/>
        </w:rPr>
        <w:t>Fitzgerald/Wilson Inquiry</w:t>
      </w:r>
      <w:r w:rsidRPr="00DF3006">
        <w:rPr>
          <w:color w:val="414042" w:themeColor="text1"/>
        </w:rPr>
        <w:t xml:space="preserve"> recommendations, the Government has approved an additional $3.985 million in funding over </w:t>
      </w:r>
      <w:r w:rsidR="004D316B" w:rsidRPr="00DF3006">
        <w:rPr>
          <w:color w:val="414042" w:themeColor="text1"/>
        </w:rPr>
        <w:t>four</w:t>
      </w:r>
      <w:r w:rsidRPr="00DF3006">
        <w:rPr>
          <w:color w:val="414042" w:themeColor="text1"/>
        </w:rPr>
        <w:t xml:space="preserve"> years, and $1.067 million per annum ongoing from 2027</w:t>
      </w:r>
      <w:r w:rsidRPr="00DF3006">
        <w:rPr>
          <w:bCs/>
          <w:color w:val="414042" w:themeColor="text1"/>
        </w:rPr>
        <w:t>–</w:t>
      </w:r>
      <w:r w:rsidRPr="00DF3006">
        <w:rPr>
          <w:color w:val="414042" w:themeColor="text1"/>
        </w:rPr>
        <w:t xml:space="preserve">28 for six FTE so we can leverage our existing </w:t>
      </w:r>
      <w:r w:rsidRPr="00DF3006">
        <w:rPr>
          <w:b/>
          <w:bCs/>
          <w:color w:val="414042" w:themeColor="text1"/>
          <w:spacing w:val="-4"/>
        </w:rPr>
        <w:t>Analytics Data Warehouse</w:t>
      </w:r>
      <w:r w:rsidRPr="00DF3006">
        <w:rPr>
          <w:b/>
          <w:bCs/>
          <w:color w:val="414042" w:themeColor="text1"/>
        </w:rPr>
        <w:t xml:space="preserve"> </w:t>
      </w:r>
      <w:r w:rsidRPr="00DF3006">
        <w:rPr>
          <w:color w:val="414042" w:themeColor="text1"/>
        </w:rPr>
        <w:t xml:space="preserve">to build a unique corruption data asset for Queensland. The </w:t>
      </w:r>
      <w:r w:rsidRPr="00DF3006">
        <w:rPr>
          <w:color w:val="414042" w:themeColor="text1"/>
          <w:spacing w:val="-4"/>
        </w:rPr>
        <w:t>Analytics Data Warehouse</w:t>
      </w:r>
      <w:r w:rsidRPr="00DF3006">
        <w:rPr>
          <w:color w:val="414042" w:themeColor="text1"/>
        </w:rPr>
        <w:t xml:space="preserve"> will allow the CCC to incorporate datasets into a secure environment, manage information security, connect datasets to identify trends, and improve the timeliness and quality of reporting.</w:t>
      </w:r>
    </w:p>
    <w:p w14:paraId="7A8BBADE" w14:textId="0812CBAC" w:rsidR="00BE3D76" w:rsidRPr="00DF3006" w:rsidRDefault="00BE3D76" w:rsidP="00BE3D76">
      <w:pPr>
        <w:rPr>
          <w:color w:val="414042" w:themeColor="text1"/>
        </w:rPr>
      </w:pPr>
      <w:r w:rsidRPr="00DF3006">
        <w:rPr>
          <w:color w:val="414042" w:themeColor="text1"/>
        </w:rPr>
        <w:t xml:space="preserve">Building this data asset is a core element of our new </w:t>
      </w:r>
      <w:r w:rsidRPr="00DF3006">
        <w:rPr>
          <w:b/>
          <w:bCs/>
          <w:i/>
          <w:iCs/>
          <w:color w:val="414042" w:themeColor="text1"/>
        </w:rPr>
        <w:t>Corruption Strategy</w:t>
      </w:r>
      <w:r w:rsidRPr="00DF3006">
        <w:rPr>
          <w:b/>
          <w:bCs/>
          <w:color w:val="414042" w:themeColor="text1"/>
        </w:rPr>
        <w:t xml:space="preserve"> </w:t>
      </w:r>
      <w:r w:rsidRPr="00DF3006">
        <w:rPr>
          <w:b/>
          <w:bCs/>
          <w:i/>
          <w:iCs/>
          <w:color w:val="414042" w:themeColor="text1"/>
        </w:rPr>
        <w:t>2023</w:t>
      </w:r>
      <w:r w:rsidRPr="00DF3006">
        <w:rPr>
          <w:b/>
          <w:bCs/>
          <w:color w:val="414042" w:themeColor="text1"/>
        </w:rPr>
        <w:t>–</w:t>
      </w:r>
      <w:r w:rsidRPr="00DF3006">
        <w:rPr>
          <w:b/>
          <w:bCs/>
          <w:i/>
          <w:iCs/>
          <w:color w:val="414042" w:themeColor="text1"/>
        </w:rPr>
        <w:t>27</w:t>
      </w:r>
      <w:r w:rsidRPr="00DF3006">
        <w:rPr>
          <w:color w:val="414042" w:themeColor="text1"/>
        </w:rPr>
        <w:t xml:space="preserve"> and will enable us, and public sector agencies, to better understand and respond to corruption risk</w:t>
      </w:r>
      <w:r w:rsidR="00150080" w:rsidRPr="00DF3006">
        <w:rPr>
          <w:color w:val="414042" w:themeColor="text1"/>
        </w:rPr>
        <w:t>s</w:t>
      </w:r>
      <w:r w:rsidRPr="00DF3006">
        <w:rPr>
          <w:color w:val="414042" w:themeColor="text1"/>
        </w:rPr>
        <w:t>.</w:t>
      </w:r>
    </w:p>
    <w:p w14:paraId="5D8CD174" w14:textId="77777777" w:rsidR="00BE3D76" w:rsidRPr="00DF3006" w:rsidRDefault="00BE3D76" w:rsidP="00BE3D76">
      <w:pPr>
        <w:rPr>
          <w:color w:val="414042" w:themeColor="text1"/>
        </w:rPr>
      </w:pPr>
      <w:r w:rsidRPr="00DF3006">
        <w:rPr>
          <w:color w:val="414042" w:themeColor="text1"/>
          <w:spacing w:val="-4"/>
        </w:rPr>
        <w:t xml:space="preserve">In the </w:t>
      </w:r>
      <w:r w:rsidRPr="00DF3006">
        <w:rPr>
          <w:b/>
          <w:bCs/>
          <w:color w:val="414042" w:themeColor="text1"/>
          <w:spacing w:val="-4"/>
        </w:rPr>
        <w:t>year ahead</w:t>
      </w:r>
      <w:r w:rsidRPr="00DF3006">
        <w:rPr>
          <w:color w:val="414042" w:themeColor="text1"/>
          <w:spacing w:val="-4"/>
        </w:rPr>
        <w:t xml:space="preserve"> we will also</w:t>
      </w:r>
      <w:r w:rsidRPr="00DF3006">
        <w:rPr>
          <w:color w:val="414042" w:themeColor="text1"/>
        </w:rPr>
        <w:t>:</w:t>
      </w:r>
    </w:p>
    <w:p w14:paraId="7E4C4440" w14:textId="77777777" w:rsidR="00BE3D76" w:rsidRPr="00DF3006" w:rsidRDefault="00BE3D76" w:rsidP="00BE3D76">
      <w:pPr>
        <w:numPr>
          <w:ilvl w:val="0"/>
          <w:numId w:val="50"/>
        </w:numPr>
        <w:spacing w:after="120"/>
        <w:rPr>
          <w:color w:val="414042" w:themeColor="text1"/>
          <w:spacing w:val="-4"/>
        </w:rPr>
      </w:pPr>
      <w:r w:rsidRPr="00DF3006">
        <w:rPr>
          <w:color w:val="414042" w:themeColor="text1"/>
          <w:spacing w:val="-4"/>
        </w:rPr>
        <w:t>focus our capability-development efforts on ensuring corruption investigators have the right skills to prevent and investigate corruption, and</w:t>
      </w:r>
    </w:p>
    <w:p w14:paraId="4EE347C8" w14:textId="77777777" w:rsidR="00BE3D76" w:rsidRPr="00DF3006" w:rsidRDefault="00BE3D76" w:rsidP="00BE3D76">
      <w:pPr>
        <w:numPr>
          <w:ilvl w:val="0"/>
          <w:numId w:val="50"/>
        </w:numPr>
        <w:spacing w:after="120"/>
        <w:rPr>
          <w:color w:val="414042" w:themeColor="text1"/>
          <w:spacing w:val="-4"/>
        </w:rPr>
      </w:pPr>
      <w:r w:rsidRPr="00DF3006">
        <w:rPr>
          <w:color w:val="414042" w:themeColor="text1"/>
          <w:spacing w:val="-4"/>
        </w:rPr>
        <w:t>continue to invest in digital solutions that improve the efficiency and effectiveness of our operations.</w:t>
      </w:r>
    </w:p>
    <w:p w14:paraId="4F1DCEB6" w14:textId="2E484385" w:rsidR="00BE3D76" w:rsidRPr="00DF3006" w:rsidRDefault="00BE3D76" w:rsidP="00BE3D76">
      <w:pPr>
        <w:rPr>
          <w:color w:val="414042" w:themeColor="text1"/>
        </w:rPr>
      </w:pPr>
      <w:r w:rsidRPr="00DF3006">
        <w:rPr>
          <w:color w:val="414042" w:themeColor="text1"/>
        </w:rPr>
        <w:t>As we look to the future, I would like to thank our staff who have continued to work with great resilience and unwavering commitment to the purpose of the CCC.</w:t>
      </w:r>
      <w:r w:rsidR="00150080" w:rsidRPr="00DF3006">
        <w:rPr>
          <w:color w:val="414042" w:themeColor="text1"/>
        </w:rPr>
        <w:t xml:space="preserve"> </w:t>
      </w:r>
      <w:r w:rsidRPr="00DF3006">
        <w:rPr>
          <w:color w:val="414042" w:themeColor="text1"/>
        </w:rPr>
        <w:t>As we progress in the new financial year, it is important we take stock of our progress and our achievements, and that our staff reflect on the contributions they have made to the delivery of our core business and our growth projects.</w:t>
      </w:r>
      <w:r w:rsidR="00150080" w:rsidRPr="00DF3006">
        <w:rPr>
          <w:color w:val="414042" w:themeColor="text1"/>
        </w:rPr>
        <w:t xml:space="preserve"> </w:t>
      </w:r>
      <w:r w:rsidRPr="00DF3006">
        <w:rPr>
          <w:color w:val="414042" w:themeColor="text1"/>
        </w:rPr>
        <w:t>Our renewal agenda will continue in the years ahead and I have confidence our staff are</w:t>
      </w:r>
      <w:r w:rsidR="00150080" w:rsidRPr="00DF3006">
        <w:rPr>
          <w:color w:val="414042" w:themeColor="text1"/>
        </w:rPr>
        <w:t xml:space="preserve"> </w:t>
      </w:r>
      <w:r w:rsidRPr="00DF3006">
        <w:rPr>
          <w:color w:val="414042" w:themeColor="text1"/>
        </w:rPr>
        <w:t>committed to improving how we do our work.</w:t>
      </w:r>
    </w:p>
    <w:p w14:paraId="22FC4FEE" w14:textId="76D31434" w:rsidR="00AF3807" w:rsidRPr="00DF3006" w:rsidRDefault="00507AF5" w:rsidP="009A4055">
      <w:pPr>
        <w:spacing w:before="480"/>
        <w:rPr>
          <w:color w:val="414042" w:themeColor="text1"/>
        </w:rPr>
      </w:pPr>
      <w:r w:rsidRPr="00DF3006">
        <w:rPr>
          <w:rFonts w:asciiTheme="minorHAnsi" w:hAnsiTheme="minorHAnsi" w:cstheme="minorHAnsi"/>
          <w:b/>
          <w:bCs/>
          <w:color w:val="414042" w:themeColor="text1"/>
        </w:rPr>
        <w:t>Jen O’Farrell</w:t>
      </w:r>
      <w:r w:rsidRPr="00DF3006">
        <w:rPr>
          <w:rFonts w:asciiTheme="minorHAnsi" w:hAnsiTheme="minorHAnsi" w:cstheme="minorHAnsi"/>
          <w:b/>
          <w:bCs/>
          <w:color w:val="414042" w:themeColor="text1"/>
        </w:rPr>
        <w:br/>
      </w:r>
      <w:r w:rsidRPr="00DF3006">
        <w:rPr>
          <w:color w:val="414042" w:themeColor="text1"/>
        </w:rPr>
        <w:t>Chief Executive Office</w:t>
      </w:r>
      <w:bookmarkStart w:id="90" w:name="strategicobjectives"/>
      <w:bookmarkEnd w:id="90"/>
      <w:r w:rsidRPr="00DF3006">
        <w:rPr>
          <w:color w:val="414042" w:themeColor="text1"/>
        </w:rPr>
        <w:t>r (CEO)</w:t>
      </w:r>
    </w:p>
    <w:p w14:paraId="5BE5366C" w14:textId="69314A4D" w:rsidR="00AF3807" w:rsidRPr="00DF3006" w:rsidRDefault="00AF3807" w:rsidP="00C449F8">
      <w:pPr>
        <w:spacing w:before="480" w:after="0"/>
        <w:rPr>
          <w:color w:val="414042" w:themeColor="text1"/>
          <w:spacing w:val="-4"/>
        </w:rPr>
        <w:sectPr w:rsidR="00AF3807" w:rsidRPr="00DF3006" w:rsidSect="00AF2677">
          <w:headerReference w:type="even" r:id="rId53"/>
          <w:headerReference w:type="default" r:id="rId54"/>
          <w:footerReference w:type="default" r:id="rId55"/>
          <w:headerReference w:type="first" r:id="rId56"/>
          <w:type w:val="continuous"/>
          <w:pgSz w:w="11906" w:h="16838" w:code="9"/>
          <w:pgMar w:top="2155" w:right="1134" w:bottom="964" w:left="1134" w:header="720" w:footer="284" w:gutter="0"/>
          <w:cols w:num="2" w:space="567"/>
          <w:noEndnote/>
          <w:docGrid w:linePitch="272"/>
        </w:sectPr>
      </w:pPr>
    </w:p>
    <w:p w14:paraId="1DA0D82D" w14:textId="77777777" w:rsidR="00321BD4" w:rsidRPr="00DF3006" w:rsidRDefault="006D3942" w:rsidP="00321BD4">
      <w:pPr>
        <w:pStyle w:val="Heading2"/>
        <w:sectPr w:rsidR="00321BD4" w:rsidRPr="00DF3006" w:rsidSect="00C77834">
          <w:headerReference w:type="even" r:id="rId57"/>
          <w:headerReference w:type="default" r:id="rId58"/>
          <w:footerReference w:type="default" r:id="rId59"/>
          <w:headerReference w:type="first" r:id="rId60"/>
          <w:pgSz w:w="11906" w:h="16838" w:code="9"/>
          <w:pgMar w:top="2155" w:right="1134" w:bottom="964" w:left="1134" w:header="720" w:footer="283" w:gutter="0"/>
          <w:cols w:space="567"/>
          <w:noEndnote/>
          <w:docGrid w:linePitch="272"/>
        </w:sectPr>
      </w:pPr>
      <w:bookmarkStart w:id="91" w:name="_Our_vision,_purpose"/>
      <w:bookmarkEnd w:id="91"/>
      <w:r w:rsidRPr="00DF3006">
        <w:lastRenderedPageBreak/>
        <w:t xml:space="preserve">Our vision, </w:t>
      </w:r>
      <w:proofErr w:type="gramStart"/>
      <w:r w:rsidRPr="00DF3006">
        <w:t>purpose</w:t>
      </w:r>
      <w:proofErr w:type="gramEnd"/>
      <w:r w:rsidRPr="00DF3006">
        <w:t xml:space="preserve"> and values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1628F1C" w14:textId="76BB2EA0" w:rsidR="006D3942" w:rsidRPr="00DF3006" w:rsidRDefault="006D3942" w:rsidP="00E6066A">
      <w:pPr>
        <w:pStyle w:val="Heading3"/>
      </w:pPr>
      <w:bookmarkStart w:id="92" w:name="_Toc102037813"/>
      <w:bookmarkStart w:id="93" w:name="_Toc102038175"/>
      <w:bookmarkStart w:id="94" w:name="_Toc102038536"/>
      <w:bookmarkStart w:id="95" w:name="_Toc102038896"/>
      <w:bookmarkStart w:id="96" w:name="_Toc102039248"/>
      <w:bookmarkStart w:id="97" w:name="_Toc102039603"/>
      <w:bookmarkStart w:id="98" w:name="_Toc102039960"/>
      <w:bookmarkStart w:id="99" w:name="_Toc102040285"/>
      <w:bookmarkStart w:id="100" w:name="_Toc102040619"/>
      <w:bookmarkStart w:id="101" w:name="_Toc102040947"/>
      <w:bookmarkStart w:id="102" w:name="_Toc102041277"/>
      <w:bookmarkStart w:id="103" w:name="_Toc102041609"/>
      <w:bookmarkStart w:id="104" w:name="_Toc102041936"/>
      <w:bookmarkStart w:id="105" w:name="_Toc102042265"/>
      <w:bookmarkStart w:id="106" w:name="_Toc102045395"/>
      <w:bookmarkEnd w:id="68"/>
      <w:r w:rsidRPr="00DF3006">
        <w:t>Our vision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22F12D4" w14:textId="17A40146" w:rsidR="006D3942" w:rsidRPr="00DF3006" w:rsidRDefault="006D3942" w:rsidP="007208F0">
      <w:pPr>
        <w:spacing w:after="600"/>
        <w:rPr>
          <w:color w:val="414042" w:themeColor="text1"/>
        </w:rPr>
      </w:pPr>
      <w:r w:rsidRPr="00DF3006">
        <w:rPr>
          <w:color w:val="414042" w:themeColor="text1"/>
        </w:rPr>
        <w:t xml:space="preserve">Safe communities supported by fair and ethical </w:t>
      </w:r>
      <w:r w:rsidR="00334478" w:rsidRPr="00DF3006">
        <w:rPr>
          <w:color w:val="414042" w:themeColor="text1"/>
        </w:rPr>
        <w:br/>
      </w:r>
      <w:r w:rsidRPr="00DF3006">
        <w:rPr>
          <w:color w:val="414042" w:themeColor="text1"/>
        </w:rPr>
        <w:t>public institutions.</w:t>
      </w:r>
    </w:p>
    <w:p w14:paraId="674413EF" w14:textId="77777777" w:rsidR="008B0438" w:rsidRPr="00DF3006" w:rsidRDefault="008B0438" w:rsidP="00E6066A">
      <w:pPr>
        <w:pStyle w:val="Heading3"/>
      </w:pPr>
      <w:bookmarkStart w:id="107" w:name="_Toc102037814"/>
      <w:bookmarkStart w:id="108" w:name="_Toc102038176"/>
      <w:bookmarkStart w:id="109" w:name="_Toc102038537"/>
      <w:bookmarkStart w:id="110" w:name="_Toc102038897"/>
      <w:bookmarkStart w:id="111" w:name="_Toc102039249"/>
      <w:bookmarkStart w:id="112" w:name="_Toc102039604"/>
      <w:bookmarkStart w:id="113" w:name="_Toc102039961"/>
      <w:bookmarkStart w:id="114" w:name="_Toc102040286"/>
      <w:bookmarkStart w:id="115" w:name="_Toc102040620"/>
      <w:bookmarkStart w:id="116" w:name="_Toc102040948"/>
      <w:bookmarkStart w:id="117" w:name="_Toc102041278"/>
      <w:bookmarkStart w:id="118" w:name="_Toc102041610"/>
      <w:bookmarkStart w:id="119" w:name="_Toc102041937"/>
      <w:bookmarkStart w:id="120" w:name="_Toc102042266"/>
      <w:bookmarkStart w:id="121" w:name="_Toc102045396"/>
      <w:r w:rsidRPr="00DF3006">
        <w:t>Our purpose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A560106" w14:textId="4EA18F31" w:rsidR="008B0438" w:rsidRPr="00DF3006" w:rsidRDefault="00B17C77" w:rsidP="00334478">
      <w:pPr>
        <w:ind w:right="140"/>
        <w:rPr>
          <w:color w:val="414042" w:themeColor="text1"/>
        </w:rPr>
      </w:pPr>
      <w:r w:rsidRPr="00DF3006">
        <w:rPr>
          <w:color w:val="414042" w:themeColor="text1"/>
        </w:rPr>
        <w:t>The CCC is</w:t>
      </w:r>
      <w:r w:rsidR="008B0438" w:rsidRPr="00DF3006">
        <w:rPr>
          <w:color w:val="414042" w:themeColor="text1"/>
        </w:rPr>
        <w:t xml:space="preserve"> an independent agency combating major crime and reducing corruption for the benefit of </w:t>
      </w:r>
      <w:r w:rsidR="00334478" w:rsidRPr="00DF3006">
        <w:rPr>
          <w:color w:val="414042" w:themeColor="text1"/>
        </w:rPr>
        <w:br/>
      </w:r>
      <w:r w:rsidR="008B0438" w:rsidRPr="00DF3006">
        <w:rPr>
          <w:color w:val="414042" w:themeColor="text1"/>
        </w:rPr>
        <w:t>the Queensland community.</w:t>
      </w:r>
    </w:p>
    <w:p w14:paraId="6DA5BEB7" w14:textId="77777777" w:rsidR="0045530C" w:rsidRPr="00DF3006" w:rsidRDefault="0045530C" w:rsidP="00334478">
      <w:pPr>
        <w:ind w:right="140"/>
        <w:rPr>
          <w:color w:val="414042" w:themeColor="text1"/>
        </w:rPr>
      </w:pPr>
    </w:p>
    <w:p w14:paraId="03F60397" w14:textId="77777777" w:rsidR="0045530C" w:rsidRPr="00DF3006" w:rsidRDefault="0045530C" w:rsidP="00E6066A">
      <w:pPr>
        <w:pStyle w:val="Heading3"/>
        <w:sectPr w:rsidR="0045530C" w:rsidRPr="00DF3006" w:rsidSect="00C77834">
          <w:type w:val="continuous"/>
          <w:pgSz w:w="11906" w:h="16838" w:code="9"/>
          <w:pgMar w:top="2155" w:right="1134" w:bottom="964" w:left="1134" w:header="720" w:footer="720" w:gutter="0"/>
          <w:cols w:num="2" w:space="567"/>
          <w:noEndnote/>
          <w:docGrid w:linePitch="272"/>
        </w:sectPr>
      </w:pPr>
    </w:p>
    <w:p w14:paraId="0A927263" w14:textId="6B80507E" w:rsidR="0045530C" w:rsidRPr="00DF3006" w:rsidRDefault="0045530C" w:rsidP="00E6066A">
      <w:pPr>
        <w:pStyle w:val="Heading3"/>
      </w:pPr>
      <w:bookmarkStart w:id="122" w:name="_Toc102037815"/>
      <w:bookmarkStart w:id="123" w:name="_Toc102038177"/>
      <w:bookmarkStart w:id="124" w:name="_Toc102038538"/>
      <w:bookmarkStart w:id="125" w:name="_Toc102038898"/>
      <w:bookmarkStart w:id="126" w:name="_Toc102039250"/>
      <w:bookmarkStart w:id="127" w:name="_Toc102039605"/>
      <w:bookmarkStart w:id="128" w:name="_Toc102039962"/>
      <w:bookmarkStart w:id="129" w:name="_Toc102040287"/>
      <w:bookmarkStart w:id="130" w:name="_Toc102040621"/>
      <w:bookmarkStart w:id="131" w:name="_Toc102040949"/>
      <w:bookmarkStart w:id="132" w:name="_Toc102041279"/>
      <w:bookmarkStart w:id="133" w:name="_Toc102041611"/>
      <w:bookmarkStart w:id="134" w:name="_Toc102041938"/>
      <w:bookmarkStart w:id="135" w:name="_Toc102042267"/>
      <w:bookmarkStart w:id="136" w:name="_Toc102045397"/>
      <w:r w:rsidRPr="00DF3006">
        <w:t>Our values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39BDA213" w14:textId="6FB4296A" w:rsidR="0045530C" w:rsidRPr="00DF3006" w:rsidRDefault="0045530C" w:rsidP="00334478">
      <w:pPr>
        <w:ind w:right="140"/>
        <w:rPr>
          <w:color w:val="414042" w:themeColor="text1"/>
        </w:rPr>
        <w:sectPr w:rsidR="0045530C" w:rsidRPr="00DF3006" w:rsidSect="00C77834">
          <w:type w:val="continuous"/>
          <w:pgSz w:w="11906" w:h="16838" w:code="9"/>
          <w:pgMar w:top="2155" w:right="1134" w:bottom="964" w:left="1134" w:header="720" w:footer="720" w:gutter="0"/>
          <w:cols w:space="567"/>
          <w:noEndnote/>
          <w:docGrid w:linePitch="272"/>
        </w:sectPr>
      </w:pPr>
    </w:p>
    <w:tbl>
      <w:tblPr>
        <w:tblW w:w="3070" w:type="pct"/>
        <w:tblInd w:w="-142" w:type="dxa"/>
        <w:tblCellMar>
          <w:right w:w="0" w:type="dxa"/>
        </w:tblCellMar>
        <w:tblLook w:val="04A0" w:firstRow="1" w:lastRow="0" w:firstColumn="1" w:lastColumn="0" w:noHBand="0" w:noVBand="1"/>
      </w:tblPr>
      <w:tblGrid>
        <w:gridCol w:w="1431"/>
        <w:gridCol w:w="4487"/>
      </w:tblGrid>
      <w:tr w:rsidR="00DF3006" w:rsidRPr="00DF3006" w14:paraId="42B29643" w14:textId="77777777" w:rsidTr="0045530C">
        <w:trPr>
          <w:trHeight w:val="227"/>
        </w:trPr>
        <w:tc>
          <w:tcPr>
            <w:tcW w:w="5000" w:type="pct"/>
            <w:gridSpan w:val="2"/>
            <w:shd w:val="clear" w:color="auto" w:fill="auto"/>
          </w:tcPr>
          <w:p w14:paraId="25A4EA05" w14:textId="6700546F" w:rsidR="006D3942" w:rsidRPr="004E10E1" w:rsidRDefault="006D3942" w:rsidP="00352BC9">
            <w:pPr>
              <w:spacing w:after="0"/>
              <w:ind w:firstLine="34"/>
              <w:rPr>
                <w:color w:val="414042" w:themeColor="text1"/>
              </w:rPr>
            </w:pPr>
            <w:r w:rsidRPr="004E10E1">
              <w:rPr>
                <w:color w:val="414042" w:themeColor="text1"/>
              </w:rPr>
              <w:t>Our values underpin everything we do.</w:t>
            </w:r>
          </w:p>
        </w:tc>
      </w:tr>
      <w:tr w:rsidR="00DF3006" w:rsidRPr="00DF3006" w14:paraId="6B46F748" w14:textId="77777777" w:rsidTr="0055673D">
        <w:trPr>
          <w:trHeight w:val="1531"/>
        </w:trPr>
        <w:tc>
          <w:tcPr>
            <w:tcW w:w="1209" w:type="pct"/>
            <w:shd w:val="clear" w:color="auto" w:fill="auto"/>
          </w:tcPr>
          <w:p w14:paraId="583B5703" w14:textId="0758630A" w:rsidR="006D3942" w:rsidRPr="00DF3006"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DF3006">
              <w:rPr>
                <w:rFonts w:cs="Calibri Light"/>
                <w:noProof/>
                <w:color w:val="414042" w:themeColor="text1"/>
                <w:spacing w:val="-2"/>
                <w:szCs w:val="20"/>
              </w:rPr>
              <w:drawing>
                <wp:anchor distT="0" distB="0" distL="114300" distR="114300" simplePos="0" relativeHeight="252014592" behindDoc="0" locked="0" layoutInCell="1" allowOverlap="1" wp14:anchorId="64DC2BFB" wp14:editId="75549513">
                  <wp:simplePos x="0" y="0"/>
                  <wp:positionH relativeFrom="column">
                    <wp:posOffset>101600</wp:posOffset>
                  </wp:positionH>
                  <wp:positionV relativeFrom="paragraph">
                    <wp:posOffset>171260</wp:posOffset>
                  </wp:positionV>
                  <wp:extent cx="716089" cy="709459"/>
                  <wp:effectExtent l="0" t="0" r="8255" b="0"/>
                  <wp:wrapSquare wrapText="bothSides"/>
                  <wp:docPr id="74" name="Picture 74" descr="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ople Icon"/>
                          <pic:cNvPicPr/>
                        </pic:nvPicPr>
                        <pic:blipFill>
                          <a:blip r:embed="rId61">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65CB4B8B" w14:textId="7579C33D" w:rsidR="006D3942" w:rsidRPr="00DF3006" w:rsidRDefault="006D3942" w:rsidP="00463FBB">
            <w:pPr>
              <w:pStyle w:val="Heading4"/>
            </w:pPr>
            <w:bookmarkStart w:id="137" w:name="_Toc102037816"/>
            <w:bookmarkStart w:id="138" w:name="_Toc102038178"/>
            <w:bookmarkStart w:id="139" w:name="_Toc102038539"/>
            <w:bookmarkStart w:id="140" w:name="_Toc102038899"/>
            <w:bookmarkStart w:id="141" w:name="_Toc102039251"/>
            <w:bookmarkStart w:id="142" w:name="_Toc102039606"/>
            <w:bookmarkStart w:id="143" w:name="_Toc102039963"/>
            <w:bookmarkStart w:id="144" w:name="_Toc102040288"/>
            <w:bookmarkStart w:id="145" w:name="_Toc102040622"/>
            <w:bookmarkStart w:id="146" w:name="_Toc102040950"/>
            <w:bookmarkStart w:id="147" w:name="_Toc102041280"/>
            <w:bookmarkStart w:id="148" w:name="_Toc102041612"/>
            <w:bookmarkStart w:id="149" w:name="_Toc102041939"/>
            <w:bookmarkStart w:id="150" w:name="_Toc102042268"/>
            <w:bookmarkStart w:id="151" w:name="_Toc102045398"/>
            <w:r w:rsidRPr="00DF3006">
              <w:t>People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431DF68D" w14:textId="1278865A" w:rsidR="006D3942" w:rsidRPr="00DF3006" w:rsidRDefault="006D3942" w:rsidP="007208F0">
            <w:pPr>
              <w:spacing w:after="0"/>
              <w:rPr>
                <w:color w:val="414042" w:themeColor="text1"/>
                <w:spacing w:val="-2"/>
              </w:rPr>
            </w:pPr>
            <w:r w:rsidRPr="00DF3006">
              <w:rPr>
                <w:color w:val="414042" w:themeColor="text1"/>
                <w:spacing w:val="-2"/>
              </w:rPr>
              <w:t xml:space="preserve">We value, </w:t>
            </w:r>
            <w:proofErr w:type="gramStart"/>
            <w:r w:rsidRPr="00DF3006">
              <w:rPr>
                <w:color w:val="414042" w:themeColor="text1"/>
                <w:spacing w:val="-2"/>
              </w:rPr>
              <w:t>respect</w:t>
            </w:r>
            <w:proofErr w:type="gramEnd"/>
            <w:r w:rsidRPr="00DF3006">
              <w:rPr>
                <w:color w:val="414042" w:themeColor="text1"/>
                <w:spacing w:val="-2"/>
              </w:rPr>
              <w:t xml:space="preserve"> and collaborate with each other.</w:t>
            </w:r>
          </w:p>
          <w:p w14:paraId="6F885E01" w14:textId="77777777" w:rsidR="006D3942" w:rsidRPr="00DF3006" w:rsidRDefault="006D3942" w:rsidP="007208F0">
            <w:pPr>
              <w:spacing w:after="0"/>
              <w:rPr>
                <w:color w:val="414042" w:themeColor="text1"/>
                <w:spacing w:val="-2"/>
              </w:rPr>
            </w:pPr>
            <w:r w:rsidRPr="00DF3006">
              <w:rPr>
                <w:color w:val="414042" w:themeColor="text1"/>
                <w:spacing w:val="-2"/>
              </w:rPr>
              <w:t>We develop ourselves and those around us.</w:t>
            </w:r>
          </w:p>
          <w:p w14:paraId="778603A6" w14:textId="68E0A7B5" w:rsidR="006D3942" w:rsidRPr="00DF3006" w:rsidRDefault="006D3942" w:rsidP="007208F0">
            <w:pPr>
              <w:spacing w:after="0"/>
              <w:rPr>
                <w:color w:val="414042" w:themeColor="text1"/>
                <w:spacing w:val="-2"/>
              </w:rPr>
            </w:pPr>
            <w:r w:rsidRPr="00DF3006">
              <w:rPr>
                <w:color w:val="414042" w:themeColor="text1"/>
                <w:spacing w:val="-2"/>
              </w:rPr>
              <w:t>We act in the interests of the Queensland community.</w:t>
            </w:r>
          </w:p>
        </w:tc>
      </w:tr>
      <w:tr w:rsidR="00DF3006" w:rsidRPr="00DF3006" w14:paraId="6E319066" w14:textId="77777777" w:rsidTr="0055673D">
        <w:trPr>
          <w:trHeight w:val="1531"/>
        </w:trPr>
        <w:tc>
          <w:tcPr>
            <w:tcW w:w="1209" w:type="pct"/>
            <w:shd w:val="clear" w:color="auto" w:fill="auto"/>
          </w:tcPr>
          <w:p w14:paraId="1C89684A" w14:textId="32165E4A" w:rsidR="006D3942" w:rsidRPr="00DF3006"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DF3006">
              <w:rPr>
                <w:rFonts w:cs="Calibri Light"/>
                <w:noProof/>
                <w:color w:val="414042" w:themeColor="text1"/>
                <w:spacing w:val="-2"/>
                <w:szCs w:val="20"/>
              </w:rPr>
              <w:drawing>
                <wp:anchor distT="0" distB="0" distL="114300" distR="114300" simplePos="0" relativeHeight="252015616" behindDoc="0" locked="0" layoutInCell="1" allowOverlap="1" wp14:anchorId="362D0DB5" wp14:editId="48E7E19A">
                  <wp:simplePos x="0" y="0"/>
                  <wp:positionH relativeFrom="column">
                    <wp:posOffset>116205</wp:posOffset>
                  </wp:positionH>
                  <wp:positionV relativeFrom="paragraph">
                    <wp:posOffset>162989</wp:posOffset>
                  </wp:positionV>
                  <wp:extent cx="716089" cy="709459"/>
                  <wp:effectExtent l="0" t="0" r="8255" b="0"/>
                  <wp:wrapSquare wrapText="bothSides"/>
                  <wp:docPr id="75" name="Picture 75" descr="Account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ccountability icon"/>
                          <pic:cNvPicPr/>
                        </pic:nvPicPr>
                        <pic:blipFill>
                          <a:blip r:embed="rId62">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7CCB3636" w14:textId="77777777" w:rsidR="006D3942" w:rsidRPr="00DF3006" w:rsidRDefault="006D3942" w:rsidP="00463FBB">
            <w:pPr>
              <w:pStyle w:val="Heading4"/>
            </w:pPr>
            <w:bookmarkStart w:id="152" w:name="_Toc102037817"/>
            <w:bookmarkStart w:id="153" w:name="_Toc102038179"/>
            <w:bookmarkStart w:id="154" w:name="_Toc102038540"/>
            <w:bookmarkStart w:id="155" w:name="_Toc102038900"/>
            <w:bookmarkStart w:id="156" w:name="_Toc102039252"/>
            <w:bookmarkStart w:id="157" w:name="_Toc102039607"/>
            <w:bookmarkStart w:id="158" w:name="_Toc102039964"/>
            <w:bookmarkStart w:id="159" w:name="_Toc102040289"/>
            <w:bookmarkStart w:id="160" w:name="_Toc102040623"/>
            <w:bookmarkStart w:id="161" w:name="_Toc102040951"/>
            <w:bookmarkStart w:id="162" w:name="_Toc102041281"/>
            <w:bookmarkStart w:id="163" w:name="_Toc102041613"/>
            <w:bookmarkStart w:id="164" w:name="_Toc102041940"/>
            <w:bookmarkStart w:id="165" w:name="_Toc102042269"/>
            <w:bookmarkStart w:id="166" w:name="_Toc102045399"/>
            <w:r w:rsidRPr="00DF3006">
              <w:t>Accountability</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1AEBA4AA" w14:textId="77777777" w:rsidR="006D3942" w:rsidRPr="00DF3006" w:rsidRDefault="006D3942" w:rsidP="007208F0">
            <w:pPr>
              <w:spacing w:after="0"/>
              <w:rPr>
                <w:color w:val="414042" w:themeColor="text1"/>
                <w:spacing w:val="-2"/>
              </w:rPr>
            </w:pPr>
            <w:r w:rsidRPr="00DF3006">
              <w:rPr>
                <w:color w:val="414042" w:themeColor="text1"/>
                <w:spacing w:val="-2"/>
              </w:rPr>
              <w:t>We own our actions and decisions.</w:t>
            </w:r>
          </w:p>
          <w:p w14:paraId="5D18C8BA" w14:textId="77777777" w:rsidR="006D3942" w:rsidRPr="00DF3006" w:rsidRDefault="006D3942" w:rsidP="007208F0">
            <w:pPr>
              <w:spacing w:after="0"/>
              <w:rPr>
                <w:color w:val="414042" w:themeColor="text1"/>
                <w:spacing w:val="-2"/>
              </w:rPr>
            </w:pPr>
            <w:r w:rsidRPr="00DF3006">
              <w:rPr>
                <w:color w:val="414042" w:themeColor="text1"/>
                <w:spacing w:val="-2"/>
              </w:rPr>
              <w:t>We are responsible with the resources we are given.</w:t>
            </w:r>
          </w:p>
          <w:p w14:paraId="5E729E58" w14:textId="11A02C33" w:rsidR="006D3942" w:rsidRPr="00DF3006" w:rsidRDefault="006D3942" w:rsidP="007208F0">
            <w:pPr>
              <w:spacing w:after="0"/>
              <w:rPr>
                <w:color w:val="414042" w:themeColor="text1"/>
                <w:spacing w:val="-2"/>
              </w:rPr>
            </w:pPr>
            <w:r w:rsidRPr="00DF3006">
              <w:rPr>
                <w:color w:val="414042" w:themeColor="text1"/>
                <w:spacing w:val="-2"/>
              </w:rPr>
              <w:t>We are responsive to our stakeholders.</w:t>
            </w:r>
          </w:p>
        </w:tc>
      </w:tr>
      <w:tr w:rsidR="00DF3006" w:rsidRPr="00DF3006" w14:paraId="12CA4ACC" w14:textId="77777777" w:rsidTr="0055673D">
        <w:trPr>
          <w:trHeight w:val="1531"/>
        </w:trPr>
        <w:tc>
          <w:tcPr>
            <w:tcW w:w="1209" w:type="pct"/>
            <w:shd w:val="clear" w:color="auto" w:fill="auto"/>
          </w:tcPr>
          <w:p w14:paraId="7E7D919C" w14:textId="4737E88C" w:rsidR="006D3942" w:rsidRPr="00DF3006"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DF3006">
              <w:rPr>
                <w:rFonts w:cs="Calibri Light"/>
                <w:noProof/>
                <w:color w:val="414042" w:themeColor="text1"/>
                <w:spacing w:val="-2"/>
                <w:szCs w:val="20"/>
              </w:rPr>
              <w:drawing>
                <wp:anchor distT="0" distB="0" distL="114300" distR="114300" simplePos="0" relativeHeight="252016640" behindDoc="0" locked="0" layoutInCell="1" allowOverlap="1" wp14:anchorId="221D104E" wp14:editId="02C6B9C6">
                  <wp:simplePos x="0" y="0"/>
                  <wp:positionH relativeFrom="column">
                    <wp:posOffset>116205</wp:posOffset>
                  </wp:positionH>
                  <wp:positionV relativeFrom="paragraph">
                    <wp:posOffset>181420</wp:posOffset>
                  </wp:positionV>
                  <wp:extent cx="716089" cy="709459"/>
                  <wp:effectExtent l="0" t="0" r="8255" b="0"/>
                  <wp:wrapSquare wrapText="bothSides"/>
                  <wp:docPr id="76" name="Picture 76" descr="Integ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ntegrity icon"/>
                          <pic:cNvPicPr/>
                        </pic:nvPicPr>
                        <pic:blipFill>
                          <a:blip r:embed="rId63">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7DD3E88D" w14:textId="77777777" w:rsidR="006D3942" w:rsidRPr="00DF3006" w:rsidRDefault="006D3942" w:rsidP="00463FBB">
            <w:pPr>
              <w:pStyle w:val="Heading4"/>
            </w:pPr>
            <w:bookmarkStart w:id="167" w:name="_Toc102037818"/>
            <w:bookmarkStart w:id="168" w:name="_Toc102038180"/>
            <w:bookmarkStart w:id="169" w:name="_Toc102038541"/>
            <w:bookmarkStart w:id="170" w:name="_Toc102038901"/>
            <w:bookmarkStart w:id="171" w:name="_Toc102039253"/>
            <w:bookmarkStart w:id="172" w:name="_Toc102039608"/>
            <w:bookmarkStart w:id="173" w:name="_Toc102039965"/>
            <w:bookmarkStart w:id="174" w:name="_Toc102040290"/>
            <w:bookmarkStart w:id="175" w:name="_Toc102040624"/>
            <w:bookmarkStart w:id="176" w:name="_Toc102040952"/>
            <w:bookmarkStart w:id="177" w:name="_Toc102041282"/>
            <w:bookmarkStart w:id="178" w:name="_Toc102041614"/>
            <w:bookmarkStart w:id="179" w:name="_Toc102041941"/>
            <w:bookmarkStart w:id="180" w:name="_Toc102042270"/>
            <w:bookmarkStart w:id="181" w:name="_Toc102045400"/>
            <w:r w:rsidRPr="00DF3006">
              <w:t>Integrity</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58D7351" w14:textId="7777777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are honest and </w:t>
            </w:r>
            <w:r w:rsidRPr="00DF3006">
              <w:rPr>
                <w:color w:val="414042" w:themeColor="text1"/>
                <w:spacing w:val="-2"/>
              </w:rPr>
              <w:t>transparent</w:t>
            </w:r>
            <w:r w:rsidRPr="00DF3006">
              <w:rPr>
                <w:rFonts w:cs="Calibri Light"/>
                <w:color w:val="414042" w:themeColor="text1"/>
                <w:spacing w:val="-2"/>
                <w:szCs w:val="20"/>
              </w:rPr>
              <w:t>.</w:t>
            </w:r>
          </w:p>
          <w:p w14:paraId="5E8DBB46" w14:textId="7777777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act with </w:t>
            </w:r>
            <w:r w:rsidRPr="00DF3006">
              <w:rPr>
                <w:color w:val="414042" w:themeColor="text1"/>
                <w:spacing w:val="-2"/>
              </w:rPr>
              <w:t>impartiality</w:t>
            </w:r>
            <w:r w:rsidRPr="00DF3006">
              <w:rPr>
                <w:rFonts w:cs="Calibri Light"/>
                <w:color w:val="414042" w:themeColor="text1"/>
                <w:spacing w:val="-2"/>
                <w:szCs w:val="20"/>
              </w:rPr>
              <w:t>.</w:t>
            </w:r>
          </w:p>
          <w:p w14:paraId="324817EA" w14:textId="4E783B31"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keep our </w:t>
            </w:r>
            <w:r w:rsidRPr="00DF3006">
              <w:rPr>
                <w:color w:val="414042" w:themeColor="text1"/>
                <w:spacing w:val="-2"/>
              </w:rPr>
              <w:t>commitments</w:t>
            </w:r>
            <w:r w:rsidRPr="00DF3006">
              <w:rPr>
                <w:rFonts w:cs="Calibri Light"/>
                <w:color w:val="414042" w:themeColor="text1"/>
                <w:spacing w:val="-2"/>
                <w:szCs w:val="20"/>
              </w:rPr>
              <w:t>.</w:t>
            </w:r>
          </w:p>
        </w:tc>
      </w:tr>
      <w:tr w:rsidR="00DF3006" w:rsidRPr="00DF3006" w14:paraId="5239CE4C" w14:textId="77777777" w:rsidTr="0055673D">
        <w:trPr>
          <w:trHeight w:val="1531"/>
        </w:trPr>
        <w:tc>
          <w:tcPr>
            <w:tcW w:w="1209" w:type="pct"/>
            <w:shd w:val="clear" w:color="auto" w:fill="auto"/>
          </w:tcPr>
          <w:p w14:paraId="75A41EF7" w14:textId="02149DF4" w:rsidR="006D3942" w:rsidRPr="00DF3006"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DF3006">
              <w:rPr>
                <w:rFonts w:cs="Calibri Light"/>
                <w:noProof/>
                <w:color w:val="414042" w:themeColor="text1"/>
                <w:spacing w:val="-2"/>
                <w:szCs w:val="20"/>
              </w:rPr>
              <w:drawing>
                <wp:anchor distT="0" distB="0" distL="114300" distR="114300" simplePos="0" relativeHeight="252017664" behindDoc="0" locked="0" layoutInCell="1" allowOverlap="1" wp14:anchorId="139D9FC7" wp14:editId="1CD198D4">
                  <wp:simplePos x="0" y="0"/>
                  <wp:positionH relativeFrom="column">
                    <wp:posOffset>116205</wp:posOffset>
                  </wp:positionH>
                  <wp:positionV relativeFrom="paragraph">
                    <wp:posOffset>189040</wp:posOffset>
                  </wp:positionV>
                  <wp:extent cx="716089" cy="709459"/>
                  <wp:effectExtent l="0" t="0" r="8255" b="0"/>
                  <wp:wrapSquare wrapText="bothSides"/>
                  <wp:docPr id="77" name="Picture 77" descr="Cou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ourage icon"/>
                          <pic:cNvPicPr/>
                        </pic:nvPicPr>
                        <pic:blipFill>
                          <a:blip r:embed="rId64">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2F906454" w14:textId="77777777" w:rsidR="006D3942" w:rsidRPr="00DF3006" w:rsidRDefault="006D3942" w:rsidP="00463FBB">
            <w:pPr>
              <w:pStyle w:val="Heading4"/>
            </w:pPr>
            <w:bookmarkStart w:id="182" w:name="_Toc102037819"/>
            <w:bookmarkStart w:id="183" w:name="_Toc102038181"/>
            <w:bookmarkStart w:id="184" w:name="_Toc102038542"/>
            <w:bookmarkStart w:id="185" w:name="_Toc102038902"/>
            <w:bookmarkStart w:id="186" w:name="_Toc102039254"/>
            <w:bookmarkStart w:id="187" w:name="_Toc102039609"/>
            <w:bookmarkStart w:id="188" w:name="_Toc102039966"/>
            <w:bookmarkStart w:id="189" w:name="_Toc102040291"/>
            <w:bookmarkStart w:id="190" w:name="_Toc102040625"/>
            <w:bookmarkStart w:id="191" w:name="_Toc102040953"/>
            <w:bookmarkStart w:id="192" w:name="_Toc102041283"/>
            <w:bookmarkStart w:id="193" w:name="_Toc102041615"/>
            <w:bookmarkStart w:id="194" w:name="_Toc102041942"/>
            <w:bookmarkStart w:id="195" w:name="_Toc102042271"/>
            <w:bookmarkStart w:id="196" w:name="_Toc102045401"/>
            <w:r w:rsidRPr="00DF3006">
              <w:t>Courage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165C76D" w14:textId="7777777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question the </w:t>
            </w:r>
            <w:r w:rsidRPr="00DF3006">
              <w:rPr>
                <w:color w:val="414042" w:themeColor="text1"/>
                <w:spacing w:val="-2"/>
              </w:rPr>
              <w:t>status</w:t>
            </w:r>
            <w:r w:rsidRPr="00DF3006">
              <w:rPr>
                <w:rFonts w:cs="Calibri Light"/>
                <w:color w:val="414042" w:themeColor="text1"/>
                <w:spacing w:val="-2"/>
                <w:szCs w:val="20"/>
              </w:rPr>
              <w:t xml:space="preserve"> quo.</w:t>
            </w:r>
          </w:p>
          <w:p w14:paraId="48A0836E" w14:textId="7777777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embrace </w:t>
            </w:r>
            <w:r w:rsidRPr="00DF3006">
              <w:rPr>
                <w:color w:val="414042" w:themeColor="text1"/>
                <w:spacing w:val="-2"/>
              </w:rPr>
              <w:t>change</w:t>
            </w:r>
            <w:r w:rsidRPr="00DF3006">
              <w:rPr>
                <w:rFonts w:cs="Calibri Light"/>
                <w:color w:val="414042" w:themeColor="text1"/>
                <w:spacing w:val="-2"/>
                <w:szCs w:val="20"/>
              </w:rPr>
              <w:t>.</w:t>
            </w:r>
          </w:p>
          <w:p w14:paraId="3444E60A" w14:textId="75C3800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stand up for </w:t>
            </w:r>
            <w:r w:rsidRPr="00DF3006">
              <w:rPr>
                <w:color w:val="414042" w:themeColor="text1"/>
                <w:spacing w:val="-2"/>
              </w:rPr>
              <w:t>what</w:t>
            </w:r>
            <w:r w:rsidRPr="00DF3006">
              <w:rPr>
                <w:rFonts w:cs="Calibri Light"/>
                <w:color w:val="414042" w:themeColor="text1"/>
                <w:spacing w:val="-2"/>
                <w:szCs w:val="20"/>
              </w:rPr>
              <w:t xml:space="preserve"> is right.</w:t>
            </w:r>
          </w:p>
        </w:tc>
      </w:tr>
      <w:tr w:rsidR="00DF3006" w:rsidRPr="00DF3006" w14:paraId="4EB704D5" w14:textId="77777777" w:rsidTr="0055673D">
        <w:trPr>
          <w:trHeight w:val="1531"/>
        </w:trPr>
        <w:tc>
          <w:tcPr>
            <w:tcW w:w="1209" w:type="pct"/>
            <w:shd w:val="clear" w:color="auto" w:fill="auto"/>
          </w:tcPr>
          <w:p w14:paraId="0EAC0A16" w14:textId="749FE453" w:rsidR="006D3942" w:rsidRPr="00DF3006" w:rsidRDefault="006862B8" w:rsidP="008B0438">
            <w:pPr>
              <w:suppressAutoHyphens/>
              <w:autoSpaceDE w:val="0"/>
              <w:autoSpaceDN w:val="0"/>
              <w:adjustRightInd w:val="0"/>
              <w:spacing w:after="57" w:line="288" w:lineRule="auto"/>
              <w:ind w:left="177"/>
              <w:textAlignment w:val="center"/>
              <w:rPr>
                <w:rFonts w:cs="Calibri Light"/>
                <w:color w:val="414042" w:themeColor="text1"/>
                <w:spacing w:val="-2"/>
                <w:szCs w:val="20"/>
              </w:rPr>
            </w:pPr>
            <w:r w:rsidRPr="00DF3006">
              <w:rPr>
                <w:rFonts w:cs="Calibri Light"/>
                <w:noProof/>
                <w:color w:val="414042" w:themeColor="text1"/>
                <w:spacing w:val="-2"/>
                <w:szCs w:val="20"/>
              </w:rPr>
              <w:drawing>
                <wp:anchor distT="0" distB="0" distL="114300" distR="114300" simplePos="0" relativeHeight="252018688" behindDoc="0" locked="0" layoutInCell="1" allowOverlap="1" wp14:anchorId="3507342C" wp14:editId="2FE0C3D4">
                  <wp:simplePos x="0" y="0"/>
                  <wp:positionH relativeFrom="column">
                    <wp:posOffset>116205</wp:posOffset>
                  </wp:positionH>
                  <wp:positionV relativeFrom="paragraph">
                    <wp:posOffset>176975</wp:posOffset>
                  </wp:positionV>
                  <wp:extent cx="716089" cy="709459"/>
                  <wp:effectExtent l="0" t="0" r="8255" b="0"/>
                  <wp:wrapSquare wrapText="bothSides"/>
                  <wp:docPr id="78" name="Picture 78" descr="Excell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cellence icon"/>
                          <pic:cNvPicPr/>
                        </pic:nvPicPr>
                        <pic:blipFill>
                          <a:blip r:embed="rId65">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4F8611DE" w14:textId="77777777" w:rsidR="006D3942" w:rsidRPr="00DF3006" w:rsidRDefault="006D3942" w:rsidP="00463FBB">
            <w:pPr>
              <w:pStyle w:val="Heading4"/>
            </w:pPr>
            <w:bookmarkStart w:id="197" w:name="_Toc102037820"/>
            <w:bookmarkStart w:id="198" w:name="_Toc102038182"/>
            <w:bookmarkStart w:id="199" w:name="_Toc102038543"/>
            <w:bookmarkStart w:id="200" w:name="_Toc102038903"/>
            <w:bookmarkStart w:id="201" w:name="_Toc102039255"/>
            <w:bookmarkStart w:id="202" w:name="_Toc102039610"/>
            <w:bookmarkStart w:id="203" w:name="_Toc102039967"/>
            <w:bookmarkStart w:id="204" w:name="_Toc102040292"/>
            <w:bookmarkStart w:id="205" w:name="_Toc102040626"/>
            <w:bookmarkStart w:id="206" w:name="_Toc102040954"/>
            <w:bookmarkStart w:id="207" w:name="_Toc102041284"/>
            <w:bookmarkStart w:id="208" w:name="_Toc102041616"/>
            <w:bookmarkStart w:id="209" w:name="_Toc102041943"/>
            <w:bookmarkStart w:id="210" w:name="_Toc102042272"/>
            <w:bookmarkStart w:id="211" w:name="_Toc102045402"/>
            <w:r w:rsidRPr="00DF3006">
              <w:t>Excellence</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6568432B" w14:textId="7777777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We deliver consistent high performance.</w:t>
            </w:r>
          </w:p>
          <w:p w14:paraId="6BE5BA6F" w14:textId="7777777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treat our </w:t>
            </w:r>
            <w:r w:rsidRPr="00DF3006">
              <w:rPr>
                <w:color w:val="414042" w:themeColor="text1"/>
                <w:spacing w:val="-2"/>
              </w:rPr>
              <w:t>mistakes</w:t>
            </w:r>
            <w:r w:rsidRPr="00DF3006">
              <w:rPr>
                <w:rFonts w:cs="Calibri Light"/>
                <w:color w:val="414042" w:themeColor="text1"/>
                <w:spacing w:val="-2"/>
                <w:szCs w:val="20"/>
              </w:rPr>
              <w:t xml:space="preserve"> as opportunities.</w:t>
            </w:r>
          </w:p>
          <w:p w14:paraId="790BA49D" w14:textId="672E3127" w:rsidR="006D3942" w:rsidRPr="00DF3006" w:rsidRDefault="006D3942" w:rsidP="00D313D0">
            <w:pPr>
              <w:spacing w:after="0"/>
              <w:rPr>
                <w:rFonts w:cs="Calibri Light"/>
                <w:color w:val="414042" w:themeColor="text1"/>
                <w:spacing w:val="-2"/>
                <w:szCs w:val="20"/>
              </w:rPr>
            </w:pPr>
            <w:r w:rsidRPr="00DF3006">
              <w:rPr>
                <w:rFonts w:cs="Calibri Light"/>
                <w:color w:val="414042" w:themeColor="text1"/>
                <w:spacing w:val="-2"/>
                <w:szCs w:val="20"/>
              </w:rPr>
              <w:t xml:space="preserve">We implement </w:t>
            </w:r>
            <w:r w:rsidRPr="00DF3006">
              <w:rPr>
                <w:color w:val="414042" w:themeColor="text1"/>
                <w:spacing w:val="-2"/>
              </w:rPr>
              <w:t>ideas</w:t>
            </w:r>
            <w:r w:rsidRPr="00DF3006">
              <w:rPr>
                <w:rFonts w:cs="Calibri Light"/>
                <w:color w:val="414042" w:themeColor="text1"/>
                <w:spacing w:val="-2"/>
                <w:szCs w:val="20"/>
              </w:rPr>
              <w:t xml:space="preserve"> that create value.</w:t>
            </w:r>
          </w:p>
        </w:tc>
      </w:tr>
    </w:tbl>
    <w:p w14:paraId="11EC268A" w14:textId="77777777" w:rsidR="008B0438" w:rsidRPr="00DF3006" w:rsidRDefault="008B0438" w:rsidP="00CE62F7">
      <w:pPr>
        <w:rPr>
          <w:color w:val="414042" w:themeColor="text1"/>
        </w:rPr>
        <w:sectPr w:rsidR="008B0438" w:rsidRPr="00DF3006" w:rsidSect="00C77834">
          <w:type w:val="continuous"/>
          <w:pgSz w:w="11906" w:h="16838" w:code="9"/>
          <w:pgMar w:top="2155" w:right="1134" w:bottom="964" w:left="1134" w:header="720" w:footer="720" w:gutter="0"/>
          <w:cols w:space="567"/>
          <w:noEndnote/>
          <w:docGrid w:linePitch="272"/>
        </w:sectPr>
      </w:pPr>
    </w:p>
    <w:p w14:paraId="0F9E7BC4" w14:textId="02D6032A" w:rsidR="00321BD4" w:rsidRPr="00DF3006" w:rsidRDefault="00321BD4" w:rsidP="00E6066A">
      <w:pPr>
        <w:pStyle w:val="Heading3"/>
        <w:sectPr w:rsidR="00321BD4" w:rsidRPr="00DF3006" w:rsidSect="00C77834">
          <w:type w:val="continuous"/>
          <w:pgSz w:w="11906" w:h="16838" w:code="9"/>
          <w:pgMar w:top="2155" w:right="1134" w:bottom="964" w:left="1134" w:header="720" w:footer="720" w:gutter="0"/>
          <w:cols w:num="2" w:space="567"/>
          <w:noEndnote/>
          <w:docGrid w:linePitch="272"/>
        </w:sectPr>
      </w:pPr>
      <w:r w:rsidRPr="00DF3006">
        <w:br w:type="column"/>
      </w:r>
    </w:p>
    <w:p w14:paraId="415D8A4D" w14:textId="77777777" w:rsidR="005968AA" w:rsidRPr="00DF3006" w:rsidRDefault="005968AA" w:rsidP="005968AA">
      <w:pPr>
        <w:pStyle w:val="Heading2"/>
      </w:pPr>
      <w:bookmarkStart w:id="212" w:name="_Toc102037822"/>
      <w:bookmarkStart w:id="213" w:name="_Toc102038184"/>
      <w:bookmarkStart w:id="214" w:name="_Toc102038545"/>
      <w:bookmarkStart w:id="215" w:name="_Toc102038905"/>
      <w:bookmarkStart w:id="216" w:name="_Toc102039257"/>
      <w:bookmarkStart w:id="217" w:name="_Toc102039612"/>
      <w:bookmarkStart w:id="218" w:name="_Toc102039969"/>
      <w:bookmarkStart w:id="219" w:name="_Toc102040294"/>
      <w:bookmarkStart w:id="220" w:name="_Toc102040628"/>
      <w:bookmarkStart w:id="221" w:name="_Toc102040956"/>
      <w:bookmarkStart w:id="222" w:name="_Toc102041286"/>
      <w:bookmarkStart w:id="223" w:name="_Toc102041618"/>
      <w:bookmarkStart w:id="224" w:name="_Toc102041945"/>
      <w:bookmarkStart w:id="225" w:name="_Toc102042274"/>
      <w:bookmarkStart w:id="226" w:name="_Toc102045404"/>
      <w:bookmarkStart w:id="227" w:name="whoweare"/>
      <w:r w:rsidRPr="00DF3006">
        <w:lastRenderedPageBreak/>
        <w:t xml:space="preserve">Who we </w:t>
      </w:r>
      <w:proofErr w:type="gramStart"/>
      <w:r w:rsidRPr="00DF3006">
        <w:t>are</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roofErr w:type="gramEnd"/>
    </w:p>
    <w:bookmarkEnd w:id="227"/>
    <w:p w14:paraId="798380F1" w14:textId="4314F727" w:rsidR="00570E90" w:rsidRPr="00DF3006" w:rsidRDefault="00570E90" w:rsidP="00570E90">
      <w:pPr>
        <w:suppressAutoHyphens/>
        <w:autoSpaceDE w:val="0"/>
        <w:autoSpaceDN w:val="0"/>
        <w:adjustRightInd w:val="0"/>
        <w:spacing w:after="240"/>
        <w:textAlignment w:val="center"/>
        <w:rPr>
          <w:rFonts w:ascii="Calibri" w:hAnsi="Calibri" w:cs="Calibri"/>
          <w:b/>
          <w:bCs/>
          <w:color w:val="414042" w:themeColor="text1"/>
          <w:spacing w:val="-6"/>
          <w:sz w:val="24"/>
          <w:szCs w:val="24"/>
          <w:lang w:val="en-US"/>
        </w:rPr>
      </w:pPr>
      <w:r w:rsidRPr="00DF3006">
        <w:rPr>
          <w:rFonts w:ascii="Calibri" w:hAnsi="Calibri" w:cs="Calibri"/>
          <w:b/>
          <w:bCs/>
          <w:color w:val="414042" w:themeColor="text1"/>
          <w:spacing w:val="-6"/>
          <w:sz w:val="24"/>
          <w:szCs w:val="24"/>
          <w:lang w:val="en-US"/>
        </w:rPr>
        <w:t xml:space="preserve">The origins of the Crime and Corruption Commission date back to July 1989 when the Queensland Government </w:t>
      </w:r>
      <w:r w:rsidR="00984309" w:rsidRPr="00DF3006">
        <w:rPr>
          <w:rFonts w:ascii="Calibri" w:hAnsi="Calibri" w:cs="Calibri"/>
          <w:b/>
          <w:bCs/>
          <w:color w:val="414042" w:themeColor="text1"/>
          <w:spacing w:val="-6"/>
          <w:sz w:val="24"/>
          <w:szCs w:val="24"/>
          <w:lang w:val="en-US"/>
        </w:rPr>
        <w:t xml:space="preserve">was presented </w:t>
      </w:r>
      <w:r w:rsidRPr="00DF3006">
        <w:rPr>
          <w:rFonts w:ascii="Calibri" w:hAnsi="Calibri" w:cs="Calibri"/>
          <w:b/>
          <w:bCs/>
          <w:color w:val="414042" w:themeColor="text1"/>
          <w:spacing w:val="-6"/>
          <w:sz w:val="24"/>
          <w:szCs w:val="24"/>
          <w:lang w:val="en-US"/>
        </w:rPr>
        <w:t xml:space="preserve">with the findings of the </w:t>
      </w:r>
      <w:r w:rsidRPr="00DF3006">
        <w:rPr>
          <w:rFonts w:ascii="Calibri" w:hAnsi="Calibri" w:cs="Calibri"/>
          <w:b/>
          <w:bCs/>
          <w:i/>
          <w:iCs/>
          <w:color w:val="414042" w:themeColor="text1"/>
          <w:spacing w:val="-6"/>
          <w:sz w:val="24"/>
          <w:szCs w:val="24"/>
          <w:lang w:val="en-US"/>
        </w:rPr>
        <w:t>Commission of Inquiry into Possible Illegal Activities and Associated Police Misconduct</w:t>
      </w:r>
      <w:r w:rsidRPr="00DF3006">
        <w:rPr>
          <w:rFonts w:ascii="Calibri" w:hAnsi="Calibri" w:cs="Calibri"/>
          <w:b/>
          <w:bCs/>
          <w:color w:val="414042" w:themeColor="text1"/>
          <w:spacing w:val="-6"/>
          <w:sz w:val="24"/>
          <w:szCs w:val="24"/>
          <w:lang w:val="en-US"/>
        </w:rPr>
        <w:t xml:space="preserve"> (known as the </w:t>
      </w:r>
      <w:r w:rsidRPr="00DF3006">
        <w:rPr>
          <w:rFonts w:ascii="Calibri" w:hAnsi="Calibri" w:cs="Calibri"/>
          <w:b/>
          <w:bCs/>
          <w:i/>
          <w:iCs/>
          <w:color w:val="414042" w:themeColor="text1"/>
          <w:spacing w:val="-6"/>
          <w:sz w:val="24"/>
          <w:szCs w:val="24"/>
          <w:lang w:val="en-US"/>
        </w:rPr>
        <w:t>Fitzgerald Inquiry Report</w:t>
      </w:r>
      <w:r w:rsidRPr="00DF3006">
        <w:rPr>
          <w:rFonts w:ascii="Calibri" w:hAnsi="Calibri" w:cs="Calibri"/>
          <w:b/>
          <w:bCs/>
          <w:color w:val="414042" w:themeColor="text1"/>
          <w:spacing w:val="-6"/>
          <w:sz w:val="24"/>
          <w:szCs w:val="24"/>
          <w:lang w:val="en-US"/>
        </w:rPr>
        <w:t>).</w:t>
      </w:r>
    </w:p>
    <w:p w14:paraId="689E80EC" w14:textId="77777777" w:rsidR="00E52781" w:rsidRPr="00DF3006" w:rsidRDefault="00E52781" w:rsidP="00E52781">
      <w:pPr>
        <w:rPr>
          <w:color w:val="414042" w:themeColor="text1"/>
        </w:rPr>
      </w:pPr>
    </w:p>
    <w:p w14:paraId="3C8F7CE5" w14:textId="6272C939" w:rsidR="00E52781" w:rsidRPr="00DF3006" w:rsidRDefault="00E52781" w:rsidP="00E52781">
      <w:pPr>
        <w:rPr>
          <w:color w:val="414042" w:themeColor="text1"/>
        </w:rPr>
        <w:sectPr w:rsidR="00E52781" w:rsidRPr="00DF3006" w:rsidSect="00C77834">
          <w:pgSz w:w="11906" w:h="16838" w:code="9"/>
          <w:pgMar w:top="2155" w:right="1134" w:bottom="964" w:left="1134" w:header="720" w:footer="284" w:gutter="0"/>
          <w:cols w:space="720"/>
          <w:noEndnote/>
          <w:docGrid w:linePitch="272"/>
        </w:sectPr>
      </w:pPr>
    </w:p>
    <w:p w14:paraId="01FB8364" w14:textId="77777777" w:rsidR="00570E90" w:rsidRPr="00DF3006" w:rsidRDefault="00570E90" w:rsidP="00570E90">
      <w:pPr>
        <w:ind w:right="-1"/>
        <w:rPr>
          <w:color w:val="414042" w:themeColor="text1"/>
        </w:rPr>
      </w:pPr>
      <w:r w:rsidRPr="00DF3006">
        <w:rPr>
          <w:color w:val="414042" w:themeColor="text1"/>
        </w:rPr>
        <w:t xml:space="preserve">The </w:t>
      </w:r>
      <w:r w:rsidRPr="00DF3006">
        <w:rPr>
          <w:i/>
          <w:iCs/>
          <w:color w:val="414042" w:themeColor="text1"/>
        </w:rPr>
        <w:t>Fitzgerald Inquiry Report</w:t>
      </w:r>
      <w:r w:rsidRPr="00DF3006">
        <w:rPr>
          <w:color w:val="414042" w:themeColor="text1"/>
        </w:rPr>
        <w:t xml:space="preserve"> recommended the Queensland Parliament establish an independent agency to fight organised crime and corruption to help restore confidence in our public institutions, and to be responsible for Queensland’s witness protection program. Since that time, the presence of an independent Commission dedicated to fighting organised crime and corruption has been a constant in Queensland public life.</w:t>
      </w:r>
    </w:p>
    <w:p w14:paraId="28EC3738" w14:textId="77777777" w:rsidR="00570E90" w:rsidRPr="00DF3006" w:rsidRDefault="00570E90" w:rsidP="00570E90">
      <w:pPr>
        <w:ind w:right="-1"/>
        <w:rPr>
          <w:color w:val="414042" w:themeColor="text1"/>
        </w:rPr>
      </w:pPr>
      <w:r w:rsidRPr="00DF3006">
        <w:rPr>
          <w:color w:val="414042" w:themeColor="text1"/>
        </w:rPr>
        <w:t>Although there have been several iterations of the Commission since 1989, the core work of the Commission has essentially remained the same.</w:t>
      </w:r>
    </w:p>
    <w:p w14:paraId="090F396A" w14:textId="77777777" w:rsidR="00570E90" w:rsidRPr="00DF3006" w:rsidRDefault="00570E90" w:rsidP="00570E90">
      <w:pPr>
        <w:rPr>
          <w:color w:val="414042" w:themeColor="text1"/>
        </w:rPr>
      </w:pPr>
      <w:r w:rsidRPr="00DF3006">
        <w:rPr>
          <w:color w:val="414042" w:themeColor="text1"/>
        </w:rPr>
        <w:t>Today’s CCC investigates major crime and corruption, has oversight of both the police and the public sector, recovers the proceeds of crime and is responsible for Queensland’s witness protection program.</w:t>
      </w:r>
    </w:p>
    <w:p w14:paraId="281A485D" w14:textId="77777777" w:rsidR="00570E90" w:rsidRPr="00DF3006" w:rsidRDefault="00570E90" w:rsidP="00570E90">
      <w:pPr>
        <w:rPr>
          <w:color w:val="414042" w:themeColor="text1"/>
        </w:rPr>
      </w:pPr>
      <w:r w:rsidRPr="00DF3006">
        <w:rPr>
          <w:color w:val="414042" w:themeColor="text1"/>
        </w:rPr>
        <w:t>Our work includes:</w:t>
      </w:r>
    </w:p>
    <w:p w14:paraId="1356DBC0" w14:textId="77777777" w:rsidR="00570E90" w:rsidRPr="00DF3006" w:rsidRDefault="00570E90" w:rsidP="00570E90">
      <w:pPr>
        <w:pStyle w:val="Bullets"/>
        <w:rPr>
          <w:color w:val="414042" w:themeColor="text1"/>
        </w:rPr>
      </w:pPr>
      <w:r w:rsidRPr="00DF3006">
        <w:rPr>
          <w:color w:val="414042" w:themeColor="text1"/>
        </w:rPr>
        <w:t>investigating serious and organised crime</w:t>
      </w:r>
    </w:p>
    <w:p w14:paraId="0638FE90" w14:textId="05052171" w:rsidR="00570E90" w:rsidRPr="00DF3006" w:rsidRDefault="00570E90" w:rsidP="00570E90">
      <w:pPr>
        <w:pStyle w:val="Bullets"/>
        <w:rPr>
          <w:color w:val="414042" w:themeColor="text1"/>
        </w:rPr>
      </w:pPr>
      <w:r w:rsidRPr="00DF3006">
        <w:rPr>
          <w:color w:val="414042" w:themeColor="text1"/>
        </w:rPr>
        <w:t xml:space="preserve">receiving, </w:t>
      </w:r>
      <w:proofErr w:type="gramStart"/>
      <w:r w:rsidRPr="00DF3006">
        <w:rPr>
          <w:color w:val="414042" w:themeColor="text1"/>
        </w:rPr>
        <w:t>assessing</w:t>
      </w:r>
      <w:proofErr w:type="gramEnd"/>
      <w:r w:rsidRPr="00DF3006">
        <w:rPr>
          <w:color w:val="414042" w:themeColor="text1"/>
        </w:rPr>
        <w:t xml:space="preserve"> and investigating complaints </w:t>
      </w:r>
      <w:r w:rsidRPr="00DF3006">
        <w:rPr>
          <w:color w:val="414042" w:themeColor="text1"/>
        </w:rPr>
        <w:br/>
        <w:t>of corruption within the Queensland public sector</w:t>
      </w:r>
    </w:p>
    <w:p w14:paraId="538A9B6D" w14:textId="77777777" w:rsidR="00570E90" w:rsidRPr="00DF3006" w:rsidRDefault="00570E90" w:rsidP="00570E90">
      <w:pPr>
        <w:pStyle w:val="Bullets"/>
        <w:rPr>
          <w:color w:val="414042" w:themeColor="text1"/>
        </w:rPr>
      </w:pPr>
      <w:r w:rsidRPr="00DF3006">
        <w:rPr>
          <w:color w:val="414042" w:themeColor="text1"/>
        </w:rPr>
        <w:t>developing strategies to prevent major crime and corruption, and</w:t>
      </w:r>
    </w:p>
    <w:p w14:paraId="07797885" w14:textId="77777777" w:rsidR="00570E90" w:rsidRPr="00DF3006" w:rsidRDefault="00570E90" w:rsidP="00570E90">
      <w:pPr>
        <w:pStyle w:val="Bullets"/>
        <w:rPr>
          <w:color w:val="414042" w:themeColor="text1"/>
        </w:rPr>
      </w:pPr>
      <w:r w:rsidRPr="00DF3006">
        <w:rPr>
          <w:color w:val="414042" w:themeColor="text1"/>
        </w:rPr>
        <w:t>undertaking intelligence activities and conducting research on crime, corruption, policing and other relevant matters.</w:t>
      </w:r>
    </w:p>
    <w:p w14:paraId="5A114A93" w14:textId="77777777" w:rsidR="00570E90" w:rsidRPr="00DF3006" w:rsidRDefault="00570E90" w:rsidP="00570E90">
      <w:pPr>
        <w:ind w:right="-285"/>
        <w:rPr>
          <w:color w:val="414042" w:themeColor="text1"/>
        </w:rPr>
      </w:pPr>
      <w:r w:rsidRPr="00DF3006">
        <w:rPr>
          <w:color w:val="414042" w:themeColor="text1"/>
        </w:rPr>
        <w:br w:type="column"/>
      </w:r>
      <w:r w:rsidRPr="00DF3006">
        <w:rPr>
          <w:color w:val="414042" w:themeColor="text1"/>
        </w:rPr>
        <w:t xml:space="preserve">The </w:t>
      </w:r>
      <w:r w:rsidRPr="00DF3006">
        <w:rPr>
          <w:i/>
          <w:iCs/>
          <w:color w:val="414042" w:themeColor="text1"/>
          <w:spacing w:val="2"/>
        </w:rPr>
        <w:t>Crime and Corruption Act 2001</w:t>
      </w:r>
      <w:r w:rsidRPr="00DF3006">
        <w:rPr>
          <w:color w:val="414042" w:themeColor="text1"/>
        </w:rPr>
        <w:t xml:space="preserve"> (Qld) sets out our primary functions, </w:t>
      </w:r>
      <w:proofErr w:type="gramStart"/>
      <w:r w:rsidRPr="00DF3006">
        <w:rPr>
          <w:color w:val="414042" w:themeColor="text1"/>
        </w:rPr>
        <w:t>powers</w:t>
      </w:r>
      <w:proofErr w:type="gramEnd"/>
      <w:r w:rsidRPr="00DF3006">
        <w:rPr>
          <w:color w:val="414042" w:themeColor="text1"/>
        </w:rPr>
        <w:t xml:space="preserve"> and governance structure. The following additional legislation supports our functions by enabling us to recover criminal proceeds, protect witnesses, and gather evidence through searches and surveillance:</w:t>
      </w:r>
    </w:p>
    <w:p w14:paraId="6466D572" w14:textId="49D91FE4" w:rsidR="00570E90" w:rsidRPr="00DF3006" w:rsidRDefault="00570E90" w:rsidP="00570E90">
      <w:pPr>
        <w:pStyle w:val="Bullets"/>
        <w:rPr>
          <w:i/>
          <w:iCs/>
          <w:color w:val="414042" w:themeColor="text1"/>
        </w:rPr>
      </w:pPr>
      <w:r w:rsidRPr="00DF3006">
        <w:rPr>
          <w:i/>
          <w:iCs/>
          <w:color w:val="414042" w:themeColor="text1"/>
        </w:rPr>
        <w:t>Criminal Proceeds Confiscation Act 2002</w:t>
      </w:r>
      <w:r w:rsidR="000B6342" w:rsidRPr="00DF3006">
        <w:rPr>
          <w:i/>
          <w:iCs/>
          <w:color w:val="414042" w:themeColor="text1"/>
        </w:rPr>
        <w:t xml:space="preserve"> </w:t>
      </w:r>
      <w:r w:rsidR="000B6342" w:rsidRPr="00DF3006">
        <w:rPr>
          <w:color w:val="414042" w:themeColor="text1"/>
        </w:rPr>
        <w:t>(Qld)</w:t>
      </w:r>
    </w:p>
    <w:p w14:paraId="581773C5" w14:textId="58A8EBC9" w:rsidR="00570E90" w:rsidRPr="00DF3006" w:rsidRDefault="00570E90" w:rsidP="00570E90">
      <w:pPr>
        <w:pStyle w:val="Bullets"/>
        <w:rPr>
          <w:i/>
          <w:iCs/>
          <w:color w:val="414042" w:themeColor="text1"/>
        </w:rPr>
      </w:pPr>
      <w:r w:rsidRPr="00DF3006">
        <w:rPr>
          <w:i/>
          <w:iCs/>
          <w:color w:val="414042" w:themeColor="text1"/>
        </w:rPr>
        <w:t>Police Powers and Responsibilities Act 2000</w:t>
      </w:r>
      <w:r w:rsidR="000B6342" w:rsidRPr="00DF3006">
        <w:rPr>
          <w:i/>
          <w:iCs/>
          <w:color w:val="414042" w:themeColor="text1"/>
        </w:rPr>
        <w:t xml:space="preserve"> </w:t>
      </w:r>
      <w:r w:rsidR="000B6342" w:rsidRPr="00DF3006">
        <w:rPr>
          <w:color w:val="414042" w:themeColor="text1"/>
        </w:rPr>
        <w:t>(Qld)</w:t>
      </w:r>
    </w:p>
    <w:p w14:paraId="16C121FD" w14:textId="5F5CB9D8" w:rsidR="00570E90" w:rsidRPr="00DF3006" w:rsidRDefault="00570E90" w:rsidP="00570E90">
      <w:pPr>
        <w:pStyle w:val="Bullets"/>
        <w:rPr>
          <w:i/>
          <w:iCs/>
          <w:color w:val="414042" w:themeColor="text1"/>
        </w:rPr>
      </w:pPr>
      <w:r w:rsidRPr="00DF3006">
        <w:rPr>
          <w:i/>
          <w:iCs/>
          <w:color w:val="414042" w:themeColor="text1"/>
        </w:rPr>
        <w:t>Telecommunications Interception Act 2009</w:t>
      </w:r>
      <w:r w:rsidR="000B6342" w:rsidRPr="00DF3006">
        <w:rPr>
          <w:i/>
          <w:iCs/>
          <w:color w:val="414042" w:themeColor="text1"/>
        </w:rPr>
        <w:t xml:space="preserve"> </w:t>
      </w:r>
      <w:r w:rsidR="000B6342" w:rsidRPr="00DF3006">
        <w:rPr>
          <w:color w:val="414042" w:themeColor="text1"/>
        </w:rPr>
        <w:t>(Qld) (TI Act)</w:t>
      </w:r>
    </w:p>
    <w:p w14:paraId="0A419D16" w14:textId="7BBE6FF7" w:rsidR="00570E90" w:rsidRPr="00DF3006" w:rsidRDefault="00570E90" w:rsidP="00570E90">
      <w:pPr>
        <w:pStyle w:val="Bullets"/>
        <w:rPr>
          <w:i/>
          <w:iCs/>
          <w:color w:val="414042" w:themeColor="text1"/>
        </w:rPr>
      </w:pPr>
      <w:r w:rsidRPr="00DF3006">
        <w:rPr>
          <w:i/>
          <w:iCs/>
          <w:color w:val="414042" w:themeColor="text1"/>
        </w:rPr>
        <w:t xml:space="preserve">Telecommunications (Interception and Access) </w:t>
      </w:r>
      <w:r w:rsidRPr="00DF3006">
        <w:rPr>
          <w:i/>
          <w:iCs/>
          <w:color w:val="414042" w:themeColor="text1"/>
        </w:rPr>
        <w:br/>
        <w:t xml:space="preserve">Act 1979 </w:t>
      </w:r>
      <w:r w:rsidRPr="00DF3006">
        <w:rPr>
          <w:color w:val="414042" w:themeColor="text1"/>
        </w:rPr>
        <w:t>(</w:t>
      </w:r>
      <w:proofErr w:type="spellStart"/>
      <w:r w:rsidRPr="00DF3006">
        <w:rPr>
          <w:color w:val="414042" w:themeColor="text1"/>
        </w:rPr>
        <w:t>Cth</w:t>
      </w:r>
      <w:proofErr w:type="spellEnd"/>
      <w:r w:rsidRPr="00DF3006">
        <w:rPr>
          <w:color w:val="414042" w:themeColor="text1"/>
        </w:rPr>
        <w:t>)</w:t>
      </w:r>
      <w:r w:rsidR="000B6342" w:rsidRPr="00DF3006">
        <w:rPr>
          <w:color w:val="414042" w:themeColor="text1"/>
        </w:rPr>
        <w:t xml:space="preserve"> (TIA Act)</w:t>
      </w:r>
      <w:r w:rsidRPr="00DF3006">
        <w:rPr>
          <w:color w:val="414042" w:themeColor="text1"/>
        </w:rPr>
        <w:t>, and</w:t>
      </w:r>
    </w:p>
    <w:p w14:paraId="123414FC" w14:textId="6E47C9FE" w:rsidR="00570E90" w:rsidRPr="00DF3006" w:rsidRDefault="00570E90" w:rsidP="00570E90">
      <w:pPr>
        <w:pStyle w:val="Bullets"/>
        <w:rPr>
          <w:i/>
          <w:iCs/>
          <w:color w:val="414042" w:themeColor="text1"/>
        </w:rPr>
      </w:pPr>
      <w:r w:rsidRPr="00DF3006">
        <w:rPr>
          <w:i/>
          <w:iCs/>
          <w:color w:val="414042" w:themeColor="text1"/>
        </w:rPr>
        <w:t>Witness Protection Act 2000</w:t>
      </w:r>
      <w:r w:rsidR="000B6342" w:rsidRPr="00DF3006">
        <w:rPr>
          <w:color w:val="414042" w:themeColor="text1"/>
        </w:rPr>
        <w:t xml:space="preserve"> (Qld)</w:t>
      </w:r>
      <w:r w:rsidRPr="00DF3006">
        <w:rPr>
          <w:color w:val="414042" w:themeColor="text1"/>
        </w:rPr>
        <w:t>.</w:t>
      </w:r>
    </w:p>
    <w:p w14:paraId="624F7B4A" w14:textId="7FFEB993" w:rsidR="009B0939" w:rsidRPr="00DF3006" w:rsidRDefault="009B0939" w:rsidP="00570E90">
      <w:pPr>
        <w:rPr>
          <w:i/>
          <w:color w:val="414042" w:themeColor="text1"/>
          <w:szCs w:val="20"/>
        </w:rPr>
      </w:pPr>
    </w:p>
    <w:p w14:paraId="7315BFAA" w14:textId="31B3B61E" w:rsidR="00570E90" w:rsidRPr="00DF3006" w:rsidRDefault="00570E90" w:rsidP="00570E90">
      <w:pPr>
        <w:rPr>
          <w:i/>
          <w:color w:val="414042" w:themeColor="text1"/>
          <w:szCs w:val="20"/>
        </w:rPr>
      </w:pPr>
      <w:r w:rsidRPr="00DF3006">
        <w:rPr>
          <w:i/>
          <w:color w:val="414042" w:themeColor="text1"/>
          <w:szCs w:val="20"/>
        </w:rPr>
        <w:t xml:space="preserve">For more information about our governance and people, see pages </w:t>
      </w:r>
      <w:r w:rsidR="00596E3B" w:rsidRPr="00DF3006">
        <w:rPr>
          <w:i/>
          <w:color w:val="414042" w:themeColor="text1"/>
          <w:szCs w:val="20"/>
        </w:rPr>
        <w:t>58</w:t>
      </w:r>
      <w:r w:rsidRPr="00DF3006">
        <w:rPr>
          <w:i/>
          <w:color w:val="414042" w:themeColor="text1"/>
          <w:szCs w:val="20"/>
        </w:rPr>
        <w:t>–</w:t>
      </w:r>
      <w:r w:rsidR="00596E3B" w:rsidRPr="00DF3006">
        <w:rPr>
          <w:i/>
          <w:color w:val="414042" w:themeColor="text1"/>
          <w:szCs w:val="20"/>
        </w:rPr>
        <w:t>73</w:t>
      </w:r>
      <w:r w:rsidRPr="00DF3006">
        <w:rPr>
          <w:i/>
          <w:color w:val="414042" w:themeColor="text1"/>
          <w:szCs w:val="20"/>
        </w:rPr>
        <w:t>.</w:t>
      </w:r>
    </w:p>
    <w:p w14:paraId="4CBBD05E" w14:textId="77777777" w:rsidR="0011421A" w:rsidRPr="00DF3006" w:rsidRDefault="0011421A" w:rsidP="0011421A">
      <w:pPr>
        <w:rPr>
          <w:color w:val="414042" w:themeColor="text1"/>
        </w:rPr>
      </w:pPr>
    </w:p>
    <w:p w14:paraId="35D9F793" w14:textId="5C359185" w:rsidR="0011421A" w:rsidRPr="00DF3006" w:rsidRDefault="0011421A" w:rsidP="0011421A">
      <w:pPr>
        <w:rPr>
          <w:color w:val="414042" w:themeColor="text1"/>
        </w:rPr>
        <w:sectPr w:rsidR="0011421A" w:rsidRPr="00DF3006" w:rsidSect="00C77834">
          <w:type w:val="continuous"/>
          <w:pgSz w:w="11906" w:h="16838" w:code="9"/>
          <w:pgMar w:top="2155" w:right="1134" w:bottom="964" w:left="1134" w:header="720" w:footer="284" w:gutter="0"/>
          <w:cols w:num="2" w:space="567"/>
          <w:noEndnote/>
          <w:docGrid w:linePitch="272"/>
        </w:sectPr>
      </w:pPr>
    </w:p>
    <w:p w14:paraId="705DCB7E" w14:textId="6C8B6D54" w:rsidR="00BB217E" w:rsidRPr="00DF3006" w:rsidRDefault="00BB217E" w:rsidP="00BB217E">
      <w:pPr>
        <w:pStyle w:val="Heading2"/>
      </w:pPr>
      <w:bookmarkStart w:id="228" w:name="_Toc102037823"/>
      <w:bookmarkStart w:id="229" w:name="_Toc102038185"/>
      <w:bookmarkStart w:id="230" w:name="_Toc102038546"/>
      <w:bookmarkStart w:id="231" w:name="_Toc102038906"/>
      <w:bookmarkStart w:id="232" w:name="_Toc102039258"/>
      <w:bookmarkStart w:id="233" w:name="_Toc102039613"/>
      <w:bookmarkStart w:id="234" w:name="_Toc102039970"/>
      <w:bookmarkStart w:id="235" w:name="_Toc102040295"/>
      <w:bookmarkStart w:id="236" w:name="_Toc102040629"/>
      <w:bookmarkStart w:id="237" w:name="_Toc102040957"/>
      <w:bookmarkStart w:id="238" w:name="_Toc102041287"/>
      <w:bookmarkStart w:id="239" w:name="_Toc102041619"/>
      <w:bookmarkStart w:id="240" w:name="_Toc102041946"/>
      <w:bookmarkStart w:id="241" w:name="_Toc102042275"/>
      <w:bookmarkStart w:id="242" w:name="_Toc102045405"/>
      <w:bookmarkStart w:id="243" w:name="orgstructure"/>
      <w:r w:rsidRPr="00DF3006">
        <w:lastRenderedPageBreak/>
        <w:t>Our organisational structure</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1748"/>
        <w:gridCol w:w="1974"/>
        <w:gridCol w:w="1972"/>
      </w:tblGrid>
      <w:tr w:rsidR="00DF3006" w:rsidRPr="00DF3006" w14:paraId="0E6FDD45" w14:textId="77777777" w:rsidTr="00023827">
        <w:trPr>
          <w:trHeight w:val="389"/>
          <w:jc w:val="center"/>
        </w:trPr>
        <w:tc>
          <w:tcPr>
            <w:tcW w:w="5000" w:type="pct"/>
            <w:gridSpan w:val="5"/>
            <w:shd w:val="clear" w:color="auto" w:fill="auto"/>
          </w:tcPr>
          <w:p w14:paraId="148005EC" w14:textId="77777777" w:rsidR="00BB217E" w:rsidRPr="00DF3006" w:rsidRDefault="00BB217E" w:rsidP="006F6EFE">
            <w:pPr>
              <w:jc w:val="center"/>
              <w:rPr>
                <w:rFonts w:asciiTheme="minorHAnsi" w:hAnsiTheme="minorHAnsi"/>
                <w:b/>
                <w:noProof/>
                <w:color w:val="414042" w:themeColor="text1"/>
                <w:sz w:val="24"/>
                <w:szCs w:val="24"/>
                <w:lang w:eastAsia="en-AU"/>
              </w:rPr>
            </w:pPr>
            <w:r w:rsidRPr="00DF3006">
              <w:rPr>
                <w:rFonts w:asciiTheme="minorHAnsi" w:hAnsiTheme="minorHAnsi"/>
                <w:b/>
                <w:color w:val="414042" w:themeColor="text1"/>
                <w:sz w:val="24"/>
                <w:szCs w:val="24"/>
              </w:rPr>
              <w:t>The Commission</w:t>
            </w:r>
          </w:p>
        </w:tc>
      </w:tr>
      <w:tr w:rsidR="00DF3006" w:rsidRPr="00DF3006" w14:paraId="528CC587" w14:textId="77777777" w:rsidTr="00023827">
        <w:trPr>
          <w:jc w:val="center"/>
        </w:trPr>
        <w:tc>
          <w:tcPr>
            <w:tcW w:w="1023" w:type="pct"/>
            <w:shd w:val="clear" w:color="auto" w:fill="auto"/>
            <w:vAlign w:val="center"/>
          </w:tcPr>
          <w:p w14:paraId="74884BD2" w14:textId="77777777" w:rsidR="00BB217E" w:rsidRPr="00DF3006" w:rsidRDefault="00BB217E" w:rsidP="006F6EFE">
            <w:pPr>
              <w:jc w:val="cente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68544" behindDoc="0" locked="0" layoutInCell="1" allowOverlap="1" wp14:anchorId="0289D7A8" wp14:editId="628723C2">
                      <wp:simplePos x="0" y="0"/>
                      <wp:positionH relativeFrom="column">
                        <wp:posOffset>739140</wp:posOffset>
                      </wp:positionH>
                      <wp:positionV relativeFrom="paragraph">
                        <wp:posOffset>220980</wp:posOffset>
                      </wp:positionV>
                      <wp:extent cx="850900" cy="1905"/>
                      <wp:effectExtent l="19050" t="19050" r="25400" b="36195"/>
                      <wp:wrapNone/>
                      <wp:docPr id="1756626576" name="Straight Connector 1756626576"/>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1E2DB" id="Straight Connector 1756626576" o:spid="_x0000_s1026" style="position:absolute;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4pt" to="12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" strokecolor="white [3212]" strokeweight="3pt">
                      <v:stroke joinstyle="miter"/>
                    </v:line>
                  </w:pict>
                </mc:Fallback>
              </mc:AlternateContent>
            </w:r>
            <w:r w:rsidRPr="00DF3006">
              <w:rPr>
                <w:noProof/>
                <w:color w:val="414042" w:themeColor="text1"/>
                <w:sz w:val="24"/>
                <w:szCs w:val="24"/>
              </w:rPr>
              <mc:AlternateContent>
                <mc:Choice Requires="wpg">
                  <w:drawing>
                    <wp:inline distT="0" distB="0" distL="0" distR="0" wp14:anchorId="43A709ED" wp14:editId="22CE84D8">
                      <wp:extent cx="432000" cy="432000"/>
                      <wp:effectExtent l="0" t="0" r="6350" b="6350"/>
                      <wp:docPr id="1756626577" name="Graphic 20"/>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78" name="Freeform: Shape 175662657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3" name="Freeform: Shape 1756626583"/>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4" name="Freeform: Shape 175662658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8C9E9B" id="Graphic 20"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PlfNFxYG&#10;AAAcHAAADgAAAAAAAAAAAAAAAAAuAgAAZHJzL2Uyb0RvYy54bWxQSwECLQAUAAYACAAAACEA6Z2I&#10;MdgAAAADAQAADwAAAAAAAAAAAAAAAABwCAAAZHJzL2Rvd25yZXYueG1sUEsFBgAAAAAEAAQA8wAA&#10;AHUJAAAAAA==&#10;">
                      <v:shape id="Freeform: Shape 175662657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3"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vAlign w:val="center"/>
          </w:tcPr>
          <w:p w14:paraId="2BD1BA7D" w14:textId="77777777" w:rsidR="00BB217E" w:rsidRPr="00DF3006" w:rsidRDefault="00BB217E" w:rsidP="006F6EFE">
            <w:pPr>
              <w:jc w:val="cente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2640" behindDoc="0" locked="0" layoutInCell="1" allowOverlap="1" wp14:anchorId="4E61B99F" wp14:editId="1B107C8E">
                      <wp:simplePos x="0" y="0"/>
                      <wp:positionH relativeFrom="column">
                        <wp:posOffset>744220</wp:posOffset>
                      </wp:positionH>
                      <wp:positionV relativeFrom="paragraph">
                        <wp:posOffset>224155</wp:posOffset>
                      </wp:positionV>
                      <wp:extent cx="760095" cy="0"/>
                      <wp:effectExtent l="0" t="19050" r="20955" b="19050"/>
                      <wp:wrapNone/>
                      <wp:docPr id="1756626585" name="Straight Connector 1756626585"/>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58E0E" id="Straight Connector 1756626585"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pt,17.65pt" to="118.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" strokecolor="white [3212]" strokeweight="3pt">
                      <v:stroke joinstyle="miter"/>
                    </v:line>
                  </w:pict>
                </mc:Fallback>
              </mc:AlternateContent>
            </w:r>
            <w:r w:rsidRPr="00DF3006">
              <w:rPr>
                <w:noProof/>
                <w:color w:val="414042" w:themeColor="text1"/>
                <w:sz w:val="24"/>
                <w:szCs w:val="24"/>
              </w:rPr>
              <mc:AlternateContent>
                <mc:Choice Requires="wpg">
                  <w:drawing>
                    <wp:inline distT="0" distB="0" distL="0" distR="0" wp14:anchorId="1FDE8658" wp14:editId="525BB228">
                      <wp:extent cx="432000" cy="432000"/>
                      <wp:effectExtent l="0" t="0" r="6350" b="6350"/>
                      <wp:docPr id="1756626586" name="Graphic 16"/>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87" name="Freeform: Shape 17566265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8" name="Freeform: Shape 17566265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9" name="Freeform: Shape 17566265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CCD939" id="Graphic 16"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">
                      <v:shape id="Freeform: Shape 17566265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shd w:val="clear" w:color="auto" w:fill="auto"/>
            <w:vAlign w:val="center"/>
          </w:tcPr>
          <w:p w14:paraId="27EC2959" w14:textId="00EA9100" w:rsidR="00BB217E" w:rsidRPr="00DF3006" w:rsidRDefault="00BB217E" w:rsidP="006F6EFE">
            <w:pPr>
              <w:jc w:val="cente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69568" behindDoc="0" locked="0" layoutInCell="1" allowOverlap="1" wp14:anchorId="1729AE11" wp14:editId="7573B0F3">
                      <wp:simplePos x="0" y="0"/>
                      <wp:positionH relativeFrom="column">
                        <wp:posOffset>724535</wp:posOffset>
                      </wp:positionH>
                      <wp:positionV relativeFrom="paragraph">
                        <wp:posOffset>269240</wp:posOffset>
                      </wp:positionV>
                      <wp:extent cx="760095" cy="0"/>
                      <wp:effectExtent l="0" t="19050" r="20955" b="19050"/>
                      <wp:wrapNone/>
                      <wp:docPr id="1756626590" name="Straight Connector 1756626590"/>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70739" id="Straight Connector 1756626590" o:spid="_x0000_s1026" style="position:absolute;flip: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21.2pt" to="11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" strokecolor="white [3212]" strokeweight="3pt">
                      <v:stroke joinstyle="miter"/>
                    </v:line>
                  </w:pict>
                </mc:Fallback>
              </mc:AlternateContent>
            </w:r>
            <w:r w:rsidR="0088115B" w:rsidRPr="00DF3006">
              <w:rPr>
                <w:noProof/>
                <w:color w:val="414042" w:themeColor="text1"/>
              </w:rPr>
              <w:drawing>
                <wp:inline distT="0" distB="0" distL="0" distR="0" wp14:anchorId="41C95670" wp14:editId="6405CB52">
                  <wp:extent cx="504825" cy="504825"/>
                  <wp:effectExtent l="0" t="0" r="9525" b="9525"/>
                  <wp:docPr id="1756629152" name="Graphic 17566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504825" cy="504825"/>
                          </a:xfrm>
                          <a:prstGeom prst="rect">
                            <a:avLst/>
                          </a:prstGeom>
                        </pic:spPr>
                      </pic:pic>
                    </a:graphicData>
                  </a:graphic>
                </wp:inline>
              </w:drawing>
            </w:r>
          </w:p>
        </w:tc>
        <w:tc>
          <w:tcPr>
            <w:tcW w:w="1024" w:type="pct"/>
            <w:shd w:val="clear" w:color="auto" w:fill="auto"/>
            <w:vAlign w:val="center"/>
          </w:tcPr>
          <w:p w14:paraId="29FB104D" w14:textId="77777777" w:rsidR="00BB217E" w:rsidRPr="00DF3006" w:rsidRDefault="00BB217E" w:rsidP="006F6EFE">
            <w:pPr>
              <w:jc w:val="cente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0592" behindDoc="0" locked="0" layoutInCell="1" allowOverlap="1" wp14:anchorId="2DE32A1D" wp14:editId="7258548F">
                      <wp:simplePos x="0" y="0"/>
                      <wp:positionH relativeFrom="column">
                        <wp:posOffset>745490</wp:posOffset>
                      </wp:positionH>
                      <wp:positionV relativeFrom="paragraph">
                        <wp:posOffset>213995</wp:posOffset>
                      </wp:positionV>
                      <wp:extent cx="918845" cy="1905"/>
                      <wp:effectExtent l="19050" t="19050" r="33655" b="36195"/>
                      <wp:wrapNone/>
                      <wp:docPr id="2980" name="Straight Connector 2980"/>
                      <wp:cNvGraphicFramePr/>
                      <a:graphic xmlns:a="http://schemas.openxmlformats.org/drawingml/2006/main">
                        <a:graphicData uri="http://schemas.microsoft.com/office/word/2010/wordprocessingShape">
                          <wps:wsp>
                            <wps:cNvCnPr/>
                            <wps:spPr>
                              <a:xfrm flipV="1">
                                <a:off x="0" y="0"/>
                                <a:ext cx="918845"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48B8" id="Straight Connector 2980" o:spid="_x0000_s1026" style="position:absolute;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6.85pt" to="131.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" strokecolor="white [3212]" strokeweight="3pt">
                      <v:stroke joinstyle="miter"/>
                    </v:line>
                  </w:pict>
                </mc:Fallback>
              </mc:AlternateContent>
            </w:r>
            <w:r w:rsidRPr="00DF3006">
              <w:rPr>
                <w:noProof/>
                <w:color w:val="414042" w:themeColor="text1"/>
                <w:sz w:val="24"/>
                <w:szCs w:val="24"/>
              </w:rPr>
              <mc:AlternateContent>
                <mc:Choice Requires="wpg">
                  <w:drawing>
                    <wp:inline distT="0" distB="0" distL="0" distR="0" wp14:anchorId="0F894B0B" wp14:editId="390AB929">
                      <wp:extent cx="432000" cy="432000"/>
                      <wp:effectExtent l="0" t="0" r="6350" b="6350"/>
                      <wp:docPr id="2981" name="Graphic 18"/>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2" name="Freeform: Shape 2982"/>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4" name="Freeform: Shape 2984"/>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5" name="Freeform: Shape 298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B66D4B" id="Graphic 18"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Bi6v4YEgYAAPgb&#10;AAAOAAAAAAAAAAAAAAAAAC4CAABkcnMvZTJvRG9jLnhtbFBLAQItABQABgAIAAAAIQDpnYgx2AAA&#10;AAMBAAAPAAAAAAAAAAAAAAAAAGwIAABkcnMvZG93bnJldi54bWxQSwUGAAAAAAQABADzAAAAcQkA&#10;AAAA&#10;">
                      <v:shape id="Freeform: Shape 2982"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4"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vAlign w:val="center"/>
          </w:tcPr>
          <w:p w14:paraId="1FAD3311" w14:textId="77777777" w:rsidR="00BB217E" w:rsidRPr="00DF3006" w:rsidRDefault="00BB217E" w:rsidP="006F6EFE">
            <w:pPr>
              <w:jc w:val="center"/>
              <w:rPr>
                <w:color w:val="414042" w:themeColor="text1"/>
                <w:sz w:val="24"/>
                <w:szCs w:val="24"/>
              </w:rPr>
            </w:pPr>
            <w:r w:rsidRPr="00DF3006">
              <w:rPr>
                <w:noProof/>
                <w:color w:val="414042" w:themeColor="text1"/>
                <w:sz w:val="24"/>
                <w:szCs w:val="24"/>
              </w:rPr>
              <mc:AlternateContent>
                <mc:Choice Requires="wpg">
                  <w:drawing>
                    <wp:inline distT="0" distB="0" distL="0" distR="0" wp14:anchorId="16BB945A" wp14:editId="41B0DC93">
                      <wp:extent cx="432000" cy="432000"/>
                      <wp:effectExtent l="0" t="0" r="6350" b="6350"/>
                      <wp:docPr id="2986" name="Graphic 22"/>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7" name="Freeform: Shape 29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8" name="Freeform: Shape 29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9" name="Freeform: Shape 29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649C39" id="Graphic 22"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H/G47EgYAAPgb&#10;AAAOAAAAAAAAAAAAAAAAAC4CAABkcnMvZTJvRG9jLnhtbFBLAQItABQABgAIAAAAIQDpnYgx2AAA&#10;AAMBAAAPAAAAAAAAAAAAAAAAAGwIAABkcnMvZG93bnJldi54bWxQSwUGAAAAAAQABADzAAAAcQkA&#10;AAAA&#10;">
                      <v:shape id="Freeform: Shape 29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DF3006" w:rsidRPr="00DF3006" w14:paraId="361E7CA5" w14:textId="77777777" w:rsidTr="00023827">
        <w:trPr>
          <w:trHeight w:val="1051"/>
          <w:jc w:val="center"/>
        </w:trPr>
        <w:tc>
          <w:tcPr>
            <w:tcW w:w="1023" w:type="pct"/>
            <w:shd w:val="clear" w:color="auto" w:fill="auto"/>
          </w:tcPr>
          <w:p w14:paraId="7D82A847" w14:textId="77777777" w:rsidR="00BB217E" w:rsidRPr="00DF3006" w:rsidRDefault="00BB217E" w:rsidP="006F6EFE">
            <w:pPr>
              <w:jc w:val="center"/>
              <w:rPr>
                <w:color w:val="414042" w:themeColor="text1"/>
                <w:szCs w:val="20"/>
              </w:rPr>
            </w:pPr>
            <w:r w:rsidRPr="00DF3006">
              <w:rPr>
                <w:color w:val="414042" w:themeColor="text1"/>
                <w:szCs w:val="20"/>
              </w:rPr>
              <w:t>Commissioner</w:t>
            </w:r>
          </w:p>
        </w:tc>
        <w:tc>
          <w:tcPr>
            <w:tcW w:w="1023" w:type="pct"/>
            <w:shd w:val="clear" w:color="auto" w:fill="auto"/>
          </w:tcPr>
          <w:p w14:paraId="187E9CA3" w14:textId="77777777" w:rsidR="00BB217E" w:rsidRPr="00DF3006" w:rsidRDefault="00BB217E" w:rsidP="006F6EFE">
            <w:pPr>
              <w:jc w:val="center"/>
              <w:rPr>
                <w:color w:val="414042" w:themeColor="text1"/>
                <w:sz w:val="24"/>
                <w:szCs w:val="24"/>
              </w:rPr>
            </w:pPr>
            <w:r w:rsidRPr="00DF3006">
              <w:rPr>
                <w:color w:val="414042" w:themeColor="text1"/>
                <w:szCs w:val="20"/>
              </w:rPr>
              <w:t>Commissioner</w:t>
            </w:r>
          </w:p>
        </w:tc>
        <w:tc>
          <w:tcPr>
            <w:tcW w:w="907" w:type="pct"/>
            <w:shd w:val="clear" w:color="auto" w:fill="auto"/>
          </w:tcPr>
          <w:p w14:paraId="4C4BE1F8" w14:textId="77777777" w:rsidR="00BB217E" w:rsidRPr="00DF3006" w:rsidRDefault="00BB217E" w:rsidP="006F6EFE">
            <w:pPr>
              <w:jc w:val="center"/>
              <w:rPr>
                <w:rFonts w:asciiTheme="minorHAnsi" w:hAnsiTheme="minorHAnsi"/>
                <w:b/>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5712" behindDoc="0" locked="0" layoutInCell="1" allowOverlap="1" wp14:anchorId="1C022277" wp14:editId="6B6E37DA">
                      <wp:simplePos x="0" y="0"/>
                      <wp:positionH relativeFrom="column">
                        <wp:posOffset>468630</wp:posOffset>
                      </wp:positionH>
                      <wp:positionV relativeFrom="paragraph">
                        <wp:posOffset>306070</wp:posOffset>
                      </wp:positionV>
                      <wp:extent cx="2984" cy="252000"/>
                      <wp:effectExtent l="19050" t="19050" r="35560" b="34290"/>
                      <wp:wrapNone/>
                      <wp:docPr id="2990" name="Straight Connector 2990"/>
                      <wp:cNvGraphicFramePr/>
                      <a:graphic xmlns:a="http://schemas.openxmlformats.org/drawingml/2006/main">
                        <a:graphicData uri="http://schemas.microsoft.com/office/word/2010/wordprocessingShape">
                          <wps:wsp>
                            <wps:cNvCnPr/>
                            <wps:spPr>
                              <a:xfrm>
                                <a:off x="0" y="0"/>
                                <a:ext cx="2984" cy="25200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B10A5" id="Straight Connector 2990"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4.1pt" to="37.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" strokecolor="white [3212]" strokeweight="3pt">
                      <v:stroke joinstyle="miter"/>
                    </v:line>
                  </w:pict>
                </mc:Fallback>
              </mc:AlternateContent>
            </w:r>
            <w:r w:rsidRPr="00DF3006">
              <w:rPr>
                <w:rFonts w:asciiTheme="minorHAnsi" w:hAnsiTheme="minorHAnsi"/>
                <w:b/>
                <w:color w:val="414042" w:themeColor="text1"/>
                <w:sz w:val="24"/>
                <w:szCs w:val="24"/>
              </w:rPr>
              <w:t>Chairperson</w:t>
            </w:r>
          </w:p>
        </w:tc>
        <w:tc>
          <w:tcPr>
            <w:tcW w:w="1024" w:type="pct"/>
            <w:shd w:val="clear" w:color="auto" w:fill="auto"/>
          </w:tcPr>
          <w:p w14:paraId="1628CF3F" w14:textId="3413B164" w:rsidR="00BB217E" w:rsidRPr="00DF3006" w:rsidRDefault="00BB217E" w:rsidP="006F6EFE">
            <w:pPr>
              <w:jc w:val="center"/>
              <w:rPr>
                <w:color w:val="414042" w:themeColor="text1"/>
                <w:szCs w:val="20"/>
              </w:rPr>
            </w:pPr>
            <w:r w:rsidRPr="00DF3006">
              <w:rPr>
                <w:color w:val="414042" w:themeColor="text1"/>
                <w:szCs w:val="20"/>
              </w:rPr>
              <w:t>Deputy Chairperson</w:t>
            </w:r>
          </w:p>
        </w:tc>
        <w:tc>
          <w:tcPr>
            <w:tcW w:w="1023" w:type="pct"/>
            <w:shd w:val="clear" w:color="auto" w:fill="auto"/>
          </w:tcPr>
          <w:p w14:paraId="36A369CC" w14:textId="77777777" w:rsidR="00BB217E" w:rsidRPr="00DF3006" w:rsidRDefault="00BB217E" w:rsidP="006F6EFE">
            <w:pPr>
              <w:jc w:val="center"/>
              <w:rPr>
                <w:color w:val="414042" w:themeColor="text1"/>
                <w:szCs w:val="20"/>
              </w:rPr>
            </w:pPr>
            <w:r w:rsidRPr="00DF3006">
              <w:rPr>
                <w:color w:val="414042" w:themeColor="text1"/>
                <w:szCs w:val="20"/>
              </w:rPr>
              <w:t>Commissioner</w:t>
            </w:r>
          </w:p>
        </w:tc>
      </w:tr>
      <w:tr w:rsidR="00DF3006" w:rsidRPr="00DF3006" w14:paraId="7E03C652" w14:textId="77777777" w:rsidTr="00023827">
        <w:trPr>
          <w:jc w:val="center"/>
        </w:trPr>
        <w:tc>
          <w:tcPr>
            <w:tcW w:w="1023" w:type="pct"/>
            <w:shd w:val="clear" w:color="auto" w:fill="auto"/>
            <w:vAlign w:val="center"/>
          </w:tcPr>
          <w:p w14:paraId="4AA08EFF" w14:textId="77777777" w:rsidR="00BB217E" w:rsidRPr="00DF3006" w:rsidRDefault="00BB217E" w:rsidP="006F6EFE">
            <w:pPr>
              <w:jc w:val="right"/>
              <w:rPr>
                <w:color w:val="414042" w:themeColor="text1"/>
                <w:szCs w:val="20"/>
              </w:rPr>
            </w:pPr>
            <w:r w:rsidRPr="00DF3006">
              <w:rPr>
                <w:color w:val="414042" w:themeColor="text1"/>
                <w:szCs w:val="20"/>
              </w:rPr>
              <w:t>Office of the</w:t>
            </w:r>
            <w:r w:rsidRPr="00DF3006">
              <w:rPr>
                <w:color w:val="414042" w:themeColor="text1"/>
                <w:szCs w:val="20"/>
              </w:rPr>
              <w:br/>
              <w:t>Commission</w:t>
            </w:r>
          </w:p>
        </w:tc>
        <w:tc>
          <w:tcPr>
            <w:tcW w:w="1023" w:type="pct"/>
            <w:shd w:val="clear" w:color="auto" w:fill="auto"/>
            <w:vAlign w:val="center"/>
          </w:tcPr>
          <w:p w14:paraId="0C9AAA4D" w14:textId="77777777" w:rsidR="00BB217E" w:rsidRPr="00DF3006" w:rsidRDefault="00BB217E" w:rsidP="006F6EFE">
            <w:pPr>
              <w:jc w:val="cente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1616" behindDoc="0" locked="0" layoutInCell="1" allowOverlap="1" wp14:anchorId="6CD7042E" wp14:editId="7E619DDA">
                      <wp:simplePos x="0" y="0"/>
                      <wp:positionH relativeFrom="column">
                        <wp:posOffset>713105</wp:posOffset>
                      </wp:positionH>
                      <wp:positionV relativeFrom="paragraph">
                        <wp:posOffset>170815</wp:posOffset>
                      </wp:positionV>
                      <wp:extent cx="850900" cy="1905"/>
                      <wp:effectExtent l="19050" t="19050" r="25400" b="36195"/>
                      <wp:wrapNone/>
                      <wp:docPr id="2991" name="Straight Connector 2991"/>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85997" id="Straight Connector 2991" o:spid="_x0000_s1026" style="position:absolute;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13.45pt" to="123.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" strokecolor="white [3212]" strokeweight="3pt">
                      <v:stroke joinstyle="miter"/>
                    </v:line>
                  </w:pict>
                </mc:Fallback>
              </mc:AlternateContent>
            </w:r>
            <w:r w:rsidRPr="00DF3006">
              <w:rPr>
                <w:noProof/>
                <w:color w:val="414042" w:themeColor="text1"/>
                <w:sz w:val="24"/>
                <w:szCs w:val="24"/>
              </w:rPr>
              <mc:AlternateContent>
                <mc:Choice Requires="wpg">
                  <w:drawing>
                    <wp:inline distT="0" distB="0" distL="0" distR="0" wp14:anchorId="13DF9C91" wp14:editId="67CB23EA">
                      <wp:extent cx="432000" cy="432000"/>
                      <wp:effectExtent l="0" t="0" r="6350" b="6350"/>
                      <wp:docPr id="2992" name="Graphic 24"/>
                      <wp:cNvGraphicFramePr/>
                      <a:graphic xmlns:a="http://schemas.openxmlformats.org/drawingml/2006/main">
                        <a:graphicData uri="http://schemas.microsoft.com/office/word/2010/wordprocessingGroup">
                          <wpg:wgp>
                            <wpg:cNvGrpSpPr/>
                            <wpg:grpSpPr>
                              <a:xfrm>
                                <a:off x="0" y="0"/>
                                <a:ext cx="432000" cy="432000"/>
                                <a:chOff x="0" y="0"/>
                                <a:chExt cx="360000" cy="360000"/>
                              </a:xfrm>
                              <a:solidFill>
                                <a:schemeClr val="bg1"/>
                              </a:solidFill>
                            </wpg:grpSpPr>
                            <wps:wsp>
                              <wps:cNvPr id="3000" name="Freeform: Shape 3000"/>
                              <wps:cNvSpPr/>
                              <wps:spPr>
                                <a:xfrm>
                                  <a:off x="0" y="0"/>
                                  <a:ext cx="360271" cy="360271"/>
                                </a:xfrm>
                                <a:custGeom>
                                  <a:avLst/>
                                  <a:gdLst>
                                    <a:gd name="connsiteX0" fmla="*/ 180136 w 360271"/>
                                    <a:gd name="connsiteY0" fmla="*/ 0 h 360271"/>
                                    <a:gd name="connsiteX1" fmla="*/ 360272 w 360271"/>
                                    <a:gd name="connsiteY1" fmla="*/ 180136 h 360271"/>
                                    <a:gd name="connsiteX2" fmla="*/ 180136 w 360271"/>
                                    <a:gd name="connsiteY2" fmla="*/ 360272 h 360271"/>
                                    <a:gd name="connsiteX3" fmla="*/ 0 w 360271"/>
                                    <a:gd name="connsiteY3" fmla="*/ 180136 h 360271"/>
                                    <a:gd name="connsiteX4" fmla="*/ 180136 w 360271"/>
                                    <a:gd name="connsiteY4" fmla="*/ 0 h 3602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271" h="360271">
                                      <a:moveTo>
                                        <a:pt x="180136" y="0"/>
                                      </a:moveTo>
                                      <a:cubicBezTo>
                                        <a:pt x="279442" y="0"/>
                                        <a:pt x="360272" y="80830"/>
                                        <a:pt x="360272" y="180136"/>
                                      </a:cubicBezTo>
                                      <a:cubicBezTo>
                                        <a:pt x="360272" y="279442"/>
                                        <a:pt x="279442" y="360272"/>
                                        <a:pt x="180136" y="360272"/>
                                      </a:cubicBezTo>
                                      <a:cubicBezTo>
                                        <a:pt x="80830" y="360272"/>
                                        <a:pt x="0" y="279442"/>
                                        <a:pt x="0" y="180136"/>
                                      </a:cubicBezTo>
                                      <a:cubicBezTo>
                                        <a:pt x="0" y="80830"/>
                                        <a:pt x="80830" y="0"/>
                                        <a:pt x="180136" y="0"/>
                                      </a:cubicBezTo>
                                    </a:path>
                                  </a:pathLst>
                                </a:custGeom>
                                <a:grpFill/>
                                <a:ln w="66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1" name="Freeform: Shape 3001"/>
                              <wps:cNvSpPr/>
                              <wps:spPr>
                                <a:xfrm>
                                  <a:off x="93532" y="33283"/>
                                  <a:ext cx="171713" cy="171033"/>
                                </a:xfrm>
                                <a:custGeom>
                                  <a:avLst/>
                                  <a:gdLst>
                                    <a:gd name="connsiteX0" fmla="*/ 171713 w 171713"/>
                                    <a:gd name="connsiteY0" fmla="*/ 85517 h 171033"/>
                                    <a:gd name="connsiteX1" fmla="*/ 85857 w 171713"/>
                                    <a:gd name="connsiteY1" fmla="*/ 171034 h 171033"/>
                                    <a:gd name="connsiteX2" fmla="*/ 0 w 171713"/>
                                    <a:gd name="connsiteY2" fmla="*/ 85517 h 171033"/>
                                    <a:gd name="connsiteX3" fmla="*/ 85857 w 171713"/>
                                    <a:gd name="connsiteY3" fmla="*/ 0 h 171033"/>
                                    <a:gd name="connsiteX4" fmla="*/ 171713 w 171713"/>
                                    <a:gd name="connsiteY4" fmla="*/ 85517 h 171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713" h="171033">
                                      <a:moveTo>
                                        <a:pt x="171713" y="85517"/>
                                      </a:moveTo>
                                      <a:cubicBezTo>
                                        <a:pt x="171713" y="132725"/>
                                        <a:pt x="133268" y="171034"/>
                                        <a:pt x="85857" y="171034"/>
                                      </a:cubicBezTo>
                                      <a:cubicBezTo>
                                        <a:pt x="38445" y="171034"/>
                                        <a:pt x="0" y="132725"/>
                                        <a:pt x="0" y="85517"/>
                                      </a:cubicBezTo>
                                      <a:cubicBezTo>
                                        <a:pt x="0" y="38309"/>
                                        <a:pt x="38445" y="0"/>
                                        <a:pt x="85857" y="0"/>
                                      </a:cubicBezTo>
                                      <a:cubicBezTo>
                                        <a:pt x="133268" y="0"/>
                                        <a:pt x="171713" y="38309"/>
                                        <a:pt x="171713" y="85517"/>
                                      </a:cubicBezTo>
                                      <a:close/>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2" name="Freeform: Shape 3002"/>
                              <wps:cNvSpPr/>
                              <wps:spPr>
                                <a:xfrm>
                                  <a:off x="48633" y="187335"/>
                                  <a:ext cx="261509" cy="118324"/>
                                </a:xfrm>
                                <a:custGeom>
                                  <a:avLst/>
                                  <a:gdLst>
                                    <a:gd name="connsiteX0" fmla="*/ 261509 w 261509"/>
                                    <a:gd name="connsiteY0" fmla="*/ 118325 h 118324"/>
                                    <a:gd name="connsiteX1" fmla="*/ 186181 w 261509"/>
                                    <a:gd name="connsiteY1" fmla="*/ 0 h 118324"/>
                                    <a:gd name="connsiteX2" fmla="*/ 130755 w 261509"/>
                                    <a:gd name="connsiteY2" fmla="*/ 16302 h 118324"/>
                                    <a:gd name="connsiteX3" fmla="*/ 75328 w 261509"/>
                                    <a:gd name="connsiteY3" fmla="*/ 0 h 118324"/>
                                    <a:gd name="connsiteX4" fmla="*/ 0 w 261509"/>
                                    <a:gd name="connsiteY4" fmla="*/ 118325 h 118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09" h="118324">
                                      <a:moveTo>
                                        <a:pt x="261509" y="118325"/>
                                      </a:moveTo>
                                      <a:cubicBezTo>
                                        <a:pt x="261509" y="65955"/>
                                        <a:pt x="230672" y="20853"/>
                                        <a:pt x="186181" y="0"/>
                                      </a:cubicBezTo>
                                      <a:cubicBezTo>
                                        <a:pt x="170151" y="10257"/>
                                        <a:pt x="151200" y="16302"/>
                                        <a:pt x="130755" y="16302"/>
                                      </a:cubicBezTo>
                                      <a:cubicBezTo>
                                        <a:pt x="110309" y="16302"/>
                                        <a:pt x="91358" y="10257"/>
                                        <a:pt x="75328" y="0"/>
                                      </a:cubicBezTo>
                                      <a:cubicBezTo>
                                        <a:pt x="30838" y="20853"/>
                                        <a:pt x="0" y="65955"/>
                                        <a:pt x="0" y="118325"/>
                                      </a:cubicBezTo>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22FFBE" id="Graphic 24" o:spid="_x0000_s1026" style="width:34pt;height:34pt;mso-position-horizontal-relative:char;mso-position-vertical-relative:lin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">
                      <v:shape id="Freeform: Shape 3000" o:spid="_x0000_s1027" style="position:absolute;width:360271;height:360271;visibility:visible;mso-wrap-style:square;v-text-anchor:middle" coordsize="360271,3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" path="m180136,v99306,,180136,80830,180136,180136c360272,279442,279442,360272,180136,360272,80830,360272,,279442,,180136,,80830,80830,,180136,e" filled="f" stroked="f" strokeweight=".18472mm">
                        <v:stroke joinstyle="miter"/>
                        <v:path arrowok="t" o:connecttype="custom" o:connectlocs="180136,0;360272,180136;180136,360272;0,180136;180136,0" o:connectangles="0,0,0,0,0"/>
                      </v:shape>
                      <v:shape id="Freeform: Shape 3001" o:spid="_x0000_s1028" style="position:absolute;left:93532;top:33283;width:171713;height:171033;visibility:visible;mso-wrap-style:square;v-text-anchor:middle" coordsize="171713,1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" path="m171713,85517v,47208,-38445,85517,-85856,85517c38445,171034,,132725,,85517,,38309,38445,,85857,v47411,,85856,38309,85856,85517xe" filled="f" strokecolor="#414042" strokeweight=".28372mm">
                        <v:stroke joinstyle="miter"/>
                        <v:path arrowok="t" o:connecttype="custom" o:connectlocs="171713,85517;85857,171034;0,85517;85857,0;171713,85517" o:connectangles="0,0,0,0,0"/>
                      </v:shape>
                      <v:shape id="Freeform: Shape 3002" o:spid="_x0000_s1029" style="position:absolute;left:48633;top:187335;width:261509;height:118324;visibility:visible;mso-wrap-style:square;v-text-anchor:middle" coordsize="261509,1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" path="m261509,118325c261509,65955,230672,20853,186181,,170151,10257,151200,16302,130755,16302,110309,16302,91358,10257,75328,,30838,20853,,65955,,118325e" filled="f" strokecolor="#414042" strokeweight=".28372mm">
                        <v:stroke joinstyle="miter"/>
                        <v:path arrowok="t" o:connecttype="custom" o:connectlocs="261509,118325;186181,0;130755,16302;75328,0;0,118325" o:connectangles="0,0,0,0,0"/>
                      </v:shape>
                      <w10:anchorlock/>
                    </v:group>
                  </w:pict>
                </mc:Fallback>
              </mc:AlternateContent>
            </w:r>
          </w:p>
        </w:tc>
        <w:tc>
          <w:tcPr>
            <w:tcW w:w="907" w:type="pct"/>
            <w:shd w:val="clear" w:color="auto" w:fill="auto"/>
          </w:tcPr>
          <w:p w14:paraId="24840166" w14:textId="77777777" w:rsidR="00BB217E" w:rsidRPr="00DF3006" w:rsidRDefault="00BB217E" w:rsidP="006F6EFE">
            <w:pPr>
              <w:jc w:val="cente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4688" behindDoc="0" locked="0" layoutInCell="1" allowOverlap="1" wp14:anchorId="2B85CF39" wp14:editId="01F1B78C">
                      <wp:simplePos x="0" y="0"/>
                      <wp:positionH relativeFrom="column">
                        <wp:posOffset>489916</wp:posOffset>
                      </wp:positionH>
                      <wp:positionV relativeFrom="paragraph">
                        <wp:posOffset>518160</wp:posOffset>
                      </wp:positionV>
                      <wp:extent cx="0" cy="487680"/>
                      <wp:effectExtent l="19050" t="0" r="19050" b="26670"/>
                      <wp:wrapNone/>
                      <wp:docPr id="3003" name="Straight Connector 3003"/>
                      <wp:cNvGraphicFramePr/>
                      <a:graphic xmlns:a="http://schemas.openxmlformats.org/drawingml/2006/main">
                        <a:graphicData uri="http://schemas.microsoft.com/office/word/2010/wordprocessingShape">
                          <wps:wsp>
                            <wps:cNvCnPr/>
                            <wps:spPr>
                              <a:xfrm>
                                <a:off x="0" y="0"/>
                                <a:ext cx="0" cy="48768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161D3" id="Straight Connector 3003"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0.8pt" to="38.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" strokecolor="white [3212]" strokeweight="3pt">
                      <v:stroke joinstyle="miter"/>
                    </v:line>
                  </w:pict>
                </mc:Fallback>
              </mc:AlternateContent>
            </w:r>
            <w:r w:rsidRPr="00DF3006">
              <w:rPr>
                <w:noProof/>
                <w:color w:val="414042" w:themeColor="text1"/>
                <w:sz w:val="24"/>
                <w:szCs w:val="24"/>
              </w:rPr>
              <mc:AlternateContent>
                <mc:Choice Requires="wpg">
                  <w:drawing>
                    <wp:inline distT="0" distB="0" distL="0" distR="0" wp14:anchorId="05374C52" wp14:editId="772DB2DA">
                      <wp:extent cx="432000" cy="432000"/>
                      <wp:effectExtent l="0" t="0" r="6350" b="6350"/>
                      <wp:docPr id="3004" name="Graphic 23"/>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05" name="Freeform: Shape 3005"/>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 name="Freeform: Shape 3006"/>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7" name="Freeform: Shape 3007"/>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64907B" id="Graphic 23"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">
                      <v:shape id="Freeform: Shape 3005"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06"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07"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2047" w:type="pct"/>
            <w:gridSpan w:val="2"/>
            <w:shd w:val="clear" w:color="auto" w:fill="auto"/>
            <w:vAlign w:val="center"/>
          </w:tcPr>
          <w:p w14:paraId="77366D15" w14:textId="77777777" w:rsidR="00BB217E" w:rsidRPr="00DF3006" w:rsidRDefault="00BB217E" w:rsidP="006F6EFE">
            <w:pPr>
              <w:rPr>
                <w:color w:val="414042" w:themeColor="text1"/>
                <w:sz w:val="24"/>
                <w:szCs w:val="24"/>
              </w:rPr>
            </w:pPr>
            <w:r w:rsidRPr="00DF3006">
              <w:rPr>
                <w:rFonts w:asciiTheme="minorHAnsi" w:hAnsiTheme="minorHAnsi"/>
                <w:b/>
                <w:color w:val="414042" w:themeColor="text1"/>
                <w:sz w:val="24"/>
                <w:szCs w:val="24"/>
              </w:rPr>
              <w:t>Chief Executive Officer</w:t>
            </w:r>
          </w:p>
        </w:tc>
      </w:tr>
      <w:tr w:rsidR="00DF3006" w:rsidRPr="00DF3006" w14:paraId="48B48875" w14:textId="77777777" w:rsidTr="00023827">
        <w:trPr>
          <w:trHeight w:val="710"/>
          <w:jc w:val="center"/>
        </w:trPr>
        <w:tc>
          <w:tcPr>
            <w:tcW w:w="1023" w:type="pct"/>
            <w:shd w:val="clear" w:color="auto" w:fill="auto"/>
          </w:tcPr>
          <w:p w14:paraId="71DC3631" w14:textId="77777777" w:rsidR="00BB217E" w:rsidRPr="00DF3006" w:rsidRDefault="00BB217E" w:rsidP="006F6EFE">
            <w:pP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9808" behindDoc="0" locked="0" layoutInCell="1" allowOverlap="1" wp14:anchorId="4808F9D5" wp14:editId="7C74BE3D">
                      <wp:simplePos x="0" y="0"/>
                      <wp:positionH relativeFrom="column">
                        <wp:posOffset>566420</wp:posOffset>
                      </wp:positionH>
                      <wp:positionV relativeFrom="paragraph">
                        <wp:posOffset>203200</wp:posOffset>
                      </wp:positionV>
                      <wp:extent cx="0" cy="219710"/>
                      <wp:effectExtent l="19050" t="0" r="19050" b="27940"/>
                      <wp:wrapNone/>
                      <wp:docPr id="291" name="Straight Connector 291"/>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CF9F7" id="Straight Connector 291"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16pt" to="4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" strokecolor="white [3212]" strokeweight="3pt">
                      <v:stroke joinstyle="miter"/>
                    </v:line>
                  </w:pict>
                </mc:Fallback>
              </mc:AlternateContent>
            </w:r>
            <w:r w:rsidRPr="00DF3006">
              <w:rPr>
                <w:noProof/>
                <w:color w:val="414042" w:themeColor="text1"/>
                <w:sz w:val="24"/>
                <w:szCs w:val="24"/>
                <w:lang w:eastAsia="en-AU"/>
              </w:rPr>
              <mc:AlternateContent>
                <mc:Choice Requires="wps">
                  <w:drawing>
                    <wp:anchor distT="0" distB="0" distL="114300" distR="114300" simplePos="0" relativeHeight="252273664" behindDoc="0" locked="0" layoutInCell="1" allowOverlap="1" wp14:anchorId="15A26614" wp14:editId="3F82E178">
                      <wp:simplePos x="0" y="0"/>
                      <wp:positionH relativeFrom="column">
                        <wp:posOffset>563421</wp:posOffset>
                      </wp:positionH>
                      <wp:positionV relativeFrom="paragraph">
                        <wp:posOffset>198510</wp:posOffset>
                      </wp:positionV>
                      <wp:extent cx="4863847" cy="14001"/>
                      <wp:effectExtent l="19050" t="19050" r="32385" b="24130"/>
                      <wp:wrapNone/>
                      <wp:docPr id="292" name="Straight Connector 292"/>
                      <wp:cNvGraphicFramePr/>
                      <a:graphic xmlns:a="http://schemas.openxmlformats.org/drawingml/2006/main">
                        <a:graphicData uri="http://schemas.microsoft.com/office/word/2010/wordprocessingShape">
                          <wps:wsp>
                            <wps:cNvCnPr/>
                            <wps:spPr>
                              <a:xfrm flipV="1">
                                <a:off x="0" y="0"/>
                                <a:ext cx="4863847" cy="14001"/>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24F3D" id="Straight Connector 292" o:spid="_x0000_s1026" style="position:absolute;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15.65pt" to="42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" strokecolor="white [3212]" strokeweight="3pt">
                      <v:stroke joinstyle="miter"/>
                    </v:line>
                  </w:pict>
                </mc:Fallback>
              </mc:AlternateContent>
            </w:r>
          </w:p>
        </w:tc>
        <w:tc>
          <w:tcPr>
            <w:tcW w:w="2954" w:type="pct"/>
            <w:gridSpan w:val="3"/>
            <w:shd w:val="clear" w:color="auto" w:fill="auto"/>
          </w:tcPr>
          <w:p w14:paraId="2817E020" w14:textId="77777777" w:rsidR="00BB217E" w:rsidRPr="00DF3006" w:rsidRDefault="00BB217E" w:rsidP="006F6EFE">
            <w:pPr>
              <w:jc w:val="center"/>
              <w:rPr>
                <w:b/>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7760" behindDoc="0" locked="0" layoutInCell="1" allowOverlap="1" wp14:anchorId="4243D1BC" wp14:editId="25B31B01">
                      <wp:simplePos x="0" y="0"/>
                      <wp:positionH relativeFrom="column">
                        <wp:posOffset>2900680</wp:posOffset>
                      </wp:positionH>
                      <wp:positionV relativeFrom="paragraph">
                        <wp:posOffset>215900</wp:posOffset>
                      </wp:positionV>
                      <wp:extent cx="0" cy="219710"/>
                      <wp:effectExtent l="19050" t="0" r="19050" b="27940"/>
                      <wp:wrapNone/>
                      <wp:docPr id="293" name="Straight Connector 293"/>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53340" id="Straight Connector 293"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7pt" to="228.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" strokecolor="white [3212]" strokeweight="3pt">
                      <v:stroke joinstyle="miter"/>
                    </v:line>
                  </w:pict>
                </mc:Fallback>
              </mc:AlternateContent>
            </w:r>
            <w:r w:rsidRPr="00DF3006">
              <w:rPr>
                <w:noProof/>
                <w:color w:val="414042" w:themeColor="text1"/>
                <w:sz w:val="24"/>
                <w:szCs w:val="24"/>
                <w:lang w:eastAsia="en-AU"/>
              </w:rPr>
              <mc:AlternateContent>
                <mc:Choice Requires="wps">
                  <w:drawing>
                    <wp:anchor distT="0" distB="0" distL="114300" distR="114300" simplePos="0" relativeHeight="252278784" behindDoc="0" locked="0" layoutInCell="1" allowOverlap="1" wp14:anchorId="18E1E673" wp14:editId="311B395F">
                      <wp:simplePos x="0" y="0"/>
                      <wp:positionH relativeFrom="column">
                        <wp:posOffset>565150</wp:posOffset>
                      </wp:positionH>
                      <wp:positionV relativeFrom="paragraph">
                        <wp:posOffset>216313</wp:posOffset>
                      </wp:positionV>
                      <wp:extent cx="0" cy="219710"/>
                      <wp:effectExtent l="19050" t="0" r="19050" b="27940"/>
                      <wp:wrapNone/>
                      <wp:docPr id="294" name="Straight Connector 294"/>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0D620" id="Straight Connector 294"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05pt" to="4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" strokecolor="white [3212]" strokeweight="3pt">
                      <v:stroke joinstyle="miter"/>
                    </v:line>
                  </w:pict>
                </mc:Fallback>
              </mc:AlternateContent>
            </w:r>
          </w:p>
        </w:tc>
        <w:tc>
          <w:tcPr>
            <w:tcW w:w="1023" w:type="pct"/>
            <w:shd w:val="clear" w:color="auto" w:fill="auto"/>
          </w:tcPr>
          <w:p w14:paraId="36FDFBE0" w14:textId="77777777" w:rsidR="00BB217E" w:rsidRPr="00DF3006" w:rsidRDefault="00BB217E" w:rsidP="006F6EFE">
            <w:pPr>
              <w:rPr>
                <w:color w:val="414042" w:themeColor="text1"/>
                <w:sz w:val="24"/>
                <w:szCs w:val="24"/>
              </w:rPr>
            </w:pPr>
            <w:r w:rsidRPr="00DF3006">
              <w:rPr>
                <w:noProof/>
                <w:color w:val="414042" w:themeColor="text1"/>
                <w:sz w:val="24"/>
                <w:szCs w:val="24"/>
                <w:lang w:eastAsia="en-AU"/>
              </w:rPr>
              <mc:AlternateContent>
                <mc:Choice Requires="wps">
                  <w:drawing>
                    <wp:anchor distT="0" distB="0" distL="114300" distR="114300" simplePos="0" relativeHeight="252276736" behindDoc="0" locked="0" layoutInCell="1" allowOverlap="1" wp14:anchorId="50205DD8" wp14:editId="631FBE1E">
                      <wp:simplePos x="0" y="0"/>
                      <wp:positionH relativeFrom="column">
                        <wp:posOffset>537845</wp:posOffset>
                      </wp:positionH>
                      <wp:positionV relativeFrom="paragraph">
                        <wp:posOffset>214630</wp:posOffset>
                      </wp:positionV>
                      <wp:extent cx="0" cy="220337"/>
                      <wp:effectExtent l="19050" t="0" r="19050" b="27940"/>
                      <wp:wrapNone/>
                      <wp:docPr id="295" name="Straight Connector 295"/>
                      <wp:cNvGraphicFramePr/>
                      <a:graphic xmlns:a="http://schemas.openxmlformats.org/drawingml/2006/main">
                        <a:graphicData uri="http://schemas.microsoft.com/office/word/2010/wordprocessingShape">
                          <wps:wsp>
                            <wps:cNvCnPr/>
                            <wps:spPr>
                              <a:xfrm>
                                <a:off x="0" y="0"/>
                                <a:ext cx="0" cy="22033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C4675" id="Straight Connector 295"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9pt" to="42.3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" strokecolor="white [3212]" strokeweight="3pt">
                      <v:stroke joinstyle="miter"/>
                    </v:line>
                  </w:pict>
                </mc:Fallback>
              </mc:AlternateContent>
            </w:r>
          </w:p>
        </w:tc>
      </w:tr>
      <w:tr w:rsidR="00DF3006" w:rsidRPr="00DF3006" w14:paraId="0325A2C1" w14:textId="77777777" w:rsidTr="00023827">
        <w:trPr>
          <w:trHeight w:val="768"/>
          <w:jc w:val="center"/>
        </w:trPr>
        <w:tc>
          <w:tcPr>
            <w:tcW w:w="1023" w:type="pct"/>
            <w:shd w:val="clear" w:color="auto" w:fill="auto"/>
          </w:tcPr>
          <w:p w14:paraId="50E3C04D" w14:textId="77777777" w:rsidR="00BB217E" w:rsidRPr="00DF3006" w:rsidRDefault="00BB217E" w:rsidP="006F6EFE">
            <w:pPr>
              <w:jc w:val="center"/>
              <w:rPr>
                <w:color w:val="414042" w:themeColor="text1"/>
                <w:sz w:val="24"/>
                <w:szCs w:val="24"/>
              </w:rPr>
            </w:pPr>
            <w:r w:rsidRPr="00DF3006">
              <w:rPr>
                <w:noProof/>
                <w:color w:val="414042" w:themeColor="text1"/>
                <w:sz w:val="24"/>
                <w:szCs w:val="24"/>
              </w:rPr>
              <mc:AlternateContent>
                <mc:Choice Requires="wpg">
                  <w:drawing>
                    <wp:inline distT="0" distB="0" distL="0" distR="0" wp14:anchorId="6565FD26" wp14:editId="4F0BEABD">
                      <wp:extent cx="432000" cy="432000"/>
                      <wp:effectExtent l="0" t="0" r="6350" b="6350"/>
                      <wp:docPr id="296" name="Graphic 28"/>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7" name="Freeform: Shape 29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ECDAA6" id="Graphic 28"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14W9+EgYAAPIb&#10;AAAOAAAAAAAAAAAAAAAAAC4CAABkcnMvZTJvRG9jLnhtbFBLAQItABQABgAIAAAAIQDpnYgx2AAA&#10;AAMBAAAPAAAAAAAAAAAAAAAAAGwIAABkcnMvZG93bnJldi54bWxQSwUGAAAAAAQABADzAAAAcQkA&#10;AAAA&#10;">
                      <v:shape id="Freeform: Shape 29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tcPr>
          <w:p w14:paraId="4C5534F8" w14:textId="77777777" w:rsidR="00BB217E" w:rsidRPr="00DF3006" w:rsidRDefault="00BB217E" w:rsidP="006F6EFE">
            <w:pPr>
              <w:jc w:val="center"/>
              <w:rPr>
                <w:noProof/>
                <w:color w:val="414042" w:themeColor="text1"/>
                <w:sz w:val="24"/>
                <w:szCs w:val="24"/>
                <w:lang w:eastAsia="en-AU"/>
              </w:rPr>
            </w:pPr>
            <w:r w:rsidRPr="00DF3006">
              <w:rPr>
                <w:noProof/>
                <w:color w:val="414042" w:themeColor="text1"/>
                <w:sz w:val="24"/>
                <w:szCs w:val="24"/>
              </w:rPr>
              <mc:AlternateContent>
                <mc:Choice Requires="wpg">
                  <w:drawing>
                    <wp:inline distT="0" distB="0" distL="0" distR="0" wp14:anchorId="60B66934" wp14:editId="5F7CBA82">
                      <wp:extent cx="432000" cy="432000"/>
                      <wp:effectExtent l="0" t="0" r="6350" b="6350"/>
                      <wp:docPr id="300" name="Graphic 29"/>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1" name="Freeform: Shape 301"/>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D07664" id="Graphic 29"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EjrHKhYG&#10;AADyGwAADgAAAAAAAAAAAAAAAAAuAgAAZHJzL2Uyb0RvYy54bWxQSwECLQAUAAYACAAAACEA6Z2I&#10;MdgAAAADAQAADwAAAAAAAAAAAAAAAABwCAAAZHJzL2Rvd25yZXYueG1sUEsFBgAAAAAEAAQA8wAA&#10;AHUJAAAAAA==&#10;">
                      <v:shape id="Freeform: Shape 301"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2"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shd w:val="clear" w:color="auto" w:fill="auto"/>
          </w:tcPr>
          <w:p w14:paraId="7BDDF69E" w14:textId="77777777" w:rsidR="00BB217E" w:rsidRPr="00DF3006" w:rsidRDefault="00BB217E" w:rsidP="006F6EFE">
            <w:pPr>
              <w:jc w:val="center"/>
              <w:rPr>
                <w:noProof/>
                <w:color w:val="414042" w:themeColor="text1"/>
                <w:sz w:val="24"/>
                <w:szCs w:val="24"/>
                <w:lang w:eastAsia="en-AU"/>
              </w:rPr>
            </w:pPr>
            <w:r w:rsidRPr="00DF3006">
              <w:rPr>
                <w:noProof/>
                <w:color w:val="414042" w:themeColor="text1"/>
                <w:sz w:val="24"/>
                <w:szCs w:val="24"/>
              </w:rPr>
              <mc:AlternateContent>
                <mc:Choice Requires="wpg">
                  <w:drawing>
                    <wp:inline distT="0" distB="0" distL="0" distR="0" wp14:anchorId="7439770B" wp14:editId="2F335626">
                      <wp:extent cx="432000" cy="432000"/>
                      <wp:effectExtent l="0" t="0" r="6350" b="6350"/>
                      <wp:docPr id="307" name="Graphic 31"/>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8" name="Freeform: Shape 30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B6D786" id="Graphic 31"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NVQkykRBgAA8hsA&#10;AA4AAAAAAAAAAAAAAAAALgIAAGRycy9lMm9Eb2MueG1sUEsBAi0AFAAGAAgAAAAhAOmdiDHYAAAA&#10;AwEAAA8AAAAAAAAAAAAAAAAAawgAAGRycy9kb3ducmV2LnhtbFBLBQYAAAAABAAEAPMAAABwCQAA&#10;AAA=&#10;">
                      <v:shape id="Freeform: Shape 30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9"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4" w:type="pct"/>
            <w:shd w:val="clear" w:color="auto" w:fill="auto"/>
          </w:tcPr>
          <w:p w14:paraId="0D4AF427" w14:textId="77777777" w:rsidR="00BB217E" w:rsidRPr="00DF3006" w:rsidRDefault="00BB217E" w:rsidP="006F6EFE">
            <w:pPr>
              <w:jc w:val="center"/>
              <w:rPr>
                <w:color w:val="414042" w:themeColor="text1"/>
                <w:sz w:val="24"/>
                <w:szCs w:val="24"/>
              </w:rPr>
            </w:pPr>
            <w:r w:rsidRPr="00DF3006">
              <w:rPr>
                <w:noProof/>
                <w:color w:val="414042" w:themeColor="text1"/>
                <w:sz w:val="24"/>
                <w:szCs w:val="24"/>
              </w:rPr>
              <mc:AlternateContent>
                <mc:Choice Requires="wpg">
                  <w:drawing>
                    <wp:inline distT="0" distB="0" distL="0" distR="0" wp14:anchorId="0F63BCFA" wp14:editId="17392283">
                      <wp:extent cx="432000" cy="432000"/>
                      <wp:effectExtent l="0" t="0" r="6350" b="6350"/>
                      <wp:docPr id="315" name="Graphic 40"/>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16" name="Freeform: Shape 316"/>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77F685" id="Graphic 40"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">
                      <v:shape id="Freeform: Shape 316"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17"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8"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tcPr>
          <w:p w14:paraId="0F852D40" w14:textId="77777777" w:rsidR="00BB217E" w:rsidRPr="00DF3006" w:rsidRDefault="00BB217E" w:rsidP="006F6EFE">
            <w:pPr>
              <w:jc w:val="center"/>
              <w:rPr>
                <w:color w:val="414042" w:themeColor="text1"/>
                <w:sz w:val="24"/>
                <w:szCs w:val="24"/>
              </w:rPr>
            </w:pPr>
            <w:r w:rsidRPr="00DF3006">
              <w:rPr>
                <w:noProof/>
                <w:color w:val="414042" w:themeColor="text1"/>
                <w:sz w:val="24"/>
                <w:szCs w:val="24"/>
              </w:rPr>
              <mc:AlternateContent>
                <mc:Choice Requires="wpg">
                  <w:drawing>
                    <wp:inline distT="0" distB="0" distL="0" distR="0" wp14:anchorId="67D9481A" wp14:editId="05EDCADE">
                      <wp:extent cx="432000" cy="432000"/>
                      <wp:effectExtent l="0" t="0" r="6350" b="6350"/>
                      <wp:docPr id="319" name="Graphic 41"/>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480" name="Freeform: Shape 480"/>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4050A3" id="Graphic 41"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KXIkZARBgAA8hsA&#10;AA4AAAAAAAAAAAAAAAAALgIAAGRycy9lMm9Eb2MueG1sUEsBAi0AFAAGAAgAAAAhAOmdiDHYAAAA&#10;AwEAAA8AAAAAAAAAAAAAAAAAawgAAGRycy9kb3ducmV2LnhtbFBLBQYAAAAABAAEAPMAAABwCQAA&#10;AAA=&#10;">
                      <v:shape id="Freeform: Shape 480"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481"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482"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DF3006" w:rsidRPr="00DF3006" w14:paraId="05332DA1" w14:textId="77777777" w:rsidTr="00023827">
        <w:trPr>
          <w:trHeight w:val="682"/>
          <w:jc w:val="center"/>
        </w:trPr>
        <w:tc>
          <w:tcPr>
            <w:tcW w:w="1023" w:type="pct"/>
            <w:shd w:val="clear" w:color="auto" w:fill="auto"/>
          </w:tcPr>
          <w:p w14:paraId="55E189EC" w14:textId="77777777" w:rsidR="00BB217E" w:rsidRPr="00DF3006" w:rsidRDefault="00BB217E" w:rsidP="00BB217E">
            <w:pPr>
              <w:spacing w:after="0"/>
              <w:jc w:val="center"/>
              <w:rPr>
                <w:noProof/>
                <w:color w:val="414042" w:themeColor="text1"/>
                <w:szCs w:val="20"/>
                <w:lang w:eastAsia="en-AU"/>
              </w:rPr>
            </w:pPr>
            <w:r w:rsidRPr="00DF3006">
              <w:rPr>
                <w:color w:val="414042" w:themeColor="text1"/>
                <w:szCs w:val="20"/>
              </w:rPr>
              <w:t>Operations Support</w:t>
            </w:r>
          </w:p>
        </w:tc>
        <w:tc>
          <w:tcPr>
            <w:tcW w:w="1023" w:type="pct"/>
            <w:shd w:val="clear" w:color="auto" w:fill="auto"/>
          </w:tcPr>
          <w:p w14:paraId="48750B56" w14:textId="77777777" w:rsidR="00BB217E" w:rsidRPr="00DF3006" w:rsidRDefault="00BB217E" w:rsidP="00BB217E">
            <w:pPr>
              <w:spacing w:before="120" w:after="0"/>
              <w:jc w:val="center"/>
              <w:rPr>
                <w:noProof/>
                <w:color w:val="414042" w:themeColor="text1"/>
                <w:szCs w:val="20"/>
                <w:lang w:eastAsia="en-AU"/>
              </w:rPr>
            </w:pPr>
            <w:r w:rsidRPr="00DF3006">
              <w:rPr>
                <w:color w:val="414042" w:themeColor="text1"/>
                <w:szCs w:val="20"/>
              </w:rPr>
              <w:t>Crime</w:t>
            </w:r>
          </w:p>
        </w:tc>
        <w:tc>
          <w:tcPr>
            <w:tcW w:w="907" w:type="pct"/>
            <w:shd w:val="clear" w:color="auto" w:fill="auto"/>
          </w:tcPr>
          <w:p w14:paraId="4D40C299" w14:textId="77777777" w:rsidR="00BB217E" w:rsidRPr="00DF3006" w:rsidRDefault="00BB217E" w:rsidP="00BB217E">
            <w:pPr>
              <w:spacing w:before="120" w:after="0"/>
              <w:jc w:val="center"/>
              <w:rPr>
                <w:noProof/>
                <w:color w:val="414042" w:themeColor="text1"/>
                <w:szCs w:val="20"/>
                <w:lang w:eastAsia="en-AU"/>
              </w:rPr>
            </w:pPr>
            <w:r w:rsidRPr="00DF3006">
              <w:rPr>
                <w:color w:val="414042" w:themeColor="text1"/>
                <w:szCs w:val="20"/>
              </w:rPr>
              <w:t>Corruption</w:t>
            </w:r>
          </w:p>
        </w:tc>
        <w:tc>
          <w:tcPr>
            <w:tcW w:w="1024" w:type="pct"/>
            <w:shd w:val="clear" w:color="auto" w:fill="auto"/>
          </w:tcPr>
          <w:p w14:paraId="36B4ADC7" w14:textId="69B06191" w:rsidR="00C97552" w:rsidRPr="00DF3006" w:rsidRDefault="00C97552" w:rsidP="00C97552">
            <w:pPr>
              <w:spacing w:after="0"/>
              <w:jc w:val="center"/>
              <w:rPr>
                <w:color w:val="414042" w:themeColor="text1"/>
                <w:szCs w:val="20"/>
              </w:rPr>
            </w:pPr>
            <w:r w:rsidRPr="00DF3006">
              <w:rPr>
                <w:color w:val="414042" w:themeColor="text1"/>
                <w:szCs w:val="20"/>
              </w:rPr>
              <w:t xml:space="preserve">Corporate </w:t>
            </w:r>
            <w:proofErr w:type="gramStart"/>
            <w:r w:rsidRPr="00DF3006">
              <w:rPr>
                <w:color w:val="414042" w:themeColor="text1"/>
                <w:szCs w:val="20"/>
              </w:rPr>
              <w:t>Services;</w:t>
            </w:r>
            <w:proofErr w:type="gramEnd"/>
          </w:p>
          <w:p w14:paraId="4C7B6A28" w14:textId="77777777" w:rsidR="00C97552" w:rsidRPr="00DF3006" w:rsidRDefault="00C97552" w:rsidP="00C97552">
            <w:pPr>
              <w:spacing w:after="0"/>
              <w:jc w:val="center"/>
              <w:rPr>
                <w:noProof/>
                <w:color w:val="414042" w:themeColor="text1"/>
                <w:szCs w:val="20"/>
                <w:lang w:eastAsia="en-AU"/>
              </w:rPr>
            </w:pPr>
            <w:r w:rsidRPr="00DF3006">
              <w:rPr>
                <w:noProof/>
                <w:color w:val="414042" w:themeColor="text1"/>
                <w:szCs w:val="20"/>
                <w:lang w:eastAsia="en-AU"/>
              </w:rPr>
              <w:t>Legal, Risk and Compliance;</w:t>
            </w:r>
          </w:p>
          <w:p w14:paraId="03A38006" w14:textId="35A46995" w:rsidR="00BB217E" w:rsidRPr="00DF3006" w:rsidRDefault="00C97552" w:rsidP="00C97552">
            <w:pPr>
              <w:jc w:val="center"/>
              <w:rPr>
                <w:noProof/>
                <w:color w:val="414042" w:themeColor="text1"/>
                <w:szCs w:val="20"/>
                <w:lang w:eastAsia="en-AU"/>
              </w:rPr>
            </w:pPr>
            <w:r w:rsidRPr="00DF3006">
              <w:rPr>
                <w:noProof/>
                <w:color w:val="414042" w:themeColor="text1"/>
                <w:szCs w:val="20"/>
                <w:lang w:eastAsia="en-AU"/>
              </w:rPr>
              <w:t>Information Services</w:t>
            </w:r>
          </w:p>
        </w:tc>
        <w:tc>
          <w:tcPr>
            <w:tcW w:w="1023" w:type="pct"/>
            <w:shd w:val="clear" w:color="auto" w:fill="auto"/>
          </w:tcPr>
          <w:p w14:paraId="32731D2E" w14:textId="4A6FBCBD" w:rsidR="00BB217E" w:rsidRPr="00DF3006" w:rsidRDefault="00BB217E" w:rsidP="00BB217E">
            <w:pPr>
              <w:spacing w:after="0"/>
              <w:ind w:left="-95" w:right="-110"/>
              <w:jc w:val="center"/>
              <w:rPr>
                <w:noProof/>
                <w:color w:val="414042" w:themeColor="text1"/>
                <w:szCs w:val="20"/>
                <w:lang w:eastAsia="en-AU"/>
              </w:rPr>
            </w:pPr>
            <w:r w:rsidRPr="00DF3006">
              <w:rPr>
                <w:color w:val="414042" w:themeColor="text1"/>
                <w:szCs w:val="20"/>
              </w:rPr>
              <w:t>Strategy and Renewal</w:t>
            </w:r>
          </w:p>
        </w:tc>
      </w:tr>
    </w:tbl>
    <w:bookmarkEnd w:id="243"/>
    <w:p w14:paraId="57218F1D" w14:textId="229F1FAF" w:rsidR="00F7597E" w:rsidRPr="00DF3006" w:rsidRDefault="00BE2648" w:rsidP="00F7597E">
      <w:pPr>
        <w:rPr>
          <w:color w:val="414042" w:themeColor="text1"/>
        </w:rPr>
      </w:pPr>
      <w:r w:rsidRPr="00DF3006">
        <w:rPr>
          <w:rFonts w:asciiTheme="minorHAnsi" w:hAnsiTheme="minorHAnsi" w:cstheme="minorHAnsi"/>
          <w:b/>
          <w:bCs/>
          <w:iCs/>
          <w:color w:val="414042" w:themeColor="text1"/>
          <w:szCs w:val="20"/>
        </w:rPr>
        <w:br/>
      </w:r>
      <w:r w:rsidR="00F7597E" w:rsidRPr="00DF3006">
        <w:rPr>
          <w:rFonts w:asciiTheme="minorHAnsi" w:hAnsiTheme="minorHAnsi" w:cstheme="minorHAnsi"/>
          <w:b/>
          <w:bCs/>
          <w:iCs/>
          <w:color w:val="414042" w:themeColor="text1"/>
          <w:szCs w:val="20"/>
        </w:rPr>
        <w:t>Operations Support</w:t>
      </w:r>
      <w:r w:rsidR="00F7597E" w:rsidRPr="00DF3006">
        <w:rPr>
          <w:b/>
          <w:bCs/>
          <w:iCs/>
          <w:color w:val="414042" w:themeColor="text1"/>
          <w:szCs w:val="20"/>
        </w:rPr>
        <w:t xml:space="preserve"> </w:t>
      </w:r>
      <w:r w:rsidR="00F7597E" w:rsidRPr="00DF3006">
        <w:rPr>
          <w:color w:val="414042" w:themeColor="text1"/>
        </w:rPr>
        <w:t>division delivers both overt and covert capabilities to support our investigative strategies including witness protection, technical surveillance, physical surveillance, evidence management and forensic computing services.</w:t>
      </w:r>
    </w:p>
    <w:p w14:paraId="3D7C3748" w14:textId="77777777" w:rsidR="00F7597E" w:rsidRPr="00DF3006" w:rsidRDefault="00F7597E" w:rsidP="00F7597E">
      <w:pPr>
        <w:rPr>
          <w:color w:val="414042" w:themeColor="text1"/>
        </w:rPr>
      </w:pPr>
      <w:r w:rsidRPr="00DF3006">
        <w:rPr>
          <w:rFonts w:asciiTheme="minorHAnsi" w:hAnsiTheme="minorHAnsi"/>
          <w:b/>
          <w:color w:val="414042" w:themeColor="text1"/>
        </w:rPr>
        <w:t>Crime</w:t>
      </w:r>
      <w:r w:rsidRPr="00DF3006">
        <w:rPr>
          <w:b/>
          <w:color w:val="414042" w:themeColor="text1"/>
        </w:rPr>
        <w:t xml:space="preserve"> </w:t>
      </w:r>
      <w:r w:rsidRPr="00DF3006">
        <w:rPr>
          <w:color w:val="414042" w:themeColor="text1"/>
        </w:rPr>
        <w:t>division investigates serious and organised crimes, undertakes intelligence operations into the suspected criminal activities of criminal organisations and their participants, and takes action to confiscate the suspected proceeds of serious crimes.</w:t>
      </w:r>
    </w:p>
    <w:p w14:paraId="6161A6A3" w14:textId="77777777" w:rsidR="00F7597E" w:rsidRPr="00DF3006" w:rsidRDefault="00F7597E" w:rsidP="00F7597E">
      <w:pPr>
        <w:rPr>
          <w:color w:val="414042" w:themeColor="text1"/>
        </w:rPr>
      </w:pPr>
      <w:r w:rsidRPr="00DF3006">
        <w:rPr>
          <w:rFonts w:asciiTheme="minorHAnsi" w:hAnsiTheme="minorHAnsi" w:cstheme="minorHAnsi"/>
          <w:b/>
          <w:bCs/>
          <w:iCs/>
          <w:color w:val="414042" w:themeColor="text1"/>
          <w:szCs w:val="20"/>
        </w:rPr>
        <w:t>Corruption</w:t>
      </w:r>
      <w:r w:rsidRPr="00DF3006">
        <w:rPr>
          <w:b/>
          <w:bCs/>
          <w:iCs/>
          <w:color w:val="414042" w:themeColor="text1"/>
          <w:szCs w:val="20"/>
        </w:rPr>
        <w:t xml:space="preserve"> </w:t>
      </w:r>
      <w:r w:rsidRPr="00DF3006">
        <w:rPr>
          <w:color w:val="414042" w:themeColor="text1"/>
        </w:rPr>
        <w:t>division investigates complaints of serious and systemic corruption and undertakes a range of prevention activities to ensure complaints about corruption are dealt with appropriately and raise the standard of conduct in the Queensland public sector.</w:t>
      </w:r>
    </w:p>
    <w:p w14:paraId="7A42A11D" w14:textId="1B553C34" w:rsidR="00F7597E" w:rsidRPr="00DF3006" w:rsidRDefault="00F7597E" w:rsidP="00F7597E">
      <w:pPr>
        <w:rPr>
          <w:color w:val="414042" w:themeColor="text1"/>
        </w:rPr>
      </w:pPr>
      <w:r w:rsidRPr="00DF3006">
        <w:rPr>
          <w:rFonts w:asciiTheme="minorHAnsi" w:hAnsiTheme="minorHAnsi" w:cstheme="minorHAnsi"/>
          <w:b/>
          <w:bCs/>
          <w:iCs/>
          <w:color w:val="414042" w:themeColor="text1"/>
          <w:szCs w:val="20"/>
        </w:rPr>
        <w:t xml:space="preserve">Corporate Services; Legal, Risk and Compliance; </w:t>
      </w:r>
      <w:r w:rsidRPr="00DF3006">
        <w:rPr>
          <w:rFonts w:asciiTheme="minorHAnsi" w:hAnsiTheme="minorHAnsi" w:cstheme="minorHAnsi"/>
          <w:iCs/>
          <w:color w:val="414042" w:themeColor="text1"/>
          <w:szCs w:val="20"/>
        </w:rPr>
        <w:t>and</w:t>
      </w:r>
      <w:r w:rsidRPr="00DF3006">
        <w:rPr>
          <w:rFonts w:asciiTheme="minorHAnsi" w:hAnsiTheme="minorHAnsi" w:cstheme="minorHAnsi"/>
          <w:b/>
          <w:bCs/>
          <w:iCs/>
          <w:color w:val="414042" w:themeColor="text1"/>
          <w:szCs w:val="20"/>
        </w:rPr>
        <w:t xml:space="preserve"> Information Services</w:t>
      </w:r>
      <w:r w:rsidRPr="00DF3006">
        <w:rPr>
          <w:iCs/>
          <w:color w:val="414042" w:themeColor="text1"/>
          <w:szCs w:val="20"/>
        </w:rPr>
        <w:t xml:space="preserve"> </w:t>
      </w:r>
      <w:r w:rsidRPr="00DF3006">
        <w:rPr>
          <w:color w:val="414042" w:themeColor="text1"/>
        </w:rPr>
        <w:t xml:space="preserve">divisions support our operational functions through providing high quality services, including legal services, research, performance reporting, governance, financial management, human resource management, corporate communications, business systems support, security, information and communication technologies, </w:t>
      </w:r>
      <w:proofErr w:type="gramStart"/>
      <w:r w:rsidRPr="00DF3006">
        <w:rPr>
          <w:color w:val="414042" w:themeColor="text1"/>
        </w:rPr>
        <w:t>facilities</w:t>
      </w:r>
      <w:proofErr w:type="gramEnd"/>
      <w:r w:rsidRPr="00DF3006">
        <w:rPr>
          <w:color w:val="414042" w:themeColor="text1"/>
        </w:rPr>
        <w:t xml:space="preserve"> and procurement services.</w:t>
      </w:r>
    </w:p>
    <w:p w14:paraId="692BD6EF" w14:textId="77777777" w:rsidR="00F7597E" w:rsidRPr="00DF3006" w:rsidRDefault="00F7597E" w:rsidP="00F7597E">
      <w:pPr>
        <w:rPr>
          <w:color w:val="414042" w:themeColor="text1"/>
        </w:rPr>
      </w:pPr>
      <w:r w:rsidRPr="00DF3006">
        <w:rPr>
          <w:rFonts w:asciiTheme="minorHAnsi" w:hAnsiTheme="minorHAnsi" w:cstheme="minorHAnsi"/>
          <w:b/>
          <w:bCs/>
          <w:iCs/>
          <w:color w:val="414042" w:themeColor="text1"/>
          <w:szCs w:val="20"/>
        </w:rPr>
        <w:t xml:space="preserve">Strategy and Renewal </w:t>
      </w:r>
      <w:r w:rsidRPr="00DF3006">
        <w:rPr>
          <w:color w:val="414042" w:themeColor="text1"/>
        </w:rPr>
        <w:t>division undertakes data analysis, coordinates the development and implementation of our strategies, and drives innovation by turning insights into action, building critical capabilities, and implementing transformational change.</w:t>
      </w:r>
    </w:p>
    <w:p w14:paraId="51E18356" w14:textId="77777777" w:rsidR="00F7597E" w:rsidRPr="00DF3006" w:rsidRDefault="00F7597E" w:rsidP="00F7597E">
      <w:pPr>
        <w:rPr>
          <w:rFonts w:asciiTheme="minorHAnsi" w:hAnsiTheme="minorHAnsi" w:cstheme="minorHAnsi"/>
          <w:b/>
          <w:bCs/>
          <w:iCs/>
          <w:color w:val="414042" w:themeColor="text1"/>
          <w:szCs w:val="20"/>
        </w:rPr>
        <w:sectPr w:rsidR="00F7597E" w:rsidRPr="00DF3006" w:rsidSect="00C77834">
          <w:headerReference w:type="even" r:id="rId68"/>
          <w:headerReference w:type="default" r:id="rId69"/>
          <w:headerReference w:type="first" r:id="rId70"/>
          <w:pgSz w:w="11906" w:h="16838" w:code="9"/>
          <w:pgMar w:top="2155" w:right="1134" w:bottom="964" w:left="1134" w:header="720" w:footer="284" w:gutter="0"/>
          <w:cols w:space="567"/>
          <w:noEndnote/>
          <w:docGrid w:linePitch="272"/>
        </w:sectPr>
      </w:pPr>
      <w:r w:rsidRPr="00DF3006">
        <w:rPr>
          <w:color w:val="414042" w:themeColor="text1"/>
        </w:rPr>
        <w:t>The</w:t>
      </w:r>
      <w:r w:rsidRPr="00DF3006">
        <w:rPr>
          <w:rFonts w:asciiTheme="minorHAnsi" w:hAnsiTheme="minorHAnsi" w:cstheme="minorHAnsi"/>
          <w:iCs/>
          <w:color w:val="414042" w:themeColor="text1"/>
          <w:szCs w:val="20"/>
        </w:rPr>
        <w:t xml:space="preserve"> </w:t>
      </w:r>
      <w:r w:rsidRPr="00DF3006">
        <w:rPr>
          <w:rFonts w:asciiTheme="minorHAnsi" w:hAnsiTheme="minorHAnsi" w:cstheme="minorHAnsi"/>
          <w:b/>
          <w:bCs/>
          <w:iCs/>
          <w:color w:val="414042" w:themeColor="text1"/>
          <w:szCs w:val="20"/>
        </w:rPr>
        <w:t xml:space="preserve">Office of the Commission </w:t>
      </w:r>
      <w:r w:rsidRPr="00DF3006">
        <w:rPr>
          <w:color w:val="414042" w:themeColor="text1"/>
        </w:rPr>
        <w:t>supports the work of the Commission, Chairperson and CEO. The Internal Audit function also resides within the Office of the Commission.</w:t>
      </w:r>
    </w:p>
    <w:p w14:paraId="6B5E11EA" w14:textId="72C2F581" w:rsidR="002732BE" w:rsidRPr="00DF3006" w:rsidRDefault="00D041B1" w:rsidP="0038503E">
      <w:pPr>
        <w:ind w:right="-1"/>
        <w:rPr>
          <w:iCs/>
          <w:color w:val="414042" w:themeColor="text1"/>
          <w:sz w:val="22"/>
        </w:rPr>
        <w:sectPr w:rsidR="002732BE" w:rsidRPr="00DF3006" w:rsidSect="00C77834">
          <w:headerReference w:type="even" r:id="rId71"/>
          <w:headerReference w:type="default" r:id="rId72"/>
          <w:headerReference w:type="first" r:id="rId73"/>
          <w:type w:val="continuous"/>
          <w:pgSz w:w="11906" w:h="16838" w:code="9"/>
          <w:pgMar w:top="2155" w:right="1134" w:bottom="964" w:left="1134" w:header="720" w:footer="284" w:gutter="0"/>
          <w:cols w:space="567"/>
          <w:noEndnote/>
          <w:docGrid w:linePitch="272"/>
        </w:sectPr>
      </w:pPr>
      <w:r w:rsidRPr="00DF3006">
        <w:rPr>
          <w:i/>
          <w:color w:val="414042" w:themeColor="text1"/>
          <w:szCs w:val="20"/>
        </w:rPr>
        <w:t>A</w:t>
      </w:r>
      <w:r w:rsidR="002732BE" w:rsidRPr="00DF3006">
        <w:rPr>
          <w:i/>
          <w:color w:val="414042" w:themeColor="text1"/>
          <w:szCs w:val="20"/>
        </w:rPr>
        <w:t xml:space="preserve"> breakdown of our employees by division is provided on page </w:t>
      </w:r>
      <w:r w:rsidR="00744795" w:rsidRPr="00DF3006">
        <w:rPr>
          <w:i/>
          <w:color w:val="414042" w:themeColor="text1"/>
          <w:szCs w:val="20"/>
        </w:rPr>
        <w:t>62</w:t>
      </w:r>
      <w:r w:rsidR="00361D4E" w:rsidRPr="00DF3006">
        <w:rPr>
          <w:i/>
          <w:color w:val="414042" w:themeColor="text1"/>
          <w:sz w:val="16"/>
          <w:szCs w:val="16"/>
        </w:rPr>
        <w:t>.</w:t>
      </w:r>
    </w:p>
    <w:p w14:paraId="732A1714" w14:textId="57FA1192" w:rsidR="002732BE" w:rsidRPr="00DF3006" w:rsidRDefault="002732BE" w:rsidP="002732BE">
      <w:pPr>
        <w:rPr>
          <w:color w:val="414042" w:themeColor="text1"/>
        </w:rPr>
        <w:sectPr w:rsidR="002732BE" w:rsidRPr="00DF3006" w:rsidSect="00C77834">
          <w:type w:val="continuous"/>
          <w:pgSz w:w="11906" w:h="16838" w:code="9"/>
          <w:pgMar w:top="2155" w:right="1134" w:bottom="964" w:left="1134" w:header="720" w:footer="284" w:gutter="0"/>
          <w:cols w:space="567"/>
          <w:noEndnote/>
          <w:docGrid w:linePitch="272"/>
        </w:sectPr>
      </w:pPr>
    </w:p>
    <w:p w14:paraId="2D3459E4" w14:textId="5D1815EA" w:rsidR="00A4412D" w:rsidRPr="00DF3006" w:rsidRDefault="00A4412D" w:rsidP="008E5ECB">
      <w:pPr>
        <w:pStyle w:val="Heading2"/>
      </w:pPr>
      <w:bookmarkStart w:id="244" w:name="_Toc102037824"/>
      <w:bookmarkStart w:id="245" w:name="_Toc102038186"/>
      <w:bookmarkStart w:id="246" w:name="_Toc102038547"/>
      <w:bookmarkStart w:id="247" w:name="_Toc102038907"/>
      <w:bookmarkStart w:id="248" w:name="_Toc102039259"/>
      <w:bookmarkStart w:id="249" w:name="_Toc102039614"/>
      <w:bookmarkStart w:id="250" w:name="_Toc102039971"/>
      <w:bookmarkStart w:id="251" w:name="_Toc102040296"/>
      <w:bookmarkStart w:id="252" w:name="_Toc102040630"/>
      <w:bookmarkStart w:id="253" w:name="_Toc102040958"/>
      <w:bookmarkStart w:id="254" w:name="_Toc102041288"/>
      <w:bookmarkStart w:id="255" w:name="_Toc102041620"/>
      <w:bookmarkStart w:id="256" w:name="_Toc102041947"/>
      <w:bookmarkStart w:id="257" w:name="_Toc102042276"/>
      <w:bookmarkStart w:id="258" w:name="_Toc102045406"/>
      <w:bookmarkStart w:id="259" w:name="stakeholders"/>
      <w:r w:rsidRPr="00DF3006">
        <w:lastRenderedPageBreak/>
        <w:t>Our stakeholders and partners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bookmarkEnd w:id="259"/>
    <w:p w14:paraId="2B581B7E" w14:textId="26FF244E" w:rsidR="001E422F" w:rsidRPr="00DF3006" w:rsidRDefault="001630D1" w:rsidP="00BB081B">
      <w:pPr>
        <w:pStyle w:val="Openingparagraph"/>
        <w:rPr>
          <w:bCs w:val="0"/>
          <w:u w:color="E6E7E8" w:themeColor="background2"/>
        </w:rPr>
      </w:pPr>
      <w:r w:rsidRPr="00DF3006">
        <w:rPr>
          <w:u w:color="E6E7E8" w:themeColor="background2"/>
        </w:rPr>
        <w:t xml:space="preserve">Our </w:t>
      </w:r>
      <w:r w:rsidRPr="00DF3006">
        <w:rPr>
          <w:i/>
          <w:iCs/>
          <w:u w:color="E6E7E8" w:themeColor="background2"/>
        </w:rPr>
        <w:t>Stakeholder Engagement Strategy 2021–23</w:t>
      </w:r>
      <w:r w:rsidRPr="00DF3006">
        <w:rPr>
          <w:u w:color="E6E7E8" w:themeColor="background2"/>
        </w:rPr>
        <w:t xml:space="preserve"> </w:t>
      </w:r>
      <w:r w:rsidR="00E121BE" w:rsidRPr="00DF3006">
        <w:rPr>
          <w:u w:color="E6E7E8" w:themeColor="background2"/>
        </w:rPr>
        <w:t>ensured that w</w:t>
      </w:r>
      <w:r w:rsidR="0081201E" w:rsidRPr="00DF3006">
        <w:rPr>
          <w:u w:color="E6E7E8" w:themeColor="background2"/>
        </w:rPr>
        <w:t xml:space="preserve">e </w:t>
      </w:r>
      <w:r w:rsidR="00E121BE" w:rsidRPr="00DF3006">
        <w:rPr>
          <w:u w:color="E6E7E8" w:themeColor="background2"/>
        </w:rPr>
        <w:t xml:space="preserve">continued to </w:t>
      </w:r>
      <w:r w:rsidR="0081201E" w:rsidRPr="00DF3006">
        <w:rPr>
          <w:u w:color="E6E7E8" w:themeColor="background2"/>
        </w:rPr>
        <w:t xml:space="preserve">work closely with </w:t>
      </w:r>
      <w:r w:rsidR="00E121BE" w:rsidRPr="00DF3006">
        <w:rPr>
          <w:u w:color="E6E7E8" w:themeColor="background2"/>
        </w:rPr>
        <w:t xml:space="preserve">individuals and </w:t>
      </w:r>
      <w:proofErr w:type="spellStart"/>
      <w:r w:rsidR="00E121BE" w:rsidRPr="00DF3006">
        <w:rPr>
          <w:u w:color="E6E7E8" w:themeColor="background2"/>
        </w:rPr>
        <w:t>organisations</w:t>
      </w:r>
      <w:proofErr w:type="spellEnd"/>
      <w:r w:rsidR="00E121BE" w:rsidRPr="00DF3006">
        <w:rPr>
          <w:u w:color="E6E7E8" w:themeColor="background2"/>
        </w:rPr>
        <w:t xml:space="preserve"> that affect (or could be affected by) our activities, products, </w:t>
      </w:r>
      <w:proofErr w:type="gramStart"/>
      <w:r w:rsidR="00E121BE" w:rsidRPr="00DF3006">
        <w:rPr>
          <w:u w:color="E6E7E8" w:themeColor="background2"/>
        </w:rPr>
        <w:t>services</w:t>
      </w:r>
      <w:proofErr w:type="gramEnd"/>
      <w:r w:rsidR="00E121BE" w:rsidRPr="00DF3006">
        <w:rPr>
          <w:u w:color="E6E7E8" w:themeColor="background2"/>
        </w:rPr>
        <w:t xml:space="preserve"> and performance. This included </w:t>
      </w:r>
      <w:r w:rsidR="003B43F1" w:rsidRPr="00DF3006">
        <w:rPr>
          <w:u w:color="E6E7E8" w:themeColor="background2"/>
        </w:rPr>
        <w:t xml:space="preserve">collaborating with </w:t>
      </w:r>
      <w:r w:rsidR="00E121BE" w:rsidRPr="00DF3006">
        <w:rPr>
          <w:u w:color="E6E7E8" w:themeColor="background2"/>
        </w:rPr>
        <w:t xml:space="preserve">national and </w:t>
      </w:r>
      <w:r w:rsidR="0081201E" w:rsidRPr="00DF3006">
        <w:rPr>
          <w:u w:color="E6E7E8" w:themeColor="background2"/>
        </w:rPr>
        <w:t>state law enforcement and anti-corruption agencies in comba</w:t>
      </w:r>
      <w:r w:rsidR="00AF3176" w:rsidRPr="00DF3006">
        <w:rPr>
          <w:u w:color="E6E7E8" w:themeColor="background2"/>
        </w:rPr>
        <w:t>t</w:t>
      </w:r>
      <w:r w:rsidR="0081201E" w:rsidRPr="00DF3006">
        <w:rPr>
          <w:u w:color="E6E7E8" w:themeColor="background2"/>
        </w:rPr>
        <w:t xml:space="preserve">ing major crime and corruption </w:t>
      </w:r>
      <w:r w:rsidR="003B43F1" w:rsidRPr="00DF3006">
        <w:rPr>
          <w:u w:color="E6E7E8" w:themeColor="background2"/>
        </w:rPr>
        <w:t>by</w:t>
      </w:r>
      <w:r w:rsidR="00BB081B" w:rsidRPr="00DF3006">
        <w:rPr>
          <w:u w:color="E6E7E8" w:themeColor="background2"/>
        </w:rPr>
        <w:t xml:space="preserve"> </w:t>
      </w:r>
      <w:r w:rsidR="001E422F" w:rsidRPr="00DF3006">
        <w:rPr>
          <w:u w:color="E6E7E8" w:themeColor="background2"/>
        </w:rPr>
        <w:t>participating in joint investigations</w:t>
      </w:r>
      <w:r w:rsidR="00BB081B" w:rsidRPr="00DF3006">
        <w:rPr>
          <w:u w:color="E6E7E8" w:themeColor="background2"/>
        </w:rPr>
        <w:t xml:space="preserve">, </w:t>
      </w:r>
      <w:r w:rsidR="001E422F" w:rsidRPr="00DF3006">
        <w:rPr>
          <w:u w:color="E6E7E8" w:themeColor="background2"/>
        </w:rPr>
        <w:t>sharing intelligence products and operational resources</w:t>
      </w:r>
      <w:r w:rsidR="0052150B" w:rsidRPr="00DF3006">
        <w:rPr>
          <w:u w:color="E6E7E8" w:themeColor="background2"/>
        </w:rPr>
        <w:t>,</w:t>
      </w:r>
      <w:r w:rsidR="001E422F" w:rsidRPr="00DF3006">
        <w:rPr>
          <w:u w:color="E6E7E8" w:themeColor="background2"/>
        </w:rPr>
        <w:t xml:space="preserve"> and using our coercive powers in support of other agencies’ investigations</w:t>
      </w:r>
      <w:r w:rsidR="00C412F3" w:rsidRPr="00DF3006">
        <w:rPr>
          <w:u w:color="E6E7E8" w:themeColor="background2"/>
        </w:rPr>
        <w:t>.</w:t>
      </w:r>
    </w:p>
    <w:p w14:paraId="775DB809" w14:textId="1C5CF75C" w:rsidR="004120B6" w:rsidRPr="00DF3006" w:rsidRDefault="004120B6" w:rsidP="00E82CC8">
      <w:pPr>
        <w:rPr>
          <w:bCs/>
          <w:color w:val="414042" w:themeColor="text1"/>
          <w:u w:color="E6E7E8" w:themeColor="background2"/>
        </w:rPr>
      </w:pPr>
    </w:p>
    <w:p w14:paraId="28811E5F" w14:textId="081060C9" w:rsidR="004120B6" w:rsidRPr="00DF3006" w:rsidRDefault="004120B6" w:rsidP="000E1205">
      <w:pPr>
        <w:rPr>
          <w:color w:val="414042" w:themeColor="text1"/>
          <w:highlight w:val="magenta"/>
        </w:rPr>
        <w:sectPr w:rsidR="004120B6" w:rsidRPr="00DF3006" w:rsidSect="00C77834">
          <w:headerReference w:type="even" r:id="rId74"/>
          <w:headerReference w:type="default" r:id="rId75"/>
          <w:footerReference w:type="even" r:id="rId76"/>
          <w:headerReference w:type="first" r:id="rId77"/>
          <w:pgSz w:w="11906" w:h="16838" w:code="9"/>
          <w:pgMar w:top="2155" w:right="1134" w:bottom="964" w:left="1134" w:header="720" w:footer="284" w:gutter="0"/>
          <w:cols w:space="567"/>
          <w:noEndnote/>
          <w:docGrid w:linePitch="272"/>
        </w:sectPr>
      </w:pPr>
    </w:p>
    <w:p w14:paraId="6869BC81" w14:textId="77777777" w:rsidR="00D23ABF" w:rsidRPr="00DF3006" w:rsidRDefault="00275818" w:rsidP="00E6066A">
      <w:pPr>
        <w:pStyle w:val="Heading3"/>
      </w:pPr>
      <w:bookmarkStart w:id="260" w:name="_Toc102037832"/>
      <w:bookmarkStart w:id="261" w:name="_Toc102038194"/>
      <w:bookmarkStart w:id="262" w:name="_Toc102038555"/>
      <w:bookmarkStart w:id="263" w:name="_Toc102038915"/>
      <w:bookmarkStart w:id="264" w:name="_Toc102039267"/>
      <w:bookmarkStart w:id="265" w:name="_Toc102039622"/>
      <w:bookmarkStart w:id="266" w:name="_Toc102039979"/>
      <w:bookmarkStart w:id="267" w:name="_Toc102040304"/>
      <w:bookmarkStart w:id="268" w:name="_Toc102040638"/>
      <w:bookmarkStart w:id="269" w:name="_Toc102040966"/>
      <w:bookmarkStart w:id="270" w:name="_Toc102041296"/>
      <w:bookmarkStart w:id="271" w:name="_Toc102041628"/>
      <w:bookmarkStart w:id="272" w:name="_Toc102041955"/>
      <w:bookmarkStart w:id="273" w:name="_Toc102042284"/>
      <w:bookmarkStart w:id="274" w:name="_Toc102045408"/>
      <w:bookmarkStart w:id="275" w:name="_Toc102037826"/>
      <w:bookmarkStart w:id="276" w:name="_Toc102038188"/>
      <w:bookmarkStart w:id="277" w:name="_Toc102038549"/>
      <w:bookmarkStart w:id="278" w:name="_Toc102038909"/>
      <w:bookmarkStart w:id="279" w:name="_Toc102039261"/>
      <w:bookmarkStart w:id="280" w:name="_Toc102039616"/>
      <w:bookmarkStart w:id="281" w:name="_Toc102039973"/>
      <w:bookmarkStart w:id="282" w:name="_Toc102040298"/>
      <w:bookmarkStart w:id="283" w:name="_Toc102040632"/>
      <w:bookmarkStart w:id="284" w:name="_Toc102040960"/>
      <w:bookmarkStart w:id="285" w:name="_Toc102041290"/>
      <w:bookmarkStart w:id="286" w:name="_Toc102041622"/>
      <w:bookmarkStart w:id="287" w:name="_Toc102041949"/>
      <w:bookmarkStart w:id="288" w:name="_Toc102042278"/>
      <w:r w:rsidRPr="00DF3006">
        <w:t xml:space="preserve">Our stakeholders in </w:t>
      </w:r>
      <w:r w:rsidR="001F7A07" w:rsidRPr="00DF3006">
        <w:t>Queensland</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6E611962" w14:textId="204299F4" w:rsidR="00E646C9" w:rsidRPr="00DF3006" w:rsidRDefault="00E646C9" w:rsidP="00117A8C">
      <w:pPr>
        <w:pStyle w:val="Bullets3"/>
        <w:rPr>
          <w:color w:val="414042" w:themeColor="text1"/>
          <w:sz w:val="20"/>
          <w:szCs w:val="20"/>
        </w:rPr>
      </w:pPr>
      <w:r w:rsidRPr="00DF3006">
        <w:rPr>
          <w:color w:val="414042" w:themeColor="text1"/>
          <w:sz w:val="20"/>
          <w:szCs w:val="20"/>
        </w:rPr>
        <w:t>Attorney-General and Minister for Justice Minister for the Prevention of Domestic and Family Violence</w:t>
      </w:r>
    </w:p>
    <w:p w14:paraId="1E17C6E7" w14:textId="77777777" w:rsidR="00E646C9" w:rsidRPr="00DF3006" w:rsidRDefault="00E646C9" w:rsidP="00117A8C">
      <w:pPr>
        <w:pStyle w:val="Bullets3"/>
        <w:rPr>
          <w:color w:val="414042" w:themeColor="text1"/>
          <w:sz w:val="20"/>
          <w:szCs w:val="20"/>
        </w:rPr>
      </w:pPr>
      <w:r w:rsidRPr="00DF3006">
        <w:rPr>
          <w:color w:val="414042" w:themeColor="text1"/>
          <w:sz w:val="20"/>
          <w:szCs w:val="20"/>
        </w:rPr>
        <w:t>Office of the Director of Public Prosecutions (ODPP)</w:t>
      </w:r>
    </w:p>
    <w:p w14:paraId="113660F7" w14:textId="77777777" w:rsidR="00E646C9" w:rsidRPr="00DF3006" w:rsidRDefault="00E646C9" w:rsidP="00117A8C">
      <w:pPr>
        <w:pStyle w:val="Bullets3"/>
        <w:rPr>
          <w:color w:val="414042" w:themeColor="text1"/>
          <w:sz w:val="20"/>
          <w:szCs w:val="20"/>
        </w:rPr>
      </w:pPr>
      <w:r w:rsidRPr="00DF3006">
        <w:rPr>
          <w:color w:val="414042" w:themeColor="text1"/>
          <w:sz w:val="20"/>
          <w:szCs w:val="20"/>
        </w:rPr>
        <w:t>Office of the Independent Assessor</w:t>
      </w:r>
    </w:p>
    <w:p w14:paraId="6E329D6C" w14:textId="77777777" w:rsidR="00E646C9" w:rsidRPr="00DF3006" w:rsidRDefault="00E646C9" w:rsidP="00117A8C">
      <w:pPr>
        <w:pStyle w:val="Bullets3"/>
        <w:rPr>
          <w:color w:val="414042" w:themeColor="text1"/>
          <w:sz w:val="20"/>
          <w:szCs w:val="20"/>
        </w:rPr>
      </w:pPr>
      <w:r w:rsidRPr="00DF3006">
        <w:rPr>
          <w:color w:val="414042" w:themeColor="text1"/>
          <w:sz w:val="20"/>
          <w:szCs w:val="20"/>
        </w:rPr>
        <w:t>Office of the Information Commissioner</w:t>
      </w:r>
    </w:p>
    <w:p w14:paraId="26CE3332" w14:textId="77777777" w:rsidR="00E646C9" w:rsidRPr="00DF3006" w:rsidRDefault="00E646C9" w:rsidP="00117A8C">
      <w:pPr>
        <w:pStyle w:val="Bullets3"/>
        <w:rPr>
          <w:color w:val="414042" w:themeColor="text1"/>
          <w:sz w:val="20"/>
          <w:szCs w:val="20"/>
        </w:rPr>
      </w:pPr>
      <w:r w:rsidRPr="00DF3006">
        <w:rPr>
          <w:color w:val="414042" w:themeColor="text1"/>
          <w:sz w:val="20"/>
          <w:szCs w:val="20"/>
        </w:rPr>
        <w:t>Parliamentary Crime and Corruption Commissioner</w:t>
      </w:r>
    </w:p>
    <w:p w14:paraId="4F8EBB7D" w14:textId="77777777" w:rsidR="00E646C9" w:rsidRPr="00DF3006" w:rsidRDefault="00E646C9" w:rsidP="00117A8C">
      <w:pPr>
        <w:pStyle w:val="Bullets3"/>
        <w:rPr>
          <w:color w:val="414042" w:themeColor="text1"/>
          <w:sz w:val="20"/>
          <w:szCs w:val="20"/>
        </w:rPr>
      </w:pPr>
      <w:r w:rsidRPr="00DF3006">
        <w:rPr>
          <w:color w:val="414042" w:themeColor="text1"/>
          <w:sz w:val="20"/>
          <w:szCs w:val="20"/>
        </w:rPr>
        <w:t>Parliamentary Crime and Corruption Committee (PCCC)</w:t>
      </w:r>
    </w:p>
    <w:p w14:paraId="31BB7856" w14:textId="77777777" w:rsidR="00E646C9" w:rsidRPr="00DF3006" w:rsidRDefault="00E646C9" w:rsidP="00117A8C">
      <w:pPr>
        <w:pStyle w:val="Bullets3"/>
        <w:rPr>
          <w:color w:val="414042" w:themeColor="text1"/>
          <w:sz w:val="20"/>
          <w:szCs w:val="20"/>
        </w:rPr>
      </w:pPr>
      <w:r w:rsidRPr="00DF3006">
        <w:rPr>
          <w:color w:val="414042" w:themeColor="text1"/>
          <w:sz w:val="20"/>
          <w:szCs w:val="20"/>
        </w:rPr>
        <w:t>Public Interest Monitor</w:t>
      </w:r>
    </w:p>
    <w:p w14:paraId="0004517D" w14:textId="77777777" w:rsidR="00E646C9" w:rsidRPr="00DF3006" w:rsidRDefault="00E646C9" w:rsidP="00117A8C">
      <w:pPr>
        <w:pStyle w:val="Bullets3"/>
        <w:rPr>
          <w:color w:val="414042" w:themeColor="text1"/>
          <w:sz w:val="20"/>
          <w:szCs w:val="20"/>
        </w:rPr>
      </w:pPr>
      <w:r w:rsidRPr="00DF3006">
        <w:rPr>
          <w:color w:val="414042" w:themeColor="text1"/>
          <w:sz w:val="20"/>
          <w:szCs w:val="20"/>
        </w:rPr>
        <w:t>Queensland Audit Office (QAO)</w:t>
      </w:r>
    </w:p>
    <w:p w14:paraId="40B6DE82" w14:textId="77777777" w:rsidR="00E646C9" w:rsidRPr="00DF3006" w:rsidRDefault="00E646C9" w:rsidP="00117A8C">
      <w:pPr>
        <w:pStyle w:val="Bullets3"/>
        <w:rPr>
          <w:color w:val="414042" w:themeColor="text1"/>
          <w:sz w:val="20"/>
          <w:szCs w:val="20"/>
        </w:rPr>
      </w:pPr>
      <w:r w:rsidRPr="00DF3006">
        <w:rPr>
          <w:color w:val="414042" w:themeColor="text1"/>
          <w:sz w:val="20"/>
          <w:szCs w:val="20"/>
        </w:rPr>
        <w:t>Queensland Family and Child Commission</w:t>
      </w:r>
    </w:p>
    <w:p w14:paraId="4283009D" w14:textId="77777777" w:rsidR="00E646C9" w:rsidRPr="00DF3006" w:rsidRDefault="00E646C9" w:rsidP="00E971C0">
      <w:pPr>
        <w:pStyle w:val="Bullets3"/>
        <w:rPr>
          <w:color w:val="414042" w:themeColor="text1"/>
          <w:sz w:val="20"/>
          <w:szCs w:val="20"/>
        </w:rPr>
      </w:pPr>
      <w:r w:rsidRPr="00DF3006">
        <w:rPr>
          <w:color w:val="414042" w:themeColor="text1"/>
          <w:sz w:val="20"/>
          <w:szCs w:val="20"/>
        </w:rPr>
        <w:t>Queensland Ombudsman</w:t>
      </w:r>
      <w:r w:rsidRPr="00DF3006">
        <w:rPr>
          <w:color w:val="414042" w:themeColor="text1"/>
        </w:rPr>
        <w:t xml:space="preserve"> </w:t>
      </w:r>
      <w:r w:rsidRPr="00DF3006">
        <w:rPr>
          <w:color w:val="414042" w:themeColor="text1"/>
          <w:sz w:val="20"/>
          <w:szCs w:val="20"/>
        </w:rPr>
        <w:t>and Inspector of Detention Services</w:t>
      </w:r>
    </w:p>
    <w:p w14:paraId="36BB5124" w14:textId="6331C028" w:rsidR="00E646C9" w:rsidRPr="00DF3006" w:rsidRDefault="00E646C9" w:rsidP="00117A8C">
      <w:pPr>
        <w:pStyle w:val="Bullets3"/>
        <w:rPr>
          <w:color w:val="414042" w:themeColor="text1"/>
          <w:sz w:val="20"/>
          <w:szCs w:val="20"/>
        </w:rPr>
      </w:pPr>
      <w:r w:rsidRPr="00DF3006">
        <w:rPr>
          <w:color w:val="414042" w:themeColor="text1"/>
          <w:sz w:val="20"/>
          <w:szCs w:val="20"/>
        </w:rPr>
        <w:t>Queensland Police Service</w:t>
      </w:r>
    </w:p>
    <w:p w14:paraId="4B249E34" w14:textId="73BF3821" w:rsidR="00E646C9" w:rsidRPr="00DF3006" w:rsidRDefault="00E646C9" w:rsidP="00117A8C">
      <w:pPr>
        <w:pStyle w:val="Bullets3"/>
        <w:rPr>
          <w:color w:val="414042" w:themeColor="text1"/>
          <w:sz w:val="20"/>
          <w:szCs w:val="20"/>
        </w:rPr>
      </w:pPr>
      <w:r w:rsidRPr="00DF3006">
        <w:rPr>
          <w:color w:val="414042" w:themeColor="text1"/>
          <w:sz w:val="20"/>
          <w:szCs w:val="20"/>
        </w:rPr>
        <w:t>Queensland public, and</w:t>
      </w:r>
    </w:p>
    <w:p w14:paraId="56D61FB5" w14:textId="3210441B" w:rsidR="00E646C9" w:rsidRPr="00DF3006" w:rsidRDefault="00E646C9" w:rsidP="00117A8C">
      <w:pPr>
        <w:pStyle w:val="Bullets3"/>
        <w:rPr>
          <w:color w:val="414042" w:themeColor="text1"/>
          <w:sz w:val="20"/>
          <w:szCs w:val="20"/>
        </w:rPr>
      </w:pPr>
      <w:r w:rsidRPr="00DF3006">
        <w:rPr>
          <w:color w:val="414042" w:themeColor="text1"/>
          <w:sz w:val="20"/>
          <w:szCs w:val="20"/>
        </w:rPr>
        <w:t>Queensland units of public administration (UPA</w:t>
      </w:r>
      <w:r w:rsidR="00150080" w:rsidRPr="00DF3006">
        <w:rPr>
          <w:color w:val="414042" w:themeColor="text1"/>
          <w:sz w:val="20"/>
          <w:szCs w:val="20"/>
        </w:rPr>
        <w:t>s</w:t>
      </w:r>
      <w:r w:rsidRPr="00DF3006">
        <w:rPr>
          <w:color w:val="414042" w:themeColor="text1"/>
          <w:sz w:val="20"/>
          <w:szCs w:val="20"/>
        </w:rPr>
        <w:t>)</w:t>
      </w:r>
    </w:p>
    <w:p w14:paraId="724D8D76" w14:textId="77777777" w:rsidR="004120B6" w:rsidRPr="00DF3006" w:rsidRDefault="004120B6" w:rsidP="004120B6">
      <w:pPr>
        <w:rPr>
          <w:color w:val="414042" w:themeColor="text1"/>
        </w:rPr>
      </w:pPr>
    </w:p>
    <w:p w14:paraId="0D2CE38D" w14:textId="659D38F4" w:rsidR="00EE28F1" w:rsidRPr="00DF3006" w:rsidRDefault="00EE28F1" w:rsidP="00E6066A">
      <w:pPr>
        <w:pStyle w:val="Heading3"/>
      </w:pPr>
      <w:r w:rsidRPr="00DF3006">
        <w:t xml:space="preserve">Other </w:t>
      </w:r>
      <w:r w:rsidR="00117A8C" w:rsidRPr="00DF3006">
        <w:t xml:space="preserve">national and </w:t>
      </w:r>
      <w:r w:rsidR="007A5174" w:rsidRPr="00DF3006">
        <w:t xml:space="preserve">state </w:t>
      </w:r>
      <w:r w:rsidRPr="00DF3006">
        <w:t>stakeholders</w:t>
      </w:r>
    </w:p>
    <w:p w14:paraId="6BC37786" w14:textId="77777777" w:rsidR="00117A8C" w:rsidRPr="00DF3006" w:rsidRDefault="00117A8C" w:rsidP="00463FBB">
      <w:pPr>
        <w:pStyle w:val="Heading4"/>
      </w:pPr>
      <w:bookmarkStart w:id="289" w:name="_Toc102037833"/>
      <w:bookmarkStart w:id="290" w:name="_Toc102038195"/>
      <w:bookmarkStart w:id="291" w:name="_Toc102038556"/>
      <w:bookmarkStart w:id="292" w:name="_Toc102038916"/>
      <w:bookmarkStart w:id="293" w:name="_Toc102039268"/>
      <w:bookmarkStart w:id="294" w:name="_Toc102039623"/>
      <w:bookmarkStart w:id="295" w:name="_Toc102039980"/>
      <w:bookmarkStart w:id="296" w:name="_Toc102040305"/>
      <w:bookmarkStart w:id="297" w:name="_Toc102040639"/>
      <w:bookmarkStart w:id="298" w:name="_Toc102040967"/>
      <w:bookmarkStart w:id="299" w:name="_Toc102041297"/>
      <w:bookmarkStart w:id="300" w:name="_Toc102041629"/>
      <w:bookmarkStart w:id="301" w:name="_Toc102041956"/>
      <w:bookmarkStart w:id="302" w:name="_Toc102042285"/>
      <w:bookmarkStart w:id="303" w:name="_Toc102045415"/>
      <w:bookmarkStart w:id="304" w:name="_Toc102045409"/>
      <w:r w:rsidRPr="00DF3006">
        <w:t>Commonwealth</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8509A38" w14:textId="77777777" w:rsidR="00E646C9" w:rsidRPr="00DF3006" w:rsidRDefault="00E646C9" w:rsidP="00117A8C">
      <w:pPr>
        <w:pStyle w:val="Bullets3"/>
        <w:rPr>
          <w:color w:val="414042" w:themeColor="text1"/>
          <w:sz w:val="20"/>
          <w:szCs w:val="20"/>
        </w:rPr>
      </w:pPr>
      <w:r w:rsidRPr="00DF3006">
        <w:rPr>
          <w:color w:val="414042" w:themeColor="text1"/>
          <w:sz w:val="20"/>
          <w:szCs w:val="20"/>
        </w:rPr>
        <w:t>Australian Commission for Law Enforcement Integrity</w:t>
      </w:r>
    </w:p>
    <w:p w14:paraId="273945D7" w14:textId="77777777" w:rsidR="00E646C9" w:rsidRPr="00DF3006" w:rsidRDefault="00E646C9" w:rsidP="00117A8C">
      <w:pPr>
        <w:pStyle w:val="Bullets3"/>
        <w:rPr>
          <w:color w:val="414042" w:themeColor="text1"/>
          <w:sz w:val="20"/>
          <w:szCs w:val="20"/>
        </w:rPr>
      </w:pPr>
      <w:r w:rsidRPr="00DF3006">
        <w:rPr>
          <w:color w:val="414042" w:themeColor="text1"/>
          <w:sz w:val="20"/>
          <w:szCs w:val="20"/>
        </w:rPr>
        <w:t>Australian Criminal Intelligence Commission (ACIC)</w:t>
      </w:r>
    </w:p>
    <w:p w14:paraId="5B39075F" w14:textId="77777777" w:rsidR="00E646C9" w:rsidRPr="00DF3006" w:rsidRDefault="00E646C9" w:rsidP="00117A8C">
      <w:pPr>
        <w:pStyle w:val="Bullets3"/>
        <w:rPr>
          <w:color w:val="414042" w:themeColor="text1"/>
          <w:sz w:val="20"/>
          <w:szCs w:val="20"/>
        </w:rPr>
      </w:pPr>
      <w:r w:rsidRPr="00DF3006">
        <w:rPr>
          <w:color w:val="414042" w:themeColor="text1"/>
          <w:sz w:val="20"/>
          <w:szCs w:val="20"/>
        </w:rPr>
        <w:t>Australian Federal Police (AFP)</w:t>
      </w:r>
    </w:p>
    <w:p w14:paraId="35DC9F2E" w14:textId="77777777" w:rsidR="00E646C9" w:rsidRPr="00DF3006" w:rsidRDefault="00E646C9" w:rsidP="00117A8C">
      <w:pPr>
        <w:pStyle w:val="Bullets3"/>
        <w:rPr>
          <w:color w:val="414042" w:themeColor="text1"/>
          <w:sz w:val="20"/>
          <w:szCs w:val="20"/>
        </w:rPr>
      </w:pPr>
      <w:r w:rsidRPr="00DF3006">
        <w:rPr>
          <w:color w:val="414042" w:themeColor="text1"/>
          <w:sz w:val="20"/>
          <w:szCs w:val="20"/>
        </w:rPr>
        <w:t>Australian Taxation Office (ATO)</w:t>
      </w:r>
    </w:p>
    <w:p w14:paraId="6BD36F1E" w14:textId="77777777" w:rsidR="00E646C9" w:rsidRPr="00DF3006" w:rsidRDefault="00E646C9" w:rsidP="00117A8C">
      <w:pPr>
        <w:pStyle w:val="Bullets3"/>
        <w:rPr>
          <w:color w:val="414042" w:themeColor="text1"/>
          <w:sz w:val="20"/>
          <w:szCs w:val="20"/>
        </w:rPr>
      </w:pPr>
      <w:r w:rsidRPr="00DF3006">
        <w:rPr>
          <w:color w:val="414042" w:themeColor="text1"/>
          <w:sz w:val="20"/>
          <w:szCs w:val="20"/>
        </w:rPr>
        <w:t>Australian Transaction Reports and Analysis Centre (AUSTRAC)</w:t>
      </w:r>
    </w:p>
    <w:p w14:paraId="295AAFB6" w14:textId="77777777" w:rsidR="00E646C9" w:rsidRPr="00DF3006" w:rsidRDefault="00E646C9" w:rsidP="00117A8C">
      <w:pPr>
        <w:pStyle w:val="Bullets3"/>
        <w:rPr>
          <w:color w:val="414042" w:themeColor="text1"/>
          <w:sz w:val="20"/>
          <w:szCs w:val="20"/>
        </w:rPr>
      </w:pPr>
      <w:r w:rsidRPr="00DF3006">
        <w:rPr>
          <w:color w:val="414042" w:themeColor="text1"/>
          <w:sz w:val="20"/>
          <w:szCs w:val="20"/>
        </w:rPr>
        <w:t>Home Affairs (including Australian Border Force)</w:t>
      </w:r>
    </w:p>
    <w:p w14:paraId="69EAEC57" w14:textId="2469B630" w:rsidR="00156C0D" w:rsidRPr="00DF3006" w:rsidRDefault="0088115B" w:rsidP="00463FBB">
      <w:pPr>
        <w:pStyle w:val="Heading4"/>
      </w:pPr>
      <w:r w:rsidRPr="00DF3006">
        <w:br w:type="column"/>
      </w:r>
      <w:r w:rsidR="00156C0D" w:rsidRPr="00DF3006">
        <w:t>Australian Capital Territory</w:t>
      </w:r>
    </w:p>
    <w:p w14:paraId="7479BAF1" w14:textId="51B23A56" w:rsidR="00156C0D" w:rsidRPr="00DF3006" w:rsidRDefault="00156C0D" w:rsidP="00E55158">
      <w:pPr>
        <w:pStyle w:val="Bullets3"/>
        <w:rPr>
          <w:color w:val="414042" w:themeColor="text1"/>
          <w:sz w:val="20"/>
          <w:szCs w:val="20"/>
        </w:rPr>
      </w:pPr>
      <w:r w:rsidRPr="00DF3006">
        <w:rPr>
          <w:color w:val="414042" w:themeColor="text1"/>
          <w:sz w:val="20"/>
          <w:szCs w:val="20"/>
        </w:rPr>
        <w:t>Australian Capital Territory Integrity Commission</w:t>
      </w:r>
    </w:p>
    <w:p w14:paraId="414C70DB" w14:textId="067F1F17" w:rsidR="001E422F" w:rsidRPr="00DF3006" w:rsidRDefault="001E422F" w:rsidP="00463FBB">
      <w:pPr>
        <w:pStyle w:val="Heading4"/>
      </w:pPr>
      <w:r w:rsidRPr="00DF3006">
        <w:t>New South Wales</w:t>
      </w:r>
      <w:bookmarkStart w:id="305" w:name="_Hlk74220970"/>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304"/>
    </w:p>
    <w:p w14:paraId="6A091745" w14:textId="3B9200D0" w:rsidR="00E646C9" w:rsidRPr="00DF3006" w:rsidRDefault="00E646C9" w:rsidP="00E55158">
      <w:pPr>
        <w:pStyle w:val="Bullets3"/>
        <w:rPr>
          <w:color w:val="414042" w:themeColor="text1"/>
          <w:sz w:val="20"/>
          <w:szCs w:val="20"/>
        </w:rPr>
      </w:pPr>
      <w:r w:rsidRPr="00DF3006">
        <w:rPr>
          <w:color w:val="414042" w:themeColor="text1"/>
          <w:sz w:val="20"/>
          <w:szCs w:val="20"/>
        </w:rPr>
        <w:t>Independent Commission Against Corruption (N</w:t>
      </w:r>
      <w:r w:rsidR="00EA2C0F" w:rsidRPr="00DF3006">
        <w:rPr>
          <w:color w:val="414042" w:themeColor="text1"/>
          <w:sz w:val="20"/>
          <w:szCs w:val="20"/>
        </w:rPr>
        <w:t>ew South Wales</w:t>
      </w:r>
      <w:r w:rsidRPr="00DF3006">
        <w:rPr>
          <w:color w:val="414042" w:themeColor="text1"/>
          <w:sz w:val="20"/>
          <w:szCs w:val="20"/>
        </w:rPr>
        <w:t xml:space="preserve"> ICAC)</w:t>
      </w:r>
    </w:p>
    <w:p w14:paraId="79CE8F20" w14:textId="77777777" w:rsidR="00E646C9" w:rsidRPr="00DF3006" w:rsidRDefault="00E646C9" w:rsidP="00E55158">
      <w:pPr>
        <w:pStyle w:val="Bullets3"/>
        <w:rPr>
          <w:color w:val="414042" w:themeColor="text1"/>
          <w:sz w:val="20"/>
          <w:szCs w:val="20"/>
        </w:rPr>
      </w:pPr>
      <w:r w:rsidRPr="00DF3006">
        <w:rPr>
          <w:color w:val="414042" w:themeColor="text1"/>
          <w:sz w:val="20"/>
          <w:szCs w:val="20"/>
        </w:rPr>
        <w:t>Law Enforcement Conduct Commission</w:t>
      </w:r>
    </w:p>
    <w:p w14:paraId="0455AF65" w14:textId="77777777" w:rsidR="00E646C9" w:rsidRPr="00DF3006" w:rsidRDefault="00E646C9" w:rsidP="00E55158">
      <w:pPr>
        <w:pStyle w:val="Bullets3"/>
        <w:rPr>
          <w:color w:val="414042" w:themeColor="text1"/>
          <w:sz w:val="20"/>
          <w:szCs w:val="20"/>
        </w:rPr>
      </w:pPr>
      <w:r w:rsidRPr="00DF3006">
        <w:rPr>
          <w:color w:val="414042" w:themeColor="text1"/>
          <w:sz w:val="20"/>
          <w:szCs w:val="20"/>
        </w:rPr>
        <w:t>New South Wales Crime Commission</w:t>
      </w:r>
    </w:p>
    <w:p w14:paraId="66367767" w14:textId="77777777" w:rsidR="00E646C9" w:rsidRPr="00DF3006" w:rsidRDefault="00E646C9" w:rsidP="00E55158">
      <w:pPr>
        <w:pStyle w:val="Bullets3"/>
        <w:rPr>
          <w:color w:val="414042" w:themeColor="text1"/>
          <w:sz w:val="20"/>
          <w:szCs w:val="20"/>
        </w:rPr>
      </w:pPr>
      <w:r w:rsidRPr="00DF3006">
        <w:rPr>
          <w:color w:val="414042" w:themeColor="text1"/>
          <w:sz w:val="20"/>
          <w:szCs w:val="20"/>
        </w:rPr>
        <w:t>New South Wales Police Force</w:t>
      </w:r>
    </w:p>
    <w:p w14:paraId="0DCFD38F" w14:textId="1A91D48B" w:rsidR="006A4EC5" w:rsidRPr="00DF3006" w:rsidRDefault="006A4EC5" w:rsidP="00463FBB">
      <w:pPr>
        <w:pStyle w:val="Heading4"/>
      </w:pPr>
      <w:bookmarkStart w:id="306" w:name="_Toc102037831"/>
      <w:bookmarkStart w:id="307" w:name="_Toc102038193"/>
      <w:bookmarkStart w:id="308" w:name="_Toc102038554"/>
      <w:bookmarkStart w:id="309" w:name="_Toc102038914"/>
      <w:bookmarkStart w:id="310" w:name="_Toc102039266"/>
      <w:bookmarkStart w:id="311" w:name="_Toc102039621"/>
      <w:bookmarkStart w:id="312" w:name="_Toc102039978"/>
      <w:bookmarkStart w:id="313" w:name="_Toc102040303"/>
      <w:bookmarkStart w:id="314" w:name="_Toc102040637"/>
      <w:bookmarkStart w:id="315" w:name="_Toc102040965"/>
      <w:bookmarkStart w:id="316" w:name="_Toc102041295"/>
      <w:bookmarkStart w:id="317" w:name="_Toc102041627"/>
      <w:bookmarkStart w:id="318" w:name="_Toc102041954"/>
      <w:bookmarkStart w:id="319" w:name="_Toc102042283"/>
      <w:bookmarkStart w:id="320" w:name="_Toc102045410"/>
      <w:r w:rsidRPr="00DF3006">
        <w:t>Northern Territory</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9833B2E" w14:textId="77777777" w:rsidR="00E646C9" w:rsidRPr="00DF3006" w:rsidRDefault="00E646C9" w:rsidP="00E55158">
      <w:pPr>
        <w:pStyle w:val="Bullets3"/>
        <w:rPr>
          <w:color w:val="414042" w:themeColor="text1"/>
          <w:sz w:val="20"/>
          <w:szCs w:val="20"/>
        </w:rPr>
      </w:pPr>
      <w:r w:rsidRPr="00DF3006">
        <w:rPr>
          <w:color w:val="414042" w:themeColor="text1"/>
          <w:sz w:val="20"/>
          <w:szCs w:val="20"/>
        </w:rPr>
        <w:t>Northern Territory Police Force</w:t>
      </w:r>
    </w:p>
    <w:p w14:paraId="5A8200BE" w14:textId="6D76BD81" w:rsidR="00E646C9" w:rsidRPr="00DF3006" w:rsidRDefault="00E646C9" w:rsidP="00E55158">
      <w:pPr>
        <w:pStyle w:val="Bullets3"/>
        <w:rPr>
          <w:color w:val="414042" w:themeColor="text1"/>
          <w:sz w:val="20"/>
          <w:szCs w:val="20"/>
        </w:rPr>
      </w:pPr>
      <w:r w:rsidRPr="00DF3006">
        <w:rPr>
          <w:color w:val="414042" w:themeColor="text1"/>
          <w:sz w:val="20"/>
          <w:szCs w:val="20"/>
        </w:rPr>
        <w:t>Office of the Independent Commissioner Against Corruption</w:t>
      </w:r>
      <w:r w:rsidR="007C57D9" w:rsidRPr="00DF3006">
        <w:rPr>
          <w:color w:val="414042" w:themeColor="text1"/>
          <w:sz w:val="20"/>
          <w:szCs w:val="20"/>
        </w:rPr>
        <w:t xml:space="preserve"> (NT ICAC)</w:t>
      </w:r>
    </w:p>
    <w:p w14:paraId="5FA20E64" w14:textId="4C26CE39" w:rsidR="006A4EC5" w:rsidRPr="00DF3006" w:rsidRDefault="006A4EC5" w:rsidP="00463FBB">
      <w:pPr>
        <w:pStyle w:val="Heading4"/>
      </w:pPr>
      <w:bookmarkStart w:id="321" w:name="_Toc102037828"/>
      <w:bookmarkStart w:id="322" w:name="_Toc102038190"/>
      <w:bookmarkStart w:id="323" w:name="_Toc102038551"/>
      <w:bookmarkStart w:id="324" w:name="_Toc102038911"/>
      <w:bookmarkStart w:id="325" w:name="_Toc102039263"/>
      <w:bookmarkStart w:id="326" w:name="_Toc102039618"/>
      <w:bookmarkStart w:id="327" w:name="_Toc102039975"/>
      <w:bookmarkStart w:id="328" w:name="_Toc102040300"/>
      <w:bookmarkStart w:id="329" w:name="_Toc102040634"/>
      <w:bookmarkStart w:id="330" w:name="_Toc102040962"/>
      <w:bookmarkStart w:id="331" w:name="_Toc102041292"/>
      <w:bookmarkStart w:id="332" w:name="_Toc102041624"/>
      <w:bookmarkStart w:id="333" w:name="_Toc102041951"/>
      <w:bookmarkStart w:id="334" w:name="_Toc102042280"/>
      <w:bookmarkStart w:id="335" w:name="_Toc102045411"/>
      <w:bookmarkStart w:id="336" w:name="_Toc102037827"/>
      <w:bookmarkStart w:id="337" w:name="_Toc102038189"/>
      <w:bookmarkStart w:id="338" w:name="_Toc102038550"/>
      <w:bookmarkStart w:id="339" w:name="_Toc102038910"/>
      <w:bookmarkStart w:id="340" w:name="_Toc102039262"/>
      <w:bookmarkStart w:id="341" w:name="_Toc102039617"/>
      <w:bookmarkStart w:id="342" w:name="_Toc102039974"/>
      <w:bookmarkStart w:id="343" w:name="_Toc102040299"/>
      <w:bookmarkStart w:id="344" w:name="_Toc102040633"/>
      <w:bookmarkStart w:id="345" w:name="_Toc102040961"/>
      <w:bookmarkStart w:id="346" w:name="_Toc102041291"/>
      <w:bookmarkStart w:id="347" w:name="_Toc102041623"/>
      <w:bookmarkStart w:id="348" w:name="_Toc102041950"/>
      <w:bookmarkStart w:id="349" w:name="_Toc102042279"/>
      <w:r w:rsidRPr="00DF3006">
        <w:t>South Australia</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70EF0A9" w14:textId="55D86C0D" w:rsidR="006A4EC5" w:rsidRPr="00DF3006" w:rsidRDefault="006A4EC5" w:rsidP="00E55158">
      <w:pPr>
        <w:pStyle w:val="Bullets3"/>
        <w:rPr>
          <w:color w:val="414042" w:themeColor="text1"/>
          <w:sz w:val="20"/>
          <w:szCs w:val="20"/>
        </w:rPr>
      </w:pPr>
      <w:r w:rsidRPr="00DF3006">
        <w:rPr>
          <w:color w:val="414042" w:themeColor="text1"/>
          <w:sz w:val="20"/>
          <w:szCs w:val="20"/>
        </w:rPr>
        <w:t>Independent Commission Against Corruption</w:t>
      </w:r>
      <w:r w:rsidR="00003B0D" w:rsidRPr="00DF3006">
        <w:rPr>
          <w:color w:val="414042" w:themeColor="text1"/>
          <w:sz w:val="20"/>
          <w:szCs w:val="20"/>
        </w:rPr>
        <w:t xml:space="preserve"> </w:t>
      </w:r>
      <w:r w:rsidR="0088115B" w:rsidRPr="00DF3006">
        <w:rPr>
          <w:color w:val="414042" w:themeColor="text1"/>
          <w:sz w:val="20"/>
          <w:szCs w:val="20"/>
        </w:rPr>
        <w:br/>
      </w:r>
      <w:r w:rsidR="00003B0D" w:rsidRPr="00DF3006">
        <w:rPr>
          <w:color w:val="414042" w:themeColor="text1"/>
          <w:sz w:val="20"/>
          <w:szCs w:val="20"/>
        </w:rPr>
        <w:t>(SA ICAC)</w:t>
      </w:r>
    </w:p>
    <w:p w14:paraId="3B7362A6" w14:textId="3150D3D2" w:rsidR="00EF17AA" w:rsidRPr="00DF3006" w:rsidRDefault="006A4EC5" w:rsidP="00E55158">
      <w:pPr>
        <w:pStyle w:val="Bullets3"/>
        <w:rPr>
          <w:color w:val="414042" w:themeColor="text1"/>
          <w:sz w:val="20"/>
          <w:szCs w:val="20"/>
        </w:rPr>
      </w:pPr>
      <w:r w:rsidRPr="00DF3006">
        <w:rPr>
          <w:color w:val="414042" w:themeColor="text1"/>
          <w:sz w:val="20"/>
          <w:szCs w:val="20"/>
        </w:rPr>
        <w:t>Office for Public Integrity</w:t>
      </w:r>
    </w:p>
    <w:p w14:paraId="0983B1F9" w14:textId="490854F7" w:rsidR="00D766CF" w:rsidRPr="00DF3006" w:rsidRDefault="006A4EC5" w:rsidP="00E55158">
      <w:pPr>
        <w:pStyle w:val="Bullets3"/>
        <w:rPr>
          <w:color w:val="414042" w:themeColor="text1"/>
          <w:sz w:val="20"/>
          <w:szCs w:val="20"/>
        </w:rPr>
      </w:pPr>
      <w:r w:rsidRPr="00DF3006">
        <w:rPr>
          <w:color w:val="414042" w:themeColor="text1"/>
          <w:sz w:val="20"/>
          <w:szCs w:val="20"/>
        </w:rPr>
        <w:t>South Australia Police</w:t>
      </w:r>
      <w:bookmarkStart w:id="350" w:name="_Toc102037830"/>
      <w:bookmarkStart w:id="351" w:name="_Toc102038192"/>
      <w:bookmarkStart w:id="352" w:name="_Toc102038553"/>
      <w:bookmarkStart w:id="353" w:name="_Toc102038913"/>
      <w:bookmarkStart w:id="354" w:name="_Toc102039265"/>
      <w:bookmarkStart w:id="355" w:name="_Toc102039620"/>
      <w:bookmarkStart w:id="356" w:name="_Toc102039977"/>
      <w:bookmarkStart w:id="357" w:name="_Toc102040302"/>
      <w:bookmarkStart w:id="358" w:name="_Toc102040636"/>
      <w:bookmarkStart w:id="359" w:name="_Toc102040964"/>
      <w:bookmarkStart w:id="360" w:name="_Toc102041294"/>
      <w:bookmarkStart w:id="361" w:name="_Toc102041626"/>
      <w:bookmarkStart w:id="362" w:name="_Toc102041953"/>
      <w:bookmarkStart w:id="363" w:name="_Toc102042282"/>
      <w:bookmarkStart w:id="364" w:name="_Toc102045412"/>
      <w:bookmarkStart w:id="365" w:name="_Hlk74221005"/>
      <w:bookmarkEnd w:id="30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14:paraId="1C8D1234" w14:textId="37D830BA" w:rsidR="00A96169" w:rsidRPr="00DF3006" w:rsidRDefault="00A96169" w:rsidP="00463FBB">
      <w:pPr>
        <w:pStyle w:val="Heading4"/>
      </w:pPr>
      <w:r w:rsidRPr="00DF3006">
        <w:t>Tasmania</w:t>
      </w:r>
    </w:p>
    <w:p w14:paraId="2306837C" w14:textId="6020C1C6" w:rsidR="009A05F8" w:rsidRPr="00DF3006" w:rsidRDefault="009A05F8" w:rsidP="00E55158">
      <w:pPr>
        <w:pStyle w:val="Bullets3"/>
        <w:rPr>
          <w:color w:val="414042" w:themeColor="text1"/>
          <w:sz w:val="20"/>
          <w:szCs w:val="20"/>
        </w:rPr>
      </w:pPr>
      <w:r w:rsidRPr="00DF3006">
        <w:rPr>
          <w:color w:val="414042" w:themeColor="text1"/>
          <w:sz w:val="20"/>
          <w:szCs w:val="20"/>
        </w:rPr>
        <w:t>Integrity Commission</w:t>
      </w:r>
    </w:p>
    <w:p w14:paraId="790D4D1F" w14:textId="7B6596D9" w:rsidR="00A6165D" w:rsidRPr="00DF3006" w:rsidRDefault="009A05F8" w:rsidP="00E55158">
      <w:pPr>
        <w:pStyle w:val="Bullets3"/>
        <w:rPr>
          <w:color w:val="414042" w:themeColor="text1"/>
          <w:sz w:val="20"/>
          <w:szCs w:val="20"/>
        </w:rPr>
      </w:pPr>
      <w:r w:rsidRPr="00DF3006">
        <w:rPr>
          <w:color w:val="414042" w:themeColor="text1"/>
          <w:sz w:val="20"/>
          <w:szCs w:val="20"/>
        </w:rPr>
        <w:t>Tasmania Police</w:t>
      </w:r>
    </w:p>
    <w:p w14:paraId="747D0FBC" w14:textId="067CB3E0" w:rsidR="00EF17AA" w:rsidRPr="00DF3006" w:rsidRDefault="00EF17AA" w:rsidP="00463FBB">
      <w:pPr>
        <w:pStyle w:val="Heading4"/>
      </w:pPr>
      <w:r w:rsidRPr="00DF3006">
        <w:t>Victoria</w:t>
      </w:r>
    </w:p>
    <w:p w14:paraId="7CD1A830" w14:textId="2ADA5520" w:rsidR="00EF17AA" w:rsidRPr="00DF3006" w:rsidRDefault="00EF17AA" w:rsidP="00E55158">
      <w:pPr>
        <w:pStyle w:val="Bullets3"/>
        <w:rPr>
          <w:color w:val="414042" w:themeColor="text1"/>
          <w:sz w:val="20"/>
          <w:szCs w:val="20"/>
        </w:rPr>
      </w:pPr>
      <w:r w:rsidRPr="00DF3006">
        <w:rPr>
          <w:color w:val="414042" w:themeColor="text1"/>
          <w:sz w:val="20"/>
          <w:szCs w:val="20"/>
        </w:rPr>
        <w:t>Independent Broad-based Anti-</w:t>
      </w:r>
      <w:r w:rsidR="004D4F68" w:rsidRPr="00DF3006">
        <w:rPr>
          <w:color w:val="414042" w:themeColor="text1"/>
          <w:sz w:val="20"/>
          <w:szCs w:val="20"/>
        </w:rPr>
        <w:t>c</w:t>
      </w:r>
      <w:r w:rsidRPr="00DF3006">
        <w:rPr>
          <w:color w:val="414042" w:themeColor="text1"/>
          <w:sz w:val="20"/>
          <w:szCs w:val="20"/>
        </w:rPr>
        <w:t>orruption Commission</w:t>
      </w:r>
      <w:r w:rsidR="0088115B" w:rsidRPr="00DF3006">
        <w:rPr>
          <w:color w:val="414042" w:themeColor="text1"/>
          <w:sz w:val="20"/>
          <w:szCs w:val="20"/>
        </w:rPr>
        <w:t xml:space="preserve"> (</w:t>
      </w:r>
      <w:proofErr w:type="spellStart"/>
      <w:r w:rsidR="0088115B" w:rsidRPr="00DF3006">
        <w:rPr>
          <w:color w:val="414042" w:themeColor="text1"/>
          <w:sz w:val="20"/>
          <w:szCs w:val="20"/>
        </w:rPr>
        <w:t>IBAC</w:t>
      </w:r>
      <w:proofErr w:type="spellEnd"/>
      <w:r w:rsidR="0088115B" w:rsidRPr="00DF3006">
        <w:rPr>
          <w:color w:val="414042" w:themeColor="text1"/>
          <w:sz w:val="20"/>
          <w:szCs w:val="20"/>
        </w:rPr>
        <w:t>)</w:t>
      </w:r>
    </w:p>
    <w:p w14:paraId="35A77D17" w14:textId="3C74210B" w:rsidR="00227D54" w:rsidRPr="00DF3006" w:rsidRDefault="00EF17AA" w:rsidP="00E55158">
      <w:pPr>
        <w:pStyle w:val="Bullets3"/>
        <w:rPr>
          <w:color w:val="414042" w:themeColor="text1"/>
          <w:sz w:val="20"/>
          <w:szCs w:val="20"/>
        </w:rPr>
      </w:pPr>
      <w:r w:rsidRPr="00DF3006">
        <w:rPr>
          <w:color w:val="414042" w:themeColor="text1"/>
          <w:sz w:val="20"/>
          <w:szCs w:val="20"/>
        </w:rPr>
        <w:t>Victoria Police</w:t>
      </w:r>
    </w:p>
    <w:p w14:paraId="6E3EFA61" w14:textId="77777777" w:rsidR="00EF17AA" w:rsidRPr="00DF3006" w:rsidRDefault="00EF17AA" w:rsidP="00463FBB">
      <w:pPr>
        <w:pStyle w:val="Heading4"/>
      </w:pPr>
      <w:r w:rsidRPr="00DF3006">
        <w:t>Western Australia</w:t>
      </w:r>
    </w:p>
    <w:p w14:paraId="01185719" w14:textId="3747416B" w:rsidR="00EF17AA" w:rsidRPr="00DF3006" w:rsidRDefault="00EF17AA" w:rsidP="00E55158">
      <w:pPr>
        <w:pStyle w:val="Bullets3"/>
        <w:rPr>
          <w:color w:val="414042" w:themeColor="text1"/>
          <w:sz w:val="20"/>
          <w:szCs w:val="20"/>
        </w:rPr>
      </w:pPr>
      <w:r w:rsidRPr="00DF3006">
        <w:rPr>
          <w:color w:val="414042" w:themeColor="text1"/>
          <w:sz w:val="20"/>
          <w:szCs w:val="20"/>
        </w:rPr>
        <w:t>Corruption and Crime Commission</w:t>
      </w:r>
      <w:r w:rsidR="0088115B" w:rsidRPr="00DF3006">
        <w:rPr>
          <w:color w:val="414042" w:themeColor="text1"/>
          <w:sz w:val="20"/>
          <w:szCs w:val="20"/>
        </w:rPr>
        <w:t xml:space="preserve"> (WA CCC)</w:t>
      </w:r>
    </w:p>
    <w:p w14:paraId="11CB09AA" w14:textId="573E4457" w:rsidR="002532BF" w:rsidRPr="00DF3006" w:rsidRDefault="00B00C70" w:rsidP="00E55158">
      <w:pPr>
        <w:pStyle w:val="Bullets3"/>
        <w:rPr>
          <w:color w:val="414042" w:themeColor="text1"/>
          <w:sz w:val="20"/>
          <w:szCs w:val="20"/>
        </w:rPr>
      </w:pPr>
      <w:r w:rsidRPr="00DF3006">
        <w:rPr>
          <w:color w:val="414042" w:themeColor="text1"/>
          <w:sz w:val="20"/>
          <w:szCs w:val="20"/>
        </w:rPr>
        <w:t>Western Australian Police Force</w:t>
      </w:r>
    </w:p>
    <w:bookmarkEnd w:id="365"/>
    <w:p w14:paraId="04F3CC5A" w14:textId="4EE9A228" w:rsidR="00F91569" w:rsidRPr="00DF3006" w:rsidRDefault="00F91569" w:rsidP="00E55158">
      <w:pPr>
        <w:rPr>
          <w:color w:val="414042" w:themeColor="text1"/>
        </w:rPr>
      </w:pPr>
    </w:p>
    <w:p w14:paraId="73FEA807" w14:textId="7EAAFD19" w:rsidR="001630D1" w:rsidRPr="00DF3006" w:rsidRDefault="001630D1" w:rsidP="00E55158">
      <w:pPr>
        <w:rPr>
          <w:i/>
          <w:color w:val="414042" w:themeColor="text1"/>
          <w:szCs w:val="20"/>
        </w:rPr>
      </w:pPr>
      <w:r w:rsidRPr="00DF3006">
        <w:rPr>
          <w:i/>
          <w:color w:val="414042" w:themeColor="text1"/>
          <w:szCs w:val="20"/>
        </w:rPr>
        <w:t xml:space="preserve">For more information on our internal and external oversight bodies, see pages </w:t>
      </w:r>
      <w:r w:rsidR="0004473A" w:rsidRPr="00DF3006">
        <w:rPr>
          <w:i/>
          <w:color w:val="414042" w:themeColor="text1"/>
          <w:szCs w:val="20"/>
        </w:rPr>
        <w:t>58</w:t>
      </w:r>
      <w:r w:rsidRPr="00DF3006">
        <w:rPr>
          <w:i/>
          <w:color w:val="414042" w:themeColor="text1"/>
          <w:szCs w:val="20"/>
        </w:rPr>
        <w:t>–</w:t>
      </w:r>
      <w:r w:rsidR="0004473A" w:rsidRPr="00DF3006">
        <w:rPr>
          <w:i/>
          <w:color w:val="414042" w:themeColor="text1"/>
          <w:szCs w:val="20"/>
        </w:rPr>
        <w:t>73</w:t>
      </w:r>
      <w:r w:rsidRPr="00DF3006">
        <w:rPr>
          <w:i/>
          <w:color w:val="414042" w:themeColor="text1"/>
          <w:szCs w:val="20"/>
        </w:rPr>
        <w:t>.</w:t>
      </w:r>
    </w:p>
    <w:p w14:paraId="11AA5773" w14:textId="77777777" w:rsidR="001630D1" w:rsidRPr="00DF3006" w:rsidRDefault="001630D1" w:rsidP="00F91569">
      <w:pPr>
        <w:rPr>
          <w:color w:val="414042" w:themeColor="text1"/>
        </w:rPr>
      </w:pPr>
    </w:p>
    <w:p w14:paraId="0C9CA66C" w14:textId="6A81D3E1" w:rsidR="001630D1" w:rsidRPr="00DF3006" w:rsidRDefault="001630D1" w:rsidP="00F91569">
      <w:pPr>
        <w:rPr>
          <w:color w:val="414042" w:themeColor="text1"/>
        </w:rPr>
        <w:sectPr w:rsidR="001630D1" w:rsidRPr="00DF3006" w:rsidSect="00C77834">
          <w:headerReference w:type="even" r:id="rId78"/>
          <w:headerReference w:type="default" r:id="rId79"/>
          <w:footerReference w:type="default" r:id="rId80"/>
          <w:headerReference w:type="first" r:id="rId81"/>
          <w:type w:val="continuous"/>
          <w:pgSz w:w="11906" w:h="16838" w:code="9"/>
          <w:pgMar w:top="2155" w:right="1134" w:bottom="964" w:left="1134" w:header="720" w:footer="284" w:gutter="0"/>
          <w:cols w:num="2" w:space="567"/>
          <w:noEndnote/>
          <w:docGrid w:linePitch="272"/>
        </w:sectPr>
      </w:pPr>
    </w:p>
    <w:p w14:paraId="5BAB5F6E" w14:textId="5C824732" w:rsidR="00703F5F" w:rsidRPr="00DF3006" w:rsidRDefault="00703F5F" w:rsidP="008E5ECB">
      <w:pPr>
        <w:pStyle w:val="Heading2"/>
        <w:sectPr w:rsidR="00703F5F" w:rsidRPr="00DF3006" w:rsidSect="00C77834">
          <w:headerReference w:type="even" r:id="rId82"/>
          <w:headerReference w:type="default" r:id="rId83"/>
          <w:footerReference w:type="default" r:id="rId84"/>
          <w:headerReference w:type="first" r:id="rId85"/>
          <w:type w:val="continuous"/>
          <w:pgSz w:w="11906" w:h="16838" w:code="9"/>
          <w:pgMar w:top="2155" w:right="1134" w:bottom="964" w:left="1134" w:header="720" w:footer="284" w:gutter="0"/>
          <w:cols w:space="567"/>
          <w:noEndnote/>
          <w:docGrid w:linePitch="272"/>
        </w:sectPr>
      </w:pPr>
      <w:bookmarkStart w:id="366" w:name="_Toc102037834"/>
      <w:bookmarkStart w:id="367" w:name="_Toc102038196"/>
      <w:bookmarkStart w:id="368" w:name="_Toc102038557"/>
      <w:bookmarkStart w:id="369" w:name="_Toc102038917"/>
      <w:bookmarkStart w:id="370" w:name="_Toc102039269"/>
      <w:bookmarkStart w:id="371" w:name="_Toc102039624"/>
      <w:bookmarkStart w:id="372" w:name="_Toc102039981"/>
      <w:bookmarkStart w:id="373" w:name="_Toc102040306"/>
      <w:bookmarkStart w:id="374" w:name="_Toc102040640"/>
      <w:bookmarkStart w:id="375" w:name="_Toc102040968"/>
      <w:bookmarkStart w:id="376" w:name="_Toc102041298"/>
      <w:bookmarkStart w:id="377" w:name="_Toc102041630"/>
      <w:bookmarkStart w:id="378" w:name="_Toc102041957"/>
      <w:bookmarkStart w:id="379" w:name="_Toc102042286"/>
      <w:bookmarkStart w:id="380" w:name="_Toc102045416"/>
      <w:bookmarkStart w:id="381" w:name="howwework"/>
      <w:bookmarkStart w:id="382" w:name="_Hlk74221138"/>
      <w:r w:rsidRPr="00DF3006">
        <w:lastRenderedPageBreak/>
        <w:t xml:space="preserve">How we work </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FB91925" w14:textId="7870F5E4" w:rsidR="00703F5F" w:rsidRPr="00DF3006" w:rsidRDefault="00703F5F" w:rsidP="00E6066A">
      <w:pPr>
        <w:pStyle w:val="Heading3"/>
      </w:pPr>
      <w:bookmarkStart w:id="383" w:name="_Toc102037835"/>
      <w:bookmarkStart w:id="384" w:name="_Toc102038197"/>
      <w:bookmarkStart w:id="385" w:name="_Toc102038558"/>
      <w:bookmarkStart w:id="386" w:name="_Toc102038918"/>
      <w:bookmarkStart w:id="387" w:name="_Toc102039270"/>
      <w:bookmarkStart w:id="388" w:name="_Toc102039625"/>
      <w:bookmarkStart w:id="389" w:name="_Toc102039982"/>
      <w:bookmarkStart w:id="390" w:name="_Toc102040307"/>
      <w:bookmarkStart w:id="391" w:name="_Toc102040641"/>
      <w:bookmarkStart w:id="392" w:name="_Toc102040969"/>
      <w:bookmarkStart w:id="393" w:name="_Toc102041299"/>
      <w:bookmarkStart w:id="394" w:name="_Toc102041631"/>
      <w:bookmarkStart w:id="395" w:name="_Toc102041958"/>
      <w:bookmarkStart w:id="396" w:name="_Toc102042287"/>
      <w:bookmarkStart w:id="397" w:name="_Toc102045417"/>
      <w:bookmarkEnd w:id="381"/>
      <w:r w:rsidRPr="00DF3006">
        <w:t>Fighting major crime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24C2986A" w14:textId="6CD94217" w:rsidR="00126D9F" w:rsidRPr="00DF3006" w:rsidRDefault="00126D9F" w:rsidP="00126D9F">
      <w:pPr>
        <w:rPr>
          <w:color w:val="414042" w:themeColor="text1"/>
        </w:rPr>
      </w:pPr>
      <w:bookmarkStart w:id="398" w:name="_Toc102037836"/>
      <w:bookmarkStart w:id="399" w:name="_Toc102038198"/>
      <w:bookmarkStart w:id="400" w:name="_Toc102038559"/>
      <w:bookmarkStart w:id="401" w:name="_Toc102038919"/>
      <w:bookmarkStart w:id="402" w:name="_Toc102039271"/>
      <w:bookmarkStart w:id="403" w:name="_Toc102039626"/>
      <w:bookmarkStart w:id="404" w:name="_Toc102039983"/>
      <w:bookmarkStart w:id="405" w:name="_Toc102040308"/>
      <w:bookmarkStart w:id="406" w:name="_Toc102040642"/>
      <w:bookmarkStart w:id="407" w:name="_Toc102040970"/>
      <w:bookmarkStart w:id="408" w:name="_Toc102041300"/>
      <w:bookmarkStart w:id="409" w:name="_Toc102041632"/>
      <w:bookmarkStart w:id="410" w:name="_Toc102041959"/>
      <w:bookmarkStart w:id="411" w:name="_Toc102042288"/>
      <w:bookmarkStart w:id="412" w:name="_Toc102045418"/>
      <w:bookmarkStart w:id="413" w:name="_Hlk73708825"/>
      <w:bookmarkEnd w:id="382"/>
      <w:r w:rsidRPr="00DF3006">
        <w:rPr>
          <w:color w:val="414042" w:themeColor="text1"/>
        </w:rPr>
        <w:t>We undertake crime investigations and intelligence operations into serious and organised crime and can take action to confiscate the suspected proceeds or benefits derived from serious crimes. We may also engage our research, prevention, and intelligence functions to support these activities and, more broadly, our role in reducing the incidence of major crime.</w:t>
      </w:r>
    </w:p>
    <w:p w14:paraId="585DE237" w14:textId="77777777" w:rsidR="00126D9F" w:rsidRPr="00DF3006" w:rsidRDefault="00126D9F" w:rsidP="00126D9F">
      <w:pPr>
        <w:rPr>
          <w:color w:val="414042" w:themeColor="text1"/>
        </w:rPr>
      </w:pPr>
      <w:r w:rsidRPr="00DF3006">
        <w:rPr>
          <w:color w:val="414042" w:themeColor="text1"/>
        </w:rPr>
        <w:t>We focus our efforts on the criminals and criminal organisations who cause the most harm to our community through their serious criminal activities such as drug trafficking, money laundering, child sexual exploitation and homicide.</w:t>
      </w:r>
    </w:p>
    <w:p w14:paraId="24BC2B4D" w14:textId="77777777" w:rsidR="00126D9F" w:rsidRPr="00DF3006" w:rsidRDefault="00126D9F" w:rsidP="00126D9F">
      <w:pPr>
        <w:rPr>
          <w:color w:val="414042" w:themeColor="text1"/>
        </w:rPr>
      </w:pPr>
      <w:r w:rsidRPr="00DF3006">
        <w:rPr>
          <w:color w:val="414042" w:themeColor="text1"/>
        </w:rPr>
        <w:t>Our interdisciplinary teams and hearing powers provide a powerful capability for investigating crime and gathering critical intelligence. We use these capabilities to support our law enforcement partners by sharing intelligence and by assisting them to advance their investigations through securing otherwise unobtainable evidence and intelligence.</w:t>
      </w:r>
    </w:p>
    <w:p w14:paraId="7BBE45B9" w14:textId="025216B9" w:rsidR="00DA23C2" w:rsidRPr="00DF3006" w:rsidRDefault="00126D9F" w:rsidP="00DA23C2">
      <w:pPr>
        <w:rPr>
          <w:color w:val="414042" w:themeColor="text1"/>
        </w:rPr>
      </w:pPr>
      <w:r w:rsidRPr="00DF3006">
        <w:rPr>
          <w:color w:val="414042" w:themeColor="text1"/>
        </w:rPr>
        <w:t xml:space="preserve">Under the </w:t>
      </w:r>
      <w:r w:rsidRPr="00DF3006">
        <w:rPr>
          <w:i/>
          <w:iCs/>
          <w:color w:val="414042" w:themeColor="text1"/>
        </w:rPr>
        <w:t>Criminal Proceeds Confiscation Act 2002</w:t>
      </w:r>
      <w:r w:rsidRPr="00DF3006">
        <w:rPr>
          <w:color w:val="414042" w:themeColor="text1"/>
        </w:rPr>
        <w:t xml:space="preserve">, we are responsible for administering the civil confiscation scheme and serious drug offender confiscation order scheme. These schemes enable the removal of financial benefits from serious drug and other </w:t>
      </w:r>
      <w:r w:rsidR="00BF23FC" w:rsidRPr="00DF3006">
        <w:rPr>
          <w:color w:val="414042" w:themeColor="text1"/>
        </w:rPr>
        <w:t xml:space="preserve">serious </w:t>
      </w:r>
      <w:r w:rsidRPr="00DF3006">
        <w:rPr>
          <w:color w:val="414042" w:themeColor="text1"/>
        </w:rPr>
        <w:t>crime-related activity, which is a strong deterrent for those engaging or planning to engage in offending motivated by financial gain.</w:t>
      </w:r>
      <w:r w:rsidR="00DA23C2" w:rsidRPr="00DF3006">
        <w:rPr>
          <w:color w:val="414042" w:themeColor="text1"/>
        </w:rPr>
        <w:br w:type="column"/>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00DA23C2" w:rsidRPr="00DF3006">
        <w:rPr>
          <w:rFonts w:asciiTheme="minorHAnsi" w:eastAsia="Times New Roman" w:hAnsiTheme="minorHAnsi" w:cs="Times New Roman"/>
          <w:b/>
          <w:bCs/>
          <w:noProof/>
          <w:color w:val="414042" w:themeColor="text1"/>
          <w:sz w:val="28"/>
          <w:szCs w:val="28"/>
          <w:lang w:eastAsia="en-AU"/>
        </w:rPr>
        <w:t>Investigating corruption</w:t>
      </w:r>
    </w:p>
    <w:p w14:paraId="4D85D340" w14:textId="38ED0414" w:rsidR="00DA23C2" w:rsidRPr="00DF3006" w:rsidRDefault="00DA23C2" w:rsidP="00DA23C2">
      <w:pPr>
        <w:rPr>
          <w:color w:val="414042" w:themeColor="text1"/>
        </w:rPr>
      </w:pPr>
      <w:r w:rsidRPr="00DF3006">
        <w:rPr>
          <w:color w:val="414042" w:themeColor="text1"/>
        </w:rPr>
        <w:t>We investigate reports of corrupt conduct – in particular, more serious and/or systemic corrupt conduct affecting Queensland public sector agencies (also referred to as</w:t>
      </w:r>
      <w:r w:rsidR="00984309" w:rsidRPr="00DF3006">
        <w:rPr>
          <w:color w:val="414042" w:themeColor="text1"/>
        </w:rPr>
        <w:t xml:space="preserve"> </w:t>
      </w:r>
      <w:r w:rsidR="00171435" w:rsidRPr="00DF3006">
        <w:rPr>
          <w:color w:val="414042" w:themeColor="text1"/>
        </w:rPr>
        <w:t>UPA</w:t>
      </w:r>
      <w:r w:rsidR="00150080" w:rsidRPr="00DF3006">
        <w:rPr>
          <w:color w:val="414042" w:themeColor="text1"/>
        </w:rPr>
        <w:t>s</w:t>
      </w:r>
      <w:r w:rsidRPr="00DF3006">
        <w:rPr>
          <w:rStyle w:val="FootnoteReference"/>
          <w:color w:val="414042" w:themeColor="text1"/>
        </w:rPr>
        <w:footnoteReference w:id="1"/>
      </w:r>
      <w:r w:rsidRPr="00DF3006">
        <w:rPr>
          <w:color w:val="414042" w:themeColor="text1"/>
        </w:rPr>
        <w:t xml:space="preserve">). This corrupt conduct can come in many forms but includes a range of actions where influence, confidential information or official resources are used for personal gain. Common examples of the matters we manage include fraud and theft, extortion, unauthorised access to confidential information, excessive use of force/assault, abuse of authority and </w:t>
      </w:r>
      <w:r w:rsidR="00101231" w:rsidRPr="00DF3006">
        <w:rPr>
          <w:color w:val="414042" w:themeColor="text1"/>
        </w:rPr>
        <w:t>favouritism</w:t>
      </w:r>
      <w:r w:rsidRPr="00DF3006">
        <w:rPr>
          <w:color w:val="414042" w:themeColor="text1"/>
        </w:rPr>
        <w:t>.</w:t>
      </w:r>
    </w:p>
    <w:p w14:paraId="7C027FA1" w14:textId="531ECAF8" w:rsidR="00C54E1D" w:rsidRPr="00DF3006" w:rsidRDefault="00C54E1D" w:rsidP="00C54E1D">
      <w:pPr>
        <w:rPr>
          <w:color w:val="414042" w:themeColor="text1"/>
        </w:rPr>
      </w:pPr>
      <w:r w:rsidRPr="00DF3006">
        <w:rPr>
          <w:color w:val="414042" w:themeColor="text1"/>
        </w:rPr>
        <w:t xml:space="preserve">The complaints that we receive (including notifications from </w:t>
      </w:r>
      <w:r w:rsidR="00984309" w:rsidRPr="00DF3006">
        <w:rPr>
          <w:color w:val="414042" w:themeColor="text1"/>
        </w:rPr>
        <w:t xml:space="preserve">a </w:t>
      </w:r>
      <w:r w:rsidRPr="00DF3006">
        <w:rPr>
          <w:color w:val="414042" w:themeColor="text1"/>
        </w:rPr>
        <w:t>UPA) are the principal starting point for most of our investigations. We cannot investigate every matter ourselves. Our legislation mandates that we focus on the most serious and systemic issues of corruption and so, in line with our legislation, we refer a significant body of complaints to other agencies for their action, using various mechanisms to monitor and give feedback on their management of complaints. By doing so, we ensure agencies’ accountability for both the integrity of their investigations and their outcomes, to increase public confidence in the workings of the public sector.</w:t>
      </w:r>
    </w:p>
    <w:p w14:paraId="39069634" w14:textId="512CD5EA" w:rsidR="00703F5F" w:rsidRPr="00DF3006" w:rsidRDefault="00DA23C2" w:rsidP="00E222BF">
      <w:pPr>
        <w:rPr>
          <w:color w:val="414042" w:themeColor="text1"/>
        </w:rPr>
      </w:pPr>
      <w:r w:rsidRPr="00DF3006">
        <w:rPr>
          <w:color w:val="414042" w:themeColor="text1"/>
        </w:rPr>
        <w:t xml:space="preserve">Each stage of the complaints process — intake and assessment, referral, monitoring, </w:t>
      </w:r>
      <w:proofErr w:type="gramStart"/>
      <w:r w:rsidRPr="00DF3006">
        <w:rPr>
          <w:color w:val="414042" w:themeColor="text1"/>
        </w:rPr>
        <w:t>investigation</w:t>
      </w:r>
      <w:proofErr w:type="gramEnd"/>
      <w:r w:rsidRPr="00DF3006">
        <w:rPr>
          <w:color w:val="414042" w:themeColor="text1"/>
        </w:rPr>
        <w:t xml:space="preserve"> and outcome — also provides us with valuable insights about conduct, attitudes and corruption risks within Queensland’s public sector. Strategic intelligence, research and data analysis all enable us to determine where we need to focus our own resources, </w:t>
      </w:r>
      <w:proofErr w:type="gramStart"/>
      <w:r w:rsidRPr="00DF3006">
        <w:rPr>
          <w:color w:val="414042" w:themeColor="text1"/>
        </w:rPr>
        <w:t>expertise</w:t>
      </w:r>
      <w:proofErr w:type="gramEnd"/>
      <w:r w:rsidRPr="00DF3006">
        <w:rPr>
          <w:color w:val="414042" w:themeColor="text1"/>
        </w:rPr>
        <w:t xml:space="preserve"> and use of special powers, and how we can best support agencies to deal with their own integrity challenges.</w:t>
      </w:r>
    </w:p>
    <w:p w14:paraId="583A571D" w14:textId="77777777" w:rsidR="0051033A" w:rsidRPr="00DF3006" w:rsidRDefault="0051033A" w:rsidP="00E222BF">
      <w:pPr>
        <w:rPr>
          <w:color w:val="414042" w:themeColor="text1"/>
        </w:rPr>
      </w:pPr>
    </w:p>
    <w:p w14:paraId="2F196289" w14:textId="3FBD322A" w:rsidR="0051033A" w:rsidRPr="00DF3006" w:rsidRDefault="0051033A" w:rsidP="00E222BF">
      <w:pPr>
        <w:rPr>
          <w:color w:val="414042" w:themeColor="text1"/>
        </w:rPr>
        <w:sectPr w:rsidR="0051033A" w:rsidRPr="00DF3006" w:rsidSect="00C77834">
          <w:type w:val="continuous"/>
          <w:pgSz w:w="11906" w:h="16838" w:code="9"/>
          <w:pgMar w:top="2155" w:right="1134" w:bottom="964" w:left="1134" w:header="720" w:footer="284" w:gutter="0"/>
          <w:cols w:num="2" w:space="567"/>
          <w:noEndnote/>
          <w:docGrid w:linePitch="272"/>
          <w15:footnoteColumns w:val="1"/>
        </w:sectPr>
      </w:pPr>
    </w:p>
    <w:p w14:paraId="6362AB68" w14:textId="77777777" w:rsidR="00811C7B" w:rsidRPr="00DF3006" w:rsidRDefault="00811C7B" w:rsidP="00E6066A">
      <w:pPr>
        <w:pStyle w:val="Heading3"/>
        <w:sectPr w:rsidR="00811C7B" w:rsidRPr="00DF3006" w:rsidSect="00C77834">
          <w:headerReference w:type="even" r:id="rId86"/>
          <w:headerReference w:type="default" r:id="rId87"/>
          <w:footerReference w:type="default" r:id="rId88"/>
          <w:headerReference w:type="first" r:id="rId89"/>
          <w:type w:val="continuous"/>
          <w:pgSz w:w="11906" w:h="16838" w:code="9"/>
          <w:pgMar w:top="2155" w:right="1134" w:bottom="964" w:left="1134" w:header="720" w:footer="284" w:gutter="0"/>
          <w:cols w:num="2" w:space="567"/>
          <w:noEndnote/>
          <w:docGrid w:linePitch="272"/>
        </w:sectPr>
      </w:pPr>
      <w:bookmarkStart w:id="414" w:name="_Toc102037837"/>
      <w:bookmarkStart w:id="415" w:name="_Toc102038199"/>
      <w:bookmarkStart w:id="416" w:name="_Toc102038560"/>
      <w:bookmarkStart w:id="417" w:name="_Toc102038920"/>
      <w:bookmarkStart w:id="418" w:name="_Toc102039272"/>
      <w:bookmarkStart w:id="419" w:name="_Toc102039627"/>
      <w:bookmarkStart w:id="420" w:name="_Toc102039984"/>
      <w:bookmarkStart w:id="421" w:name="_Toc102040309"/>
      <w:bookmarkStart w:id="422" w:name="_Toc102040643"/>
      <w:bookmarkStart w:id="423" w:name="_Toc102040971"/>
      <w:bookmarkStart w:id="424" w:name="_Toc102041301"/>
      <w:bookmarkStart w:id="425" w:name="_Toc102041633"/>
      <w:bookmarkStart w:id="426" w:name="_Toc102041960"/>
      <w:bookmarkStart w:id="427" w:name="_Toc102042289"/>
      <w:bookmarkStart w:id="428" w:name="_Toc102045419"/>
      <w:bookmarkStart w:id="429" w:name="_Hlk74221206"/>
    </w:p>
    <w:p w14:paraId="2C508907" w14:textId="5C032CF1" w:rsidR="00703F5F" w:rsidRPr="00DF3006" w:rsidRDefault="00703F5F" w:rsidP="00E6066A">
      <w:pPr>
        <w:pStyle w:val="Heading3"/>
      </w:pPr>
      <w:r w:rsidRPr="00DF3006">
        <w:lastRenderedPageBreak/>
        <w:t>Preventing crime and corruption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bookmarkEnd w:id="429"/>
    <w:p w14:paraId="62544D00" w14:textId="792BC0E2" w:rsidR="00B53F17" w:rsidRPr="00DF3006" w:rsidRDefault="00E277FC" w:rsidP="00B53F17">
      <w:pPr>
        <w:rPr>
          <w:color w:val="414042" w:themeColor="text1"/>
        </w:rPr>
      </w:pPr>
      <w:r w:rsidRPr="00DF3006">
        <w:rPr>
          <w:color w:val="414042" w:themeColor="text1"/>
        </w:rPr>
        <w:t xml:space="preserve">The CCC takes a proactive approach to </w:t>
      </w:r>
      <w:r w:rsidR="00B53F17" w:rsidRPr="00DF3006">
        <w:rPr>
          <w:color w:val="414042" w:themeColor="text1"/>
        </w:rPr>
        <w:t>reducing the incidence of major crime and corruption within the Queensland community. We work collaboratively with our key stakeholders by sharing information and building capability for identifying and preventing major crime and corruption.</w:t>
      </w:r>
    </w:p>
    <w:p w14:paraId="571ADD07" w14:textId="77777777" w:rsidR="00B53F17" w:rsidRPr="00DF3006" w:rsidRDefault="00B53F17" w:rsidP="00B53F17">
      <w:pPr>
        <w:rPr>
          <w:color w:val="414042" w:themeColor="text1"/>
        </w:rPr>
      </w:pPr>
      <w:r w:rsidRPr="00DF3006">
        <w:rPr>
          <w:color w:val="414042" w:themeColor="text1"/>
        </w:rPr>
        <w:t>Our considered approach to prevention ensures we respond effectively to emerging crime and corruption risks, and the risks with the highest potential impact on the Queensland community.</w:t>
      </w:r>
    </w:p>
    <w:p w14:paraId="5589F15C" w14:textId="77777777" w:rsidR="00126D9F" w:rsidRPr="00DF3006" w:rsidRDefault="00126D9F" w:rsidP="00126D9F">
      <w:pPr>
        <w:rPr>
          <w:color w:val="414042" w:themeColor="text1"/>
        </w:rPr>
      </w:pPr>
      <w:r w:rsidRPr="00DF3006">
        <w:rPr>
          <w:color w:val="414042" w:themeColor="text1"/>
        </w:rPr>
        <w:t xml:space="preserve">We work to prevent major crime by gathering critical intelligence and information about the methods </w:t>
      </w:r>
      <w:r w:rsidRPr="00DF3006">
        <w:rPr>
          <w:color w:val="414042" w:themeColor="text1"/>
        </w:rPr>
        <w:br/>
        <w:t>and systems that criminal organisations and their participants use. We work with this information ourselves and share it with our law enforcement partners to support the disruption of criminal activity. We work to remove the financial incentives for engaging in criminal activities, which also prevents the reinvestment of these profits to support ongoing criminal activities.</w:t>
      </w:r>
    </w:p>
    <w:p w14:paraId="3809C581" w14:textId="65ACB9CB" w:rsidR="00811D1D" w:rsidRPr="00DF3006" w:rsidRDefault="00811D1D" w:rsidP="00811D1D">
      <w:pPr>
        <w:rPr>
          <w:color w:val="414042" w:themeColor="text1"/>
          <w:spacing w:val="-6"/>
        </w:rPr>
      </w:pPr>
      <w:r w:rsidRPr="00DF3006">
        <w:rPr>
          <w:color w:val="414042" w:themeColor="text1"/>
          <w:spacing w:val="-6"/>
        </w:rPr>
        <w:t xml:space="preserve">Our corruption prevention work encourages ongoing commitment to ethical behaviour and transparency across the public sector.  The lessons from our assessments, investigations, intelligence </w:t>
      </w:r>
      <w:r w:rsidR="00A221BE" w:rsidRPr="00DF3006">
        <w:rPr>
          <w:color w:val="414042" w:themeColor="text1"/>
          <w:spacing w:val="-6"/>
        </w:rPr>
        <w:t>gathering,</w:t>
      </w:r>
      <w:r w:rsidRPr="00DF3006">
        <w:rPr>
          <w:color w:val="414042" w:themeColor="text1"/>
          <w:spacing w:val="-6"/>
        </w:rPr>
        <w:t xml:space="preserve"> and audits are shared through advisory materials, campaigns and presentations for agency executives and staff on areas of high corruption risk. Our publications and resources are never an end in themselves — as well as providing a body of authoritative material for agencies to refer to, they are also used to prompt engagement or enable more in-depth strategy development. Our goal is to empower leaders, </w:t>
      </w:r>
      <w:proofErr w:type="gramStart"/>
      <w:r w:rsidRPr="00DF3006">
        <w:rPr>
          <w:color w:val="414042" w:themeColor="text1"/>
          <w:spacing w:val="-6"/>
        </w:rPr>
        <w:t>managers</w:t>
      </w:r>
      <w:proofErr w:type="gramEnd"/>
      <w:r w:rsidRPr="00DF3006">
        <w:rPr>
          <w:color w:val="414042" w:themeColor="text1"/>
          <w:spacing w:val="-6"/>
        </w:rPr>
        <w:t xml:space="preserve"> and supervisors at all levels to identify and correct risk behaviours before they escalate to actual corruption.</w:t>
      </w:r>
    </w:p>
    <w:p w14:paraId="3D968354" w14:textId="2B9A28B7" w:rsidR="002B0561" w:rsidRPr="00DF3006" w:rsidRDefault="002B0561" w:rsidP="00131A83">
      <w:pPr>
        <w:rPr>
          <w:color w:val="414042" w:themeColor="text1"/>
        </w:rPr>
      </w:pPr>
      <w:r w:rsidRPr="00DF3006">
        <w:rPr>
          <w:color w:val="414042" w:themeColor="text1"/>
        </w:rPr>
        <w:t>At the completion of investigations, our reports enable us to highlight types of conduct or system weaknesses that could give rise to future corruption, and we may make recommendations for procedural or legislative reform.</w:t>
      </w:r>
      <w:r w:rsidR="00131A83" w:rsidRPr="00DF3006">
        <w:rPr>
          <w:color w:val="414042" w:themeColor="text1"/>
        </w:rPr>
        <w:br w:type="column"/>
      </w:r>
      <w:bookmarkStart w:id="430" w:name="_Toc102037838"/>
      <w:bookmarkStart w:id="431" w:name="_Toc102038200"/>
      <w:bookmarkStart w:id="432" w:name="_Toc102038561"/>
      <w:bookmarkStart w:id="433" w:name="_Toc102038921"/>
      <w:bookmarkStart w:id="434" w:name="_Toc102039273"/>
      <w:bookmarkStart w:id="435" w:name="_Toc102039628"/>
      <w:bookmarkStart w:id="436" w:name="_Toc102039985"/>
      <w:bookmarkStart w:id="437" w:name="_Toc102040310"/>
      <w:bookmarkStart w:id="438" w:name="_Toc102040644"/>
      <w:bookmarkStart w:id="439" w:name="_Toc102040972"/>
      <w:bookmarkStart w:id="440" w:name="_Toc102041302"/>
      <w:bookmarkStart w:id="441" w:name="_Toc102041634"/>
      <w:bookmarkStart w:id="442" w:name="_Toc102041961"/>
      <w:bookmarkStart w:id="443" w:name="_Toc102042290"/>
      <w:bookmarkStart w:id="444" w:name="_Toc102045420"/>
      <w:bookmarkStart w:id="445" w:name="_Hlk74221219"/>
      <w:r w:rsidRPr="00DF3006">
        <w:rPr>
          <w:rFonts w:asciiTheme="minorHAnsi" w:eastAsia="Times New Roman" w:hAnsiTheme="minorHAnsi" w:cs="Times New Roman"/>
          <w:b/>
          <w:bCs/>
          <w:noProof/>
          <w:color w:val="414042" w:themeColor="text1"/>
          <w:sz w:val="28"/>
          <w:szCs w:val="28"/>
          <w:lang w:eastAsia="en-AU"/>
        </w:rPr>
        <w:t>Our powers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5238FB84" w14:textId="55FEBB4A" w:rsidR="002B0561" w:rsidRPr="00DF3006" w:rsidRDefault="002B0561" w:rsidP="00463FBB">
      <w:pPr>
        <w:pStyle w:val="Heading4"/>
      </w:pPr>
      <w:bookmarkStart w:id="446" w:name="_Toc102037839"/>
      <w:bookmarkStart w:id="447" w:name="_Toc102038201"/>
      <w:bookmarkStart w:id="448" w:name="_Toc102038562"/>
      <w:bookmarkStart w:id="449" w:name="_Toc102038922"/>
      <w:bookmarkStart w:id="450" w:name="_Toc102039274"/>
      <w:bookmarkStart w:id="451" w:name="_Toc102039629"/>
      <w:bookmarkStart w:id="452" w:name="_Toc102039986"/>
      <w:bookmarkStart w:id="453" w:name="_Toc102040311"/>
      <w:bookmarkStart w:id="454" w:name="_Toc102040645"/>
      <w:bookmarkStart w:id="455" w:name="_Toc102040973"/>
      <w:bookmarkStart w:id="456" w:name="_Toc102041303"/>
      <w:bookmarkStart w:id="457" w:name="_Toc102041635"/>
      <w:bookmarkStart w:id="458" w:name="_Toc102041962"/>
      <w:bookmarkStart w:id="459" w:name="_Toc102042291"/>
      <w:bookmarkStart w:id="460" w:name="_Toc102045421"/>
      <w:bookmarkEnd w:id="445"/>
      <w:r w:rsidRPr="00DF3006">
        <w:t>Coercive powers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6F15D429" w14:textId="14F349DD" w:rsidR="002B0561" w:rsidRPr="00DF3006" w:rsidRDefault="00407CC2" w:rsidP="00E55158">
      <w:pPr>
        <w:rPr>
          <w:color w:val="414042" w:themeColor="text1"/>
        </w:rPr>
      </w:pPr>
      <w:r w:rsidRPr="00DF3006">
        <w:rPr>
          <w:color w:val="414042" w:themeColor="text1"/>
        </w:rPr>
        <w:t xml:space="preserve">In accordance with the </w:t>
      </w:r>
      <w:r w:rsidRPr="00DF3006">
        <w:rPr>
          <w:i/>
          <w:iCs/>
          <w:color w:val="414042" w:themeColor="text1"/>
        </w:rPr>
        <w:t>Crime and Corruption Act 2001</w:t>
      </w:r>
      <w:r w:rsidRPr="00DF3006">
        <w:rPr>
          <w:color w:val="414042" w:themeColor="text1"/>
        </w:rPr>
        <w:t>, the</w:t>
      </w:r>
      <w:r w:rsidR="002B0561" w:rsidRPr="00DF3006">
        <w:rPr>
          <w:color w:val="414042" w:themeColor="text1"/>
        </w:rPr>
        <w:t xml:space="preserve"> CCC can hold hearings in aid of our investigations. Witnesses must attend and answer questions, even if the answer is self-incriminating. We also have the power to compel people or agencies to produce records or other items.</w:t>
      </w:r>
    </w:p>
    <w:p w14:paraId="33792799" w14:textId="77777777" w:rsidR="002B0561" w:rsidRPr="00DF3006" w:rsidRDefault="002B0561" w:rsidP="00E55158">
      <w:pPr>
        <w:rPr>
          <w:color w:val="414042" w:themeColor="text1"/>
        </w:rPr>
      </w:pPr>
      <w:r w:rsidRPr="00DF3006">
        <w:rPr>
          <w:color w:val="414042" w:themeColor="text1"/>
        </w:rPr>
        <w:t>Our coercive hearing powers allow us to obtain new information and evidence that can advance complex crime and corruption investigations, as well as improve our understanding of organised crime involvement in criminal activity.</w:t>
      </w:r>
    </w:p>
    <w:p w14:paraId="49F0F86A" w14:textId="77777777" w:rsidR="002B0561" w:rsidRPr="00DF3006" w:rsidRDefault="002B0561" w:rsidP="00E55158">
      <w:pPr>
        <w:rPr>
          <w:color w:val="414042" w:themeColor="text1"/>
          <w:spacing w:val="-4"/>
        </w:rPr>
      </w:pPr>
      <w:r w:rsidRPr="00DF3006">
        <w:rPr>
          <w:color w:val="414042" w:themeColor="text1"/>
          <w:spacing w:val="-4"/>
        </w:rPr>
        <w:t>These powers are used both in corruption investigations and major crime investigations, including those investigating organised crime and money laundering. Our ability to compel the production of documents may also be used for our confiscation investigations.</w:t>
      </w:r>
    </w:p>
    <w:p w14:paraId="3C76E090" w14:textId="77777777" w:rsidR="002B0561" w:rsidRPr="00DF3006" w:rsidRDefault="002B0561" w:rsidP="00E55158">
      <w:pPr>
        <w:rPr>
          <w:color w:val="414042" w:themeColor="text1"/>
          <w:spacing w:val="-4"/>
        </w:rPr>
      </w:pPr>
      <w:r w:rsidRPr="00DF3006">
        <w:rPr>
          <w:color w:val="414042" w:themeColor="text1"/>
          <w:spacing w:val="-4"/>
        </w:rPr>
        <w:t>We use coercive hearing powers not only for our own investigations, but also in joint investigations when police request assistance with serious crime investigations that cannot be advanced using traditional policing powers.</w:t>
      </w:r>
    </w:p>
    <w:p w14:paraId="3791B6ED" w14:textId="77777777" w:rsidR="002B0561" w:rsidRPr="00DF3006" w:rsidRDefault="002B0561" w:rsidP="00463FBB">
      <w:pPr>
        <w:pStyle w:val="Heading4"/>
      </w:pPr>
      <w:bookmarkStart w:id="461" w:name="_Toc102037840"/>
      <w:bookmarkStart w:id="462" w:name="_Toc102038202"/>
      <w:bookmarkStart w:id="463" w:name="_Toc102038563"/>
      <w:bookmarkStart w:id="464" w:name="_Toc102038923"/>
      <w:bookmarkStart w:id="465" w:name="_Toc102039275"/>
      <w:bookmarkStart w:id="466" w:name="_Toc102039630"/>
      <w:bookmarkStart w:id="467" w:name="_Toc102039987"/>
      <w:bookmarkStart w:id="468" w:name="_Toc102040312"/>
      <w:bookmarkStart w:id="469" w:name="_Toc102040646"/>
      <w:bookmarkStart w:id="470" w:name="_Toc102040974"/>
      <w:bookmarkStart w:id="471" w:name="_Toc102041304"/>
      <w:bookmarkStart w:id="472" w:name="_Toc102041636"/>
      <w:bookmarkStart w:id="473" w:name="_Toc102041963"/>
      <w:bookmarkStart w:id="474" w:name="_Toc102042292"/>
      <w:bookmarkStart w:id="475" w:name="_Toc102045422"/>
      <w:bookmarkStart w:id="476" w:name="_Hlk137197859"/>
      <w:r w:rsidRPr="00DF3006">
        <w:t xml:space="preserve">Power to conduct a public </w:t>
      </w:r>
      <w:proofErr w:type="gramStart"/>
      <w:r w:rsidRPr="00DF3006">
        <w:t>inquiry</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roofErr w:type="gramEnd"/>
    </w:p>
    <w:p w14:paraId="6C2367EE" w14:textId="218087ED" w:rsidR="002B0561" w:rsidRPr="00DF3006" w:rsidRDefault="002B0561" w:rsidP="00E55158">
      <w:pPr>
        <w:rPr>
          <w:b/>
          <w:bCs/>
          <w:color w:val="414042" w:themeColor="text1"/>
          <w:spacing w:val="-4"/>
        </w:rPr>
      </w:pPr>
      <w:r w:rsidRPr="00DF3006">
        <w:rPr>
          <w:color w:val="414042" w:themeColor="text1"/>
          <w:spacing w:val="-4"/>
        </w:rPr>
        <w:t xml:space="preserve">When we identify </w:t>
      </w:r>
      <w:r w:rsidR="00A615E4" w:rsidRPr="00DF3006">
        <w:rPr>
          <w:color w:val="414042" w:themeColor="text1"/>
          <w:spacing w:val="-4"/>
        </w:rPr>
        <w:t xml:space="preserve">serious or </w:t>
      </w:r>
      <w:r w:rsidRPr="00DF3006">
        <w:rPr>
          <w:color w:val="414042" w:themeColor="text1"/>
          <w:spacing w:val="-4"/>
        </w:rPr>
        <w:t>systemic corruption with the potential to reduce public confidence in fundamental systems of public administration and government, we have the power to conduct a public inquiry. Public exposure of systemic issues allows for wider gathering of evidence and information on which to base recommendations than can be achieved in a normal investigation.</w:t>
      </w:r>
    </w:p>
    <w:p w14:paraId="2556FA64" w14:textId="5B94BA62" w:rsidR="002B0561" w:rsidRPr="00DF3006" w:rsidRDefault="002B0561" w:rsidP="00463FBB">
      <w:pPr>
        <w:pStyle w:val="Heading4"/>
      </w:pPr>
      <w:bookmarkStart w:id="477" w:name="_Toc102037841"/>
      <w:bookmarkStart w:id="478" w:name="_Toc102038203"/>
      <w:bookmarkStart w:id="479" w:name="_Toc102038564"/>
      <w:bookmarkStart w:id="480" w:name="_Toc102038924"/>
      <w:bookmarkStart w:id="481" w:name="_Toc102039276"/>
      <w:bookmarkStart w:id="482" w:name="_Toc102039631"/>
      <w:bookmarkStart w:id="483" w:name="_Toc102039988"/>
      <w:bookmarkStart w:id="484" w:name="_Toc102040313"/>
      <w:bookmarkStart w:id="485" w:name="_Toc102040647"/>
      <w:bookmarkStart w:id="486" w:name="_Toc102040975"/>
      <w:bookmarkStart w:id="487" w:name="_Toc102041305"/>
      <w:bookmarkStart w:id="488" w:name="_Toc102041637"/>
      <w:bookmarkStart w:id="489" w:name="_Toc102041964"/>
      <w:bookmarkStart w:id="490" w:name="_Toc102042293"/>
      <w:bookmarkStart w:id="491" w:name="_Toc102045423"/>
      <w:bookmarkEnd w:id="476"/>
      <w:r w:rsidRPr="00DF3006">
        <w:t>Limits to our powers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14D09B95" w14:textId="27C43599" w:rsidR="002B0561" w:rsidRPr="00DF3006" w:rsidRDefault="002B0561" w:rsidP="00E55158">
      <w:pPr>
        <w:rPr>
          <w:color w:val="414042" w:themeColor="text1"/>
          <w:spacing w:val="-4"/>
        </w:rPr>
      </w:pPr>
      <w:r w:rsidRPr="00DF3006">
        <w:rPr>
          <w:color w:val="414042" w:themeColor="text1"/>
          <w:spacing w:val="-4"/>
        </w:rPr>
        <w:t xml:space="preserve">We investigate matters and gather evidence but do not determine guilt or take disciplinary action. </w:t>
      </w:r>
      <w:r w:rsidR="00846D5C" w:rsidRPr="00DF3006">
        <w:rPr>
          <w:color w:val="414042" w:themeColor="text1"/>
          <w:spacing w:val="-4"/>
        </w:rPr>
        <w:t xml:space="preserve">The </w:t>
      </w:r>
      <w:r w:rsidRPr="00DF3006">
        <w:rPr>
          <w:color w:val="414042" w:themeColor="text1"/>
          <w:spacing w:val="-4"/>
        </w:rPr>
        <w:t xml:space="preserve">QPS officers seconded to our agency retain their police powers (under the </w:t>
      </w:r>
      <w:r w:rsidRPr="00DF3006">
        <w:rPr>
          <w:i/>
          <w:iCs/>
          <w:color w:val="414042" w:themeColor="text1"/>
          <w:spacing w:val="-4"/>
        </w:rPr>
        <w:t>Police Powers and Responsibilities Act 2000</w:t>
      </w:r>
      <w:r w:rsidRPr="00DF3006">
        <w:rPr>
          <w:color w:val="414042" w:themeColor="text1"/>
          <w:spacing w:val="-4"/>
        </w:rPr>
        <w:t>). These officers may charge an individual with one or more offences based on sufficient evidence, reasonable prospects of a successful prosecution, and if such action</w:t>
      </w:r>
      <w:r w:rsidRPr="00DF3006">
        <w:rPr>
          <w:color w:val="414042" w:themeColor="text1"/>
          <w:spacing w:val="-4"/>
        </w:rPr>
        <w:br/>
      </w:r>
      <w:proofErr w:type="gramStart"/>
      <w:r w:rsidRPr="00DF3006">
        <w:rPr>
          <w:color w:val="414042" w:themeColor="text1"/>
          <w:spacing w:val="-4"/>
        </w:rPr>
        <w:t>is considered to be</w:t>
      </w:r>
      <w:proofErr w:type="gramEnd"/>
      <w:r w:rsidRPr="00DF3006">
        <w:rPr>
          <w:color w:val="414042" w:themeColor="text1"/>
          <w:spacing w:val="-4"/>
        </w:rPr>
        <w:t xml:space="preserve"> in the public interest.</w:t>
      </w:r>
    </w:p>
    <w:p w14:paraId="21ED6106" w14:textId="1ABC341E" w:rsidR="002B0561" w:rsidRPr="00DF3006" w:rsidRDefault="002B0561" w:rsidP="00E55158">
      <w:pPr>
        <w:rPr>
          <w:color w:val="414042" w:themeColor="text1"/>
          <w:spacing w:val="-4"/>
        </w:rPr>
      </w:pPr>
      <w:r w:rsidRPr="00DF3006">
        <w:rPr>
          <w:color w:val="414042" w:themeColor="text1"/>
          <w:spacing w:val="-4"/>
        </w:rPr>
        <w:t>Where charges are laid, the prosecution will be conducted by a QPS prosecutor or the ODPP, depending on the jurisdiction in which proceedings are commenced and the seriousness of the alleged offences.</w:t>
      </w:r>
    </w:p>
    <w:p w14:paraId="558E293E" w14:textId="2AAFD801" w:rsidR="002B0561" w:rsidRPr="00DF3006" w:rsidRDefault="002B0561" w:rsidP="00E55158">
      <w:pPr>
        <w:rPr>
          <w:color w:val="414042" w:themeColor="text1"/>
          <w:spacing w:val="-4"/>
        </w:rPr>
        <w:sectPr w:rsidR="002B0561" w:rsidRPr="00DF3006" w:rsidSect="00C77834">
          <w:pgSz w:w="11906" w:h="16838" w:code="9"/>
          <w:pgMar w:top="2155" w:right="1134" w:bottom="964" w:left="1134" w:header="720" w:footer="284" w:gutter="0"/>
          <w:cols w:num="2" w:space="567"/>
          <w:noEndnote/>
          <w:docGrid w:linePitch="272"/>
        </w:sectPr>
      </w:pPr>
      <w:r w:rsidRPr="00DF3006">
        <w:rPr>
          <w:color w:val="414042" w:themeColor="text1"/>
          <w:spacing w:val="-4"/>
        </w:rPr>
        <w:t xml:space="preserve">Following a corruption investigation, we may also refer matters to the head of a public sector agency for consideration of disciplinary </w:t>
      </w:r>
      <w:proofErr w:type="gramStart"/>
      <w:r w:rsidRPr="00DF3006">
        <w:rPr>
          <w:color w:val="414042" w:themeColor="text1"/>
          <w:spacing w:val="-4"/>
        </w:rPr>
        <w:t>action, or</w:t>
      </w:r>
      <w:proofErr w:type="gramEnd"/>
      <w:r w:rsidRPr="00DF3006">
        <w:rPr>
          <w:color w:val="414042" w:themeColor="text1"/>
          <w:spacing w:val="-4"/>
        </w:rPr>
        <w:t xml:space="preserve"> commence a corrupt conduct prosecution ourselves in the Queensland Civil and Administrative Tribunal. </w:t>
      </w:r>
    </w:p>
    <w:p w14:paraId="7D6A301A" w14:textId="4948B557" w:rsidR="00703F5F" w:rsidRPr="00DF3006" w:rsidRDefault="00703F5F" w:rsidP="00703F5F">
      <w:pPr>
        <w:rPr>
          <w:color w:val="414042" w:themeColor="text1"/>
        </w:rPr>
        <w:sectPr w:rsidR="00703F5F" w:rsidRPr="00DF3006" w:rsidSect="00C77834">
          <w:type w:val="continuous"/>
          <w:pgSz w:w="11906" w:h="16838" w:code="9"/>
          <w:pgMar w:top="2155" w:right="1134" w:bottom="964" w:left="1134" w:header="720" w:footer="284" w:gutter="0"/>
          <w:cols w:space="567"/>
          <w:noEndnote/>
          <w:docGrid w:linePitch="272"/>
        </w:sectPr>
      </w:pPr>
    </w:p>
    <w:p w14:paraId="3FFFB264" w14:textId="5C98F4D7" w:rsidR="00D6193C" w:rsidRPr="00DF3006" w:rsidRDefault="00D6193C" w:rsidP="00D6193C">
      <w:pPr>
        <w:pStyle w:val="Heading1"/>
      </w:pPr>
      <w:bookmarkStart w:id="492" w:name="_2022–23_at_a"/>
      <w:bookmarkStart w:id="493" w:name="_Toc102037860"/>
      <w:bookmarkStart w:id="494" w:name="_Toc102038222"/>
      <w:bookmarkStart w:id="495" w:name="_Toc102038583"/>
      <w:bookmarkStart w:id="496" w:name="_Toc102038943"/>
      <w:bookmarkStart w:id="497" w:name="_Toc102039295"/>
      <w:bookmarkStart w:id="498" w:name="_Toc102039650"/>
      <w:bookmarkStart w:id="499" w:name="_Toc102040007"/>
      <w:bookmarkStart w:id="500" w:name="_Toc102040332"/>
      <w:bookmarkStart w:id="501" w:name="_Toc102040666"/>
      <w:bookmarkStart w:id="502" w:name="_Toc102040994"/>
      <w:bookmarkStart w:id="503" w:name="_Toc102041324"/>
      <w:bookmarkStart w:id="504" w:name="_Toc102041656"/>
      <w:bookmarkStart w:id="505" w:name="_Toc102041983"/>
      <w:bookmarkStart w:id="506" w:name="_Toc102042312"/>
      <w:bookmarkStart w:id="507" w:name="_Toc102045442"/>
      <w:bookmarkEnd w:id="492"/>
      <w:r w:rsidRPr="00DF3006">
        <w:lastRenderedPageBreak/>
        <w:t xml:space="preserve">2022–23 </w:t>
      </w:r>
      <w:proofErr w:type="gramStart"/>
      <w:r w:rsidRPr="00DF3006">
        <w:t>at a glance</w:t>
      </w:r>
      <w:proofErr w:type="gramEnd"/>
    </w:p>
    <w:tbl>
      <w:tblPr>
        <w:tblW w:w="4846" w:type="pct"/>
        <w:tblBorders>
          <w:insideH w:val="single" w:sz="12" w:space="0" w:color="FFFFFF" w:themeColor="background1"/>
        </w:tblBorders>
        <w:tblLook w:val="04A0" w:firstRow="1" w:lastRow="0" w:firstColumn="1" w:lastColumn="0" w:noHBand="0" w:noVBand="1"/>
      </w:tblPr>
      <w:tblGrid>
        <w:gridCol w:w="7833"/>
        <w:gridCol w:w="1508"/>
      </w:tblGrid>
      <w:tr w:rsidR="00DF3006" w:rsidRPr="00DF3006" w14:paraId="797AAF78" w14:textId="77777777" w:rsidTr="008377FC">
        <w:tc>
          <w:tcPr>
            <w:tcW w:w="4193" w:type="pct"/>
            <w:shd w:val="clear" w:color="auto" w:fill="auto"/>
          </w:tcPr>
          <w:p w14:paraId="369201EA" w14:textId="04DD88BA" w:rsidR="00D6193C" w:rsidRPr="008830AA" w:rsidRDefault="00086D38" w:rsidP="00E249E5">
            <w:pPr>
              <w:suppressAutoHyphens/>
              <w:autoSpaceDE w:val="0"/>
              <w:autoSpaceDN w:val="0"/>
              <w:adjustRightInd w:val="0"/>
              <w:spacing w:before="120" w:after="120"/>
              <w:textAlignment w:val="center"/>
              <w:rPr>
                <w:rStyle w:val="Hyperlink"/>
                <w:rFonts w:cs="Calibri Light"/>
                <w:bCs/>
                <w:color w:val="414042" w:themeColor="text1"/>
                <w:szCs w:val="20"/>
                <w:u w:val="none"/>
              </w:rPr>
            </w:pPr>
            <w:hyperlink w:anchor="facts" w:history="1">
              <w:r w:rsidR="007B1580" w:rsidRPr="008830AA">
                <w:rPr>
                  <w:rStyle w:val="Hyperlink"/>
                  <w:rFonts w:cs="Calibri Light"/>
                  <w:bCs/>
                  <w:color w:val="414042" w:themeColor="text1"/>
                  <w:szCs w:val="20"/>
                  <w:u w:val="none"/>
                </w:rPr>
                <w:t>Key facts and figures for 2022–23</w:t>
              </w:r>
            </w:hyperlink>
            <w:r w:rsidR="00CD3AF8" w:rsidRPr="008830AA">
              <w:rPr>
                <w:rStyle w:val="Hyperlink"/>
                <w:rFonts w:cs="Calibri Light"/>
                <w:bCs/>
                <w:color w:val="414042" w:themeColor="text1"/>
                <w:szCs w:val="20"/>
                <w:u w:val="none"/>
              </w:rPr>
              <w:t xml:space="preserve"> </w:t>
            </w:r>
          </w:p>
        </w:tc>
        <w:tc>
          <w:tcPr>
            <w:tcW w:w="807" w:type="pct"/>
            <w:shd w:val="clear" w:color="auto" w:fill="auto"/>
          </w:tcPr>
          <w:p w14:paraId="1A603FC2" w14:textId="06886189" w:rsidR="00D6193C" w:rsidRPr="008830AA" w:rsidRDefault="0004473A" w:rsidP="008377FC">
            <w:pPr>
              <w:spacing w:before="120" w:after="120"/>
              <w:jc w:val="center"/>
              <w:rPr>
                <w:bCs/>
                <w:color w:val="414042" w:themeColor="text1"/>
              </w:rPr>
            </w:pPr>
            <w:r w:rsidRPr="008830AA">
              <w:rPr>
                <w:color w:val="414042" w:themeColor="text1"/>
              </w:rPr>
              <w:t>17</w:t>
            </w:r>
          </w:p>
        </w:tc>
      </w:tr>
      <w:tr w:rsidR="00DF3006" w:rsidRPr="00DF3006" w14:paraId="5C0D1624" w14:textId="77777777" w:rsidTr="008377FC">
        <w:tc>
          <w:tcPr>
            <w:tcW w:w="4193" w:type="pct"/>
            <w:shd w:val="clear" w:color="auto" w:fill="auto"/>
          </w:tcPr>
          <w:p w14:paraId="35F103C8" w14:textId="4B806AE9" w:rsidR="0004473A" w:rsidRPr="008830AA" w:rsidRDefault="00086D38" w:rsidP="0004473A">
            <w:pPr>
              <w:suppressAutoHyphens/>
              <w:autoSpaceDE w:val="0"/>
              <w:autoSpaceDN w:val="0"/>
              <w:adjustRightInd w:val="0"/>
              <w:spacing w:before="120" w:after="120"/>
              <w:textAlignment w:val="center"/>
              <w:rPr>
                <w:rStyle w:val="Hyperlink"/>
                <w:rFonts w:cs="Calibri Light"/>
                <w:bCs/>
                <w:color w:val="414042" w:themeColor="text1"/>
                <w:szCs w:val="20"/>
                <w:u w:val="none"/>
              </w:rPr>
            </w:pPr>
            <w:hyperlink w:anchor="_Strategic_objectives" w:history="1">
              <w:r w:rsidR="0004473A" w:rsidRPr="008830AA">
                <w:rPr>
                  <w:rStyle w:val="Hyperlink"/>
                  <w:rFonts w:cs="Calibri Light"/>
                  <w:bCs/>
                  <w:color w:val="414042" w:themeColor="text1"/>
                  <w:szCs w:val="20"/>
                  <w:u w:val="none"/>
                </w:rPr>
                <w:t>Strategic objectives</w:t>
              </w:r>
            </w:hyperlink>
          </w:p>
        </w:tc>
        <w:tc>
          <w:tcPr>
            <w:tcW w:w="807" w:type="pct"/>
            <w:shd w:val="clear" w:color="auto" w:fill="auto"/>
          </w:tcPr>
          <w:p w14:paraId="7A2AEE83" w14:textId="4A66CD83" w:rsidR="0004473A" w:rsidRPr="008830AA" w:rsidRDefault="0004473A" w:rsidP="0004473A">
            <w:pPr>
              <w:spacing w:before="120" w:after="120"/>
              <w:jc w:val="center"/>
              <w:rPr>
                <w:color w:val="414042" w:themeColor="text1"/>
              </w:rPr>
            </w:pPr>
            <w:r w:rsidRPr="008830AA">
              <w:rPr>
                <w:color w:val="414042" w:themeColor="text1"/>
              </w:rPr>
              <w:t>18</w:t>
            </w:r>
          </w:p>
        </w:tc>
      </w:tr>
      <w:tr w:rsidR="00DF3006" w:rsidRPr="00DF3006" w14:paraId="6AD92738" w14:textId="77777777" w:rsidTr="008377FC">
        <w:tc>
          <w:tcPr>
            <w:tcW w:w="4193" w:type="pct"/>
            <w:shd w:val="clear" w:color="auto" w:fill="auto"/>
          </w:tcPr>
          <w:p w14:paraId="213A22BC" w14:textId="2011F8D5" w:rsidR="0004473A" w:rsidRPr="008830AA" w:rsidRDefault="00086D38" w:rsidP="0004473A">
            <w:pPr>
              <w:suppressAutoHyphens/>
              <w:autoSpaceDE w:val="0"/>
              <w:autoSpaceDN w:val="0"/>
              <w:adjustRightInd w:val="0"/>
              <w:spacing w:before="120" w:after="120"/>
              <w:textAlignment w:val="center"/>
              <w:rPr>
                <w:rStyle w:val="Hyperlink"/>
                <w:rFonts w:cs="Calibri Light"/>
                <w:bCs/>
                <w:color w:val="414042" w:themeColor="text1"/>
                <w:szCs w:val="20"/>
                <w:u w:val="none"/>
              </w:rPr>
            </w:pPr>
            <w:hyperlink w:anchor="performanceinformation" w:history="1">
              <w:r w:rsidR="0004473A" w:rsidRPr="008830AA">
                <w:rPr>
                  <w:rStyle w:val="Hyperlink"/>
                  <w:rFonts w:cs="Calibri Light"/>
                  <w:bCs/>
                  <w:color w:val="414042" w:themeColor="text1"/>
                  <w:szCs w:val="20"/>
                  <w:u w:val="none"/>
                </w:rPr>
                <w:t>Performance information</w:t>
              </w:r>
            </w:hyperlink>
          </w:p>
        </w:tc>
        <w:tc>
          <w:tcPr>
            <w:tcW w:w="807" w:type="pct"/>
            <w:shd w:val="clear" w:color="auto" w:fill="auto"/>
          </w:tcPr>
          <w:p w14:paraId="4E53405E" w14:textId="771707E7" w:rsidR="0004473A" w:rsidRPr="008830AA" w:rsidRDefault="0004473A" w:rsidP="0004473A">
            <w:pPr>
              <w:spacing w:before="120" w:after="120"/>
              <w:jc w:val="center"/>
              <w:rPr>
                <w:color w:val="414042" w:themeColor="text1"/>
              </w:rPr>
            </w:pPr>
            <w:r w:rsidRPr="008830AA">
              <w:rPr>
                <w:color w:val="414042" w:themeColor="text1"/>
              </w:rPr>
              <w:t>20</w:t>
            </w:r>
          </w:p>
        </w:tc>
      </w:tr>
      <w:tr w:rsidR="00DF3006" w:rsidRPr="00DF3006" w14:paraId="7CDA48CB" w14:textId="77777777" w:rsidTr="008377FC">
        <w:tc>
          <w:tcPr>
            <w:tcW w:w="4193" w:type="pct"/>
            <w:shd w:val="clear" w:color="auto" w:fill="auto"/>
          </w:tcPr>
          <w:p w14:paraId="6ECF3B48" w14:textId="4DFD13D5" w:rsidR="0004473A" w:rsidRPr="008830AA" w:rsidRDefault="00086D38" w:rsidP="0004473A">
            <w:pPr>
              <w:autoSpaceDE w:val="0"/>
              <w:autoSpaceDN w:val="0"/>
              <w:adjustRightInd w:val="0"/>
              <w:spacing w:before="120" w:after="120"/>
              <w:textAlignment w:val="center"/>
              <w:rPr>
                <w:rStyle w:val="Hyperlink"/>
                <w:rFonts w:cs="Calibri Light"/>
                <w:bCs/>
                <w:color w:val="414042" w:themeColor="text1"/>
                <w:szCs w:val="20"/>
                <w:u w:val="none"/>
              </w:rPr>
            </w:pPr>
            <w:hyperlink w:anchor="_Key_achievements" w:history="1">
              <w:r w:rsidR="0004473A" w:rsidRPr="008830AA">
                <w:rPr>
                  <w:rStyle w:val="Hyperlink"/>
                  <w:rFonts w:cs="Calibri Light"/>
                  <w:bCs/>
                  <w:color w:val="414042" w:themeColor="text1"/>
                  <w:szCs w:val="20"/>
                  <w:u w:val="none"/>
                </w:rPr>
                <w:t>Key achievements</w:t>
              </w:r>
            </w:hyperlink>
          </w:p>
        </w:tc>
        <w:tc>
          <w:tcPr>
            <w:tcW w:w="807" w:type="pct"/>
            <w:shd w:val="clear" w:color="auto" w:fill="auto"/>
          </w:tcPr>
          <w:p w14:paraId="1F222B0D" w14:textId="141B4843" w:rsidR="0004473A" w:rsidRPr="008830AA" w:rsidRDefault="0004473A" w:rsidP="0004473A">
            <w:pPr>
              <w:spacing w:before="120" w:after="120"/>
              <w:jc w:val="center"/>
              <w:rPr>
                <w:bCs/>
                <w:color w:val="414042" w:themeColor="text1"/>
              </w:rPr>
            </w:pPr>
            <w:r w:rsidRPr="008830AA">
              <w:rPr>
                <w:color w:val="414042" w:themeColor="text1"/>
              </w:rPr>
              <w:t>22</w:t>
            </w:r>
          </w:p>
        </w:tc>
      </w:tr>
      <w:tr w:rsidR="00DF3006" w:rsidRPr="00DF3006" w14:paraId="6E01F061" w14:textId="77777777" w:rsidTr="008377FC">
        <w:tc>
          <w:tcPr>
            <w:tcW w:w="4193" w:type="pct"/>
            <w:shd w:val="clear" w:color="auto" w:fill="auto"/>
          </w:tcPr>
          <w:p w14:paraId="02F387D5" w14:textId="46638BAB" w:rsidR="0004473A" w:rsidRPr="008830AA" w:rsidRDefault="00086D38" w:rsidP="0004473A">
            <w:pPr>
              <w:autoSpaceDE w:val="0"/>
              <w:autoSpaceDN w:val="0"/>
              <w:adjustRightInd w:val="0"/>
              <w:spacing w:before="120" w:after="120"/>
              <w:textAlignment w:val="center"/>
              <w:rPr>
                <w:rStyle w:val="Hyperlink"/>
                <w:rFonts w:cs="Calibri Light"/>
                <w:bCs/>
                <w:color w:val="414042" w:themeColor="text1"/>
                <w:szCs w:val="20"/>
                <w:u w:val="none"/>
              </w:rPr>
            </w:pPr>
            <w:hyperlink w:anchor="_Financial_summary" w:history="1">
              <w:r w:rsidR="0004473A" w:rsidRPr="008830AA">
                <w:rPr>
                  <w:rStyle w:val="Hyperlink"/>
                  <w:rFonts w:cs="Calibri Light"/>
                  <w:bCs/>
                  <w:color w:val="414042" w:themeColor="text1"/>
                  <w:szCs w:val="20"/>
                  <w:u w:val="none"/>
                </w:rPr>
                <w:t>Financial summary</w:t>
              </w:r>
            </w:hyperlink>
          </w:p>
        </w:tc>
        <w:tc>
          <w:tcPr>
            <w:tcW w:w="807" w:type="pct"/>
            <w:shd w:val="clear" w:color="auto" w:fill="auto"/>
          </w:tcPr>
          <w:p w14:paraId="53AEA522" w14:textId="0A373FD4" w:rsidR="0004473A" w:rsidRPr="008830AA" w:rsidRDefault="0004473A" w:rsidP="0004473A">
            <w:pPr>
              <w:spacing w:before="120" w:after="120"/>
              <w:jc w:val="center"/>
              <w:rPr>
                <w:bCs/>
                <w:color w:val="414042" w:themeColor="text1"/>
              </w:rPr>
            </w:pPr>
            <w:r w:rsidRPr="008830AA">
              <w:rPr>
                <w:color w:val="414042" w:themeColor="text1"/>
              </w:rPr>
              <w:t>24</w:t>
            </w:r>
          </w:p>
        </w:tc>
      </w:tr>
      <w:tr w:rsidR="00DF3006" w:rsidRPr="00DF3006" w14:paraId="5D39D656" w14:textId="77777777" w:rsidTr="008377FC">
        <w:tc>
          <w:tcPr>
            <w:tcW w:w="4193" w:type="pct"/>
            <w:shd w:val="clear" w:color="auto" w:fill="auto"/>
          </w:tcPr>
          <w:p w14:paraId="1BDB350D" w14:textId="5E71F9E8" w:rsidR="0004473A" w:rsidRPr="008830AA" w:rsidRDefault="00086D38" w:rsidP="0004473A">
            <w:pPr>
              <w:autoSpaceDE w:val="0"/>
              <w:autoSpaceDN w:val="0"/>
              <w:adjustRightInd w:val="0"/>
              <w:spacing w:before="120" w:after="120"/>
              <w:textAlignment w:val="center"/>
              <w:rPr>
                <w:rStyle w:val="Hyperlink"/>
                <w:rFonts w:cs="Calibri Light"/>
                <w:bCs/>
                <w:color w:val="414042" w:themeColor="text1"/>
                <w:szCs w:val="20"/>
                <w:u w:val="none"/>
              </w:rPr>
            </w:pPr>
            <w:hyperlink w:anchor="_External_inquiries_and_1" w:history="1">
              <w:r w:rsidR="0004473A" w:rsidRPr="008830AA">
                <w:rPr>
                  <w:rStyle w:val="Hyperlink"/>
                  <w:rFonts w:cs="Calibri Light"/>
                  <w:bCs/>
                  <w:color w:val="414042" w:themeColor="text1"/>
                  <w:szCs w:val="20"/>
                  <w:u w:val="none"/>
                </w:rPr>
                <w:t>External inquiries and reviews – ensuring accountability and transparency</w:t>
              </w:r>
            </w:hyperlink>
          </w:p>
        </w:tc>
        <w:tc>
          <w:tcPr>
            <w:tcW w:w="807" w:type="pct"/>
            <w:shd w:val="clear" w:color="auto" w:fill="auto"/>
          </w:tcPr>
          <w:p w14:paraId="438EED7E" w14:textId="62F7F4A7" w:rsidR="0004473A" w:rsidRPr="008830AA" w:rsidRDefault="0004473A" w:rsidP="0004473A">
            <w:pPr>
              <w:spacing w:before="120" w:after="120"/>
              <w:jc w:val="center"/>
              <w:rPr>
                <w:color w:val="414042" w:themeColor="text1"/>
              </w:rPr>
            </w:pPr>
            <w:r w:rsidRPr="008830AA">
              <w:rPr>
                <w:color w:val="414042" w:themeColor="text1"/>
              </w:rPr>
              <w:t>26</w:t>
            </w:r>
          </w:p>
        </w:tc>
      </w:tr>
      <w:tr w:rsidR="00DF3006" w:rsidRPr="00DF3006" w14:paraId="0602F38D" w14:textId="77777777" w:rsidTr="008377FC">
        <w:tc>
          <w:tcPr>
            <w:tcW w:w="4193" w:type="pct"/>
            <w:shd w:val="clear" w:color="auto" w:fill="auto"/>
          </w:tcPr>
          <w:p w14:paraId="5B6FA0B7" w14:textId="3165B90B" w:rsidR="0004473A" w:rsidRPr="008830AA" w:rsidRDefault="00086D38" w:rsidP="0004473A">
            <w:pPr>
              <w:autoSpaceDE w:val="0"/>
              <w:autoSpaceDN w:val="0"/>
              <w:adjustRightInd w:val="0"/>
              <w:spacing w:before="120" w:after="120"/>
              <w:textAlignment w:val="center"/>
              <w:rPr>
                <w:rStyle w:val="Hyperlink"/>
                <w:rFonts w:cs="Calibri Light"/>
                <w:bCs/>
                <w:color w:val="414042" w:themeColor="text1"/>
                <w:szCs w:val="20"/>
                <w:u w:val="none"/>
              </w:rPr>
            </w:pPr>
            <w:hyperlink w:anchor="_Looking_ahead_to" w:history="1">
              <w:r w:rsidR="0004473A" w:rsidRPr="008830AA">
                <w:rPr>
                  <w:rStyle w:val="Hyperlink"/>
                  <w:rFonts w:cs="Calibri Light"/>
                  <w:bCs/>
                  <w:color w:val="414042" w:themeColor="text1"/>
                  <w:szCs w:val="20"/>
                  <w:u w:val="none"/>
                </w:rPr>
                <w:t>Looking ahead to 2023–24</w:t>
              </w:r>
            </w:hyperlink>
          </w:p>
        </w:tc>
        <w:tc>
          <w:tcPr>
            <w:tcW w:w="807" w:type="pct"/>
            <w:shd w:val="clear" w:color="auto" w:fill="auto"/>
          </w:tcPr>
          <w:p w14:paraId="64756079" w14:textId="513E1901" w:rsidR="0004473A" w:rsidRPr="008830AA" w:rsidRDefault="0004473A" w:rsidP="0004473A">
            <w:pPr>
              <w:spacing w:before="120" w:after="120"/>
              <w:jc w:val="center"/>
              <w:rPr>
                <w:color w:val="414042" w:themeColor="text1"/>
              </w:rPr>
            </w:pPr>
            <w:r w:rsidRPr="008830AA">
              <w:rPr>
                <w:color w:val="414042" w:themeColor="text1"/>
              </w:rPr>
              <w:t>29</w:t>
            </w:r>
          </w:p>
        </w:tc>
      </w:tr>
    </w:tbl>
    <w:p w14:paraId="3A4629C9" w14:textId="77777777" w:rsidR="00D6193C" w:rsidRPr="00DF3006" w:rsidRDefault="00D6193C" w:rsidP="00D6193C">
      <w:pPr>
        <w:rPr>
          <w:color w:val="414042" w:themeColor="text1"/>
        </w:rPr>
        <w:sectPr w:rsidR="00D6193C" w:rsidRPr="00DF3006" w:rsidSect="00C77834">
          <w:headerReference w:type="even" r:id="rId90"/>
          <w:headerReference w:type="default" r:id="rId91"/>
          <w:headerReference w:type="first" r:id="rId92"/>
          <w:type w:val="continuous"/>
          <w:pgSz w:w="11906" w:h="16838"/>
          <w:pgMar w:top="2155" w:right="1134" w:bottom="964" w:left="1134" w:header="709" w:footer="283" w:gutter="0"/>
          <w:cols w:space="567"/>
          <w:docGrid w:linePitch="360"/>
        </w:sectPr>
      </w:pPr>
    </w:p>
    <w:p w14:paraId="30BDDB63" w14:textId="77777777" w:rsidR="00D6193C" w:rsidRPr="00DF3006" w:rsidRDefault="00D6193C" w:rsidP="00D6193C">
      <w:pPr>
        <w:spacing w:before="120" w:after="0" w:line="260" w:lineRule="exact"/>
        <w:rPr>
          <w:color w:val="414042" w:themeColor="text1"/>
        </w:rPr>
      </w:pPr>
    </w:p>
    <w:p w14:paraId="1D8A5AA4" w14:textId="27F32930" w:rsidR="00D6193C" w:rsidRPr="00DF3006" w:rsidRDefault="00D6193C" w:rsidP="008E5ECB">
      <w:pPr>
        <w:pStyle w:val="Heading2"/>
        <w:jc w:val="center"/>
      </w:pPr>
      <w:bookmarkStart w:id="508" w:name="_Toc102037821"/>
      <w:bookmarkStart w:id="509" w:name="_Toc102038183"/>
      <w:bookmarkStart w:id="510" w:name="_Toc102038544"/>
      <w:bookmarkStart w:id="511" w:name="_Toc102038904"/>
      <w:bookmarkStart w:id="512" w:name="_Toc102039256"/>
      <w:bookmarkStart w:id="513" w:name="_Toc102039611"/>
      <w:bookmarkStart w:id="514" w:name="_Toc102039968"/>
      <w:bookmarkStart w:id="515" w:name="_Toc102040293"/>
      <w:bookmarkStart w:id="516" w:name="_Toc102040627"/>
      <w:bookmarkStart w:id="517" w:name="_Toc102040955"/>
      <w:bookmarkStart w:id="518" w:name="_Toc102041285"/>
      <w:bookmarkStart w:id="519" w:name="_Toc102041617"/>
      <w:bookmarkStart w:id="520" w:name="_Toc102041944"/>
      <w:bookmarkStart w:id="521" w:name="_Toc102042273"/>
      <w:bookmarkStart w:id="522" w:name="_Toc102045403"/>
      <w:bookmarkStart w:id="523" w:name="facts"/>
      <w:r w:rsidRPr="00DF3006">
        <w:lastRenderedPageBreak/>
        <w:t>Key facts and figures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C4473E" w:rsidRPr="00DF3006">
        <w:t xml:space="preserve"> </w:t>
      </w:r>
      <w:r w:rsidR="00CD3AF8" w:rsidRPr="00DF3006">
        <w:t>for</w:t>
      </w:r>
      <w:r w:rsidR="00C4473E" w:rsidRPr="00DF3006">
        <w:t xml:space="preserve"> 2022–23</w:t>
      </w:r>
    </w:p>
    <w:bookmarkEnd w:id="523"/>
    <w:p w14:paraId="01341647" w14:textId="6CA4D193" w:rsidR="00D6193C" w:rsidRPr="00DF3006" w:rsidRDefault="003C5072" w:rsidP="00C4473E">
      <w:pPr>
        <w:pStyle w:val="Figuretext9ptAnnualreport2018-19"/>
        <w:suppressAutoHyphens/>
        <w:spacing w:before="400" w:after="57"/>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$69.4 million</w:t>
      </w:r>
      <w:r w:rsidRPr="00DF3006">
        <w:rPr>
          <w:color w:val="414042" w:themeColor="text1"/>
          <w:spacing w:val="0"/>
          <w:sz w:val="28"/>
          <w:szCs w:val="28"/>
          <w:lang w:val="en-AU"/>
        </w:rPr>
        <w:t xml:space="preserve"> revised annual budget </w:t>
      </w:r>
      <w:r w:rsidRPr="00DF3006">
        <w:rPr>
          <w:rFonts w:ascii="Calibri" w:hAnsi="Calibri" w:cs="Calibri"/>
          <w:color w:val="414042" w:themeColor="text1"/>
          <w:spacing w:val="0"/>
          <w:sz w:val="28"/>
          <w:szCs w:val="28"/>
          <w:lang w:val="en-AU"/>
        </w:rPr>
        <w:t>(</w:t>
      </w:r>
      <w:r w:rsidRPr="00DF3006">
        <w:rPr>
          <w:rFonts w:ascii="Calibri" w:hAnsi="Calibri" w:cs="Calibri"/>
          <w:b/>
          <w:bCs/>
          <w:color w:val="414042" w:themeColor="text1"/>
          <w:spacing w:val="0"/>
          <w:sz w:val="28"/>
          <w:szCs w:val="28"/>
          <w:lang w:val="en-AU"/>
        </w:rPr>
        <w:t>$67.2 million</w:t>
      </w:r>
      <w:r w:rsidRPr="00DF3006">
        <w:rPr>
          <w:b/>
          <w:bCs/>
          <w:color w:val="414042" w:themeColor="text1"/>
          <w:spacing w:val="0"/>
          <w:sz w:val="28"/>
          <w:szCs w:val="28"/>
          <w:lang w:val="en-AU"/>
        </w:rPr>
        <w:t xml:space="preserve"> </w:t>
      </w:r>
      <w:r w:rsidRPr="00DF3006">
        <w:rPr>
          <w:color w:val="414042" w:themeColor="text1"/>
          <w:spacing w:val="0"/>
          <w:sz w:val="28"/>
          <w:szCs w:val="28"/>
          <w:lang w:val="en-AU"/>
        </w:rPr>
        <w:t>original budget)</w:t>
      </w:r>
    </w:p>
    <w:p w14:paraId="26BDDF2E" w14:textId="06019868" w:rsidR="00C4473E" w:rsidRPr="00DF3006" w:rsidRDefault="00C4473E" w:rsidP="00C4473E">
      <w:pPr>
        <w:pStyle w:val="Figuretext9ptAnnualreport2018-19"/>
        <w:suppressAutoHyphens/>
        <w:spacing w:before="400" w:after="57"/>
        <w:jc w:val="center"/>
        <w:rPr>
          <w:rFonts w:ascii="Calibri" w:hAnsi="Calibri" w:cs="Calibri"/>
          <w:color w:val="414042" w:themeColor="text1"/>
          <w:spacing w:val="0"/>
          <w:sz w:val="28"/>
          <w:szCs w:val="28"/>
          <w:lang w:val="en-AU"/>
        </w:rPr>
      </w:pPr>
      <w:bookmarkStart w:id="524" w:name="_Hlk74303590"/>
      <w:r w:rsidRPr="00DF3006">
        <w:rPr>
          <w:rFonts w:ascii="Calibri" w:hAnsi="Calibri" w:cs="Calibri"/>
          <w:b/>
          <w:bCs/>
          <w:color w:val="414042" w:themeColor="text1"/>
          <w:spacing w:val="0"/>
          <w:sz w:val="28"/>
          <w:szCs w:val="28"/>
          <w:lang w:val="en-AU"/>
        </w:rPr>
        <w:t xml:space="preserve">313 </w:t>
      </w:r>
      <w:r w:rsidRPr="00DF3006">
        <w:rPr>
          <w:color w:val="414042" w:themeColor="text1"/>
          <w:spacing w:val="0"/>
          <w:sz w:val="28"/>
          <w:szCs w:val="28"/>
          <w:lang w:val="en-AU"/>
        </w:rPr>
        <w:t xml:space="preserve">full-time equivalent employees / </w:t>
      </w:r>
      <w:r w:rsidRPr="00DF3006">
        <w:rPr>
          <w:rFonts w:ascii="Calibri" w:hAnsi="Calibri" w:cs="Calibri"/>
          <w:b/>
          <w:bCs/>
          <w:color w:val="414042" w:themeColor="text1"/>
          <w:spacing w:val="0"/>
          <w:sz w:val="28"/>
          <w:szCs w:val="28"/>
          <w:lang w:val="en-AU"/>
        </w:rPr>
        <w:t>338</w:t>
      </w:r>
      <w:r w:rsidRPr="00DF3006">
        <w:rPr>
          <w:color w:val="414042" w:themeColor="text1"/>
          <w:spacing w:val="0"/>
          <w:sz w:val="28"/>
          <w:szCs w:val="28"/>
          <w:lang w:val="en-AU"/>
        </w:rPr>
        <w:t xml:space="preserve"> people </w:t>
      </w:r>
      <w:proofErr w:type="gramStart"/>
      <w:r w:rsidRPr="00DF3006">
        <w:rPr>
          <w:color w:val="414042" w:themeColor="text1"/>
          <w:spacing w:val="0"/>
          <w:sz w:val="28"/>
          <w:szCs w:val="28"/>
          <w:lang w:val="en-AU"/>
        </w:rPr>
        <w:t>employed</w:t>
      </w:r>
      <w:bookmarkEnd w:id="524"/>
      <w:proofErr w:type="gramEnd"/>
    </w:p>
    <w:p w14:paraId="67229082" w14:textId="758B9D0C" w:rsidR="00C4473E" w:rsidRPr="00DF3006" w:rsidRDefault="00C4473E" w:rsidP="00C4473E">
      <w:pPr>
        <w:pStyle w:val="Figuretext9ptAnnualreport2018-19"/>
        <w:suppressAutoHyphens/>
        <w:spacing w:before="400" w:after="57"/>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 xml:space="preserve">117 </w:t>
      </w:r>
      <w:r w:rsidRPr="00DF3006">
        <w:rPr>
          <w:color w:val="414042" w:themeColor="text1"/>
          <w:spacing w:val="0"/>
          <w:sz w:val="28"/>
          <w:szCs w:val="28"/>
          <w:lang w:val="en-AU"/>
        </w:rPr>
        <w:t xml:space="preserve">days of hearings with </w:t>
      </w:r>
      <w:r w:rsidRPr="00DF3006">
        <w:rPr>
          <w:rFonts w:ascii="Calibri" w:hAnsi="Calibri" w:cs="Calibri"/>
          <w:b/>
          <w:bCs/>
          <w:color w:val="414042" w:themeColor="text1"/>
          <w:spacing w:val="0"/>
          <w:sz w:val="28"/>
          <w:szCs w:val="28"/>
          <w:lang w:val="en-AU"/>
        </w:rPr>
        <w:t xml:space="preserve">103 </w:t>
      </w:r>
      <w:r w:rsidRPr="00DF3006">
        <w:rPr>
          <w:color w:val="414042" w:themeColor="text1"/>
          <w:spacing w:val="0"/>
          <w:sz w:val="28"/>
          <w:szCs w:val="28"/>
          <w:lang w:val="en-AU"/>
        </w:rPr>
        <w:t xml:space="preserve">witnesses examined </w:t>
      </w:r>
      <w:r w:rsidRPr="00DF3006">
        <w:rPr>
          <w:color w:val="414042" w:themeColor="text1"/>
          <w:spacing w:val="0"/>
          <w:sz w:val="28"/>
          <w:szCs w:val="28"/>
          <w:lang w:val="en-AU"/>
        </w:rPr>
        <w:br/>
        <w:t xml:space="preserve">relating to major crime and intelligence </w:t>
      </w:r>
      <w:proofErr w:type="gramStart"/>
      <w:r w:rsidRPr="00DF3006">
        <w:rPr>
          <w:color w:val="414042" w:themeColor="text1"/>
          <w:spacing w:val="0"/>
          <w:sz w:val="28"/>
          <w:szCs w:val="28"/>
          <w:lang w:val="en-AU"/>
        </w:rPr>
        <w:t>investigations</w:t>
      </w:r>
      <w:proofErr w:type="gramEnd"/>
    </w:p>
    <w:p w14:paraId="340EAF2F" w14:textId="6F7B29B6" w:rsidR="00C4473E" w:rsidRPr="00DF3006" w:rsidRDefault="00C4473E" w:rsidP="00C4473E">
      <w:pPr>
        <w:pStyle w:val="Figuretext9ptAnnualreport2018-19"/>
        <w:suppressAutoHyphens/>
        <w:spacing w:before="400" w:after="57"/>
        <w:jc w:val="center"/>
        <w:rPr>
          <w:rFonts w:ascii="Calibri" w:hAnsi="Calibri" w:cs="Calibri"/>
          <w:b/>
          <w:bCs/>
          <w:color w:val="414042" w:themeColor="text1"/>
          <w:sz w:val="28"/>
          <w:szCs w:val="28"/>
          <w:lang w:val="en-AU"/>
        </w:rPr>
      </w:pPr>
      <w:bookmarkStart w:id="525" w:name="_Hlk74300692"/>
      <w:r w:rsidRPr="00DF3006">
        <w:rPr>
          <w:rFonts w:ascii="Calibri" w:hAnsi="Calibri" w:cs="Calibri"/>
          <w:b/>
          <w:bCs/>
          <w:color w:val="414042" w:themeColor="text1"/>
          <w:spacing w:val="0"/>
          <w:sz w:val="28"/>
          <w:szCs w:val="28"/>
          <w:lang w:val="en-AU"/>
        </w:rPr>
        <w:t xml:space="preserve">221 </w:t>
      </w:r>
      <w:r w:rsidRPr="00DF3006">
        <w:rPr>
          <w:color w:val="414042" w:themeColor="text1"/>
          <w:spacing w:val="0"/>
          <w:sz w:val="28"/>
          <w:szCs w:val="28"/>
          <w:lang w:val="en-AU"/>
        </w:rPr>
        <w:t xml:space="preserve">law enforcement </w:t>
      </w:r>
      <w:r w:rsidR="0042092A" w:rsidRPr="00DF3006">
        <w:rPr>
          <w:color w:val="414042" w:themeColor="text1"/>
          <w:spacing w:val="0"/>
          <w:sz w:val="28"/>
          <w:szCs w:val="28"/>
          <w:lang w:val="en-AU"/>
        </w:rPr>
        <w:t xml:space="preserve">crime </w:t>
      </w:r>
      <w:r w:rsidRPr="00DF3006">
        <w:rPr>
          <w:color w:val="414042" w:themeColor="text1"/>
          <w:spacing w:val="0"/>
          <w:sz w:val="28"/>
          <w:szCs w:val="28"/>
          <w:lang w:val="en-AU"/>
        </w:rPr>
        <w:t>intelligence disclosures</w:t>
      </w:r>
    </w:p>
    <w:p w14:paraId="32635D64" w14:textId="06408DC6" w:rsidR="00C4473E" w:rsidRPr="00DF3006" w:rsidRDefault="00C4473E" w:rsidP="00C4473E">
      <w:pPr>
        <w:pStyle w:val="Figuretext9ptAnnualreport2018-19"/>
        <w:suppressAutoHyphens/>
        <w:spacing w:before="400"/>
        <w:jc w:val="center"/>
        <w:rPr>
          <w:rFonts w:ascii="Calibri" w:hAnsi="Calibri" w:cs="Calibri"/>
          <w:color w:val="414042" w:themeColor="text1"/>
          <w:sz w:val="28"/>
          <w:szCs w:val="28"/>
          <w:lang w:val="en-AU"/>
        </w:rPr>
      </w:pPr>
      <w:r w:rsidRPr="00DF3006">
        <w:rPr>
          <w:rFonts w:ascii="Calibri" w:hAnsi="Calibri" w:cs="Calibri"/>
          <w:b/>
          <w:bCs/>
          <w:color w:val="414042" w:themeColor="text1"/>
          <w:spacing w:val="0"/>
          <w:sz w:val="28"/>
          <w:szCs w:val="28"/>
          <w:lang w:val="en-AU"/>
        </w:rPr>
        <w:t xml:space="preserve">15 </w:t>
      </w:r>
      <w:r w:rsidRPr="00DF3006">
        <w:rPr>
          <w:color w:val="414042" w:themeColor="text1"/>
          <w:spacing w:val="0"/>
          <w:sz w:val="28"/>
          <w:szCs w:val="28"/>
          <w:lang w:val="en-AU"/>
        </w:rPr>
        <w:t>confiscation matters concluded with</w:t>
      </w:r>
    </w:p>
    <w:p w14:paraId="29028B76" w14:textId="77777777" w:rsidR="00C4473E" w:rsidRPr="00DF3006" w:rsidRDefault="00C4473E" w:rsidP="00C4473E">
      <w:pPr>
        <w:pStyle w:val="Figuretext9ptAnnualreport2018-19"/>
        <w:suppressAutoHyphens/>
        <w:spacing w:after="57"/>
        <w:jc w:val="center"/>
        <w:rPr>
          <w:color w:val="414042" w:themeColor="text1"/>
          <w:sz w:val="28"/>
          <w:szCs w:val="28"/>
          <w:lang w:val="en-AU"/>
        </w:rPr>
      </w:pPr>
      <w:r w:rsidRPr="00DF3006">
        <w:rPr>
          <w:rFonts w:ascii="Calibri" w:hAnsi="Calibri" w:cs="Calibri"/>
          <w:b/>
          <w:bCs/>
          <w:color w:val="414042" w:themeColor="text1"/>
          <w:spacing w:val="0"/>
          <w:sz w:val="28"/>
          <w:szCs w:val="28"/>
          <w:lang w:val="en-AU"/>
        </w:rPr>
        <w:t>$4.296</w:t>
      </w:r>
      <w:r w:rsidRPr="00DF3006">
        <w:rPr>
          <w:color w:val="414042" w:themeColor="text1"/>
        </w:rPr>
        <w:t xml:space="preserve"> </w:t>
      </w:r>
      <w:r w:rsidRPr="00DF3006">
        <w:rPr>
          <w:rFonts w:ascii="Calibri" w:hAnsi="Calibri" w:cs="Calibri"/>
          <w:b/>
          <w:bCs/>
          <w:color w:val="414042" w:themeColor="text1"/>
          <w:sz w:val="28"/>
          <w:szCs w:val="28"/>
          <w:lang w:val="en-AU"/>
        </w:rPr>
        <w:t>million</w:t>
      </w:r>
      <w:r w:rsidRPr="00DF3006">
        <w:rPr>
          <w:rFonts w:ascii="Calibri" w:hAnsi="Calibri" w:cs="Calibri"/>
          <w:color w:val="414042" w:themeColor="text1"/>
          <w:sz w:val="28"/>
          <w:szCs w:val="28"/>
          <w:lang w:val="en-AU"/>
        </w:rPr>
        <w:t xml:space="preserve"> </w:t>
      </w:r>
      <w:r w:rsidRPr="00DF3006">
        <w:rPr>
          <w:color w:val="414042" w:themeColor="text1"/>
          <w:sz w:val="28"/>
          <w:szCs w:val="28"/>
          <w:lang w:val="en-AU"/>
        </w:rPr>
        <w:t xml:space="preserve">proceeds </w:t>
      </w:r>
      <w:r w:rsidRPr="00DF3006">
        <w:rPr>
          <w:color w:val="414042" w:themeColor="text1"/>
          <w:spacing w:val="0"/>
          <w:sz w:val="28"/>
          <w:szCs w:val="28"/>
          <w:lang w:val="en-AU"/>
        </w:rPr>
        <w:t>of</w:t>
      </w:r>
      <w:r w:rsidRPr="00DF3006">
        <w:rPr>
          <w:color w:val="414042" w:themeColor="text1"/>
          <w:sz w:val="28"/>
          <w:szCs w:val="28"/>
          <w:lang w:val="en-AU"/>
        </w:rPr>
        <w:t xml:space="preserve"> </w:t>
      </w:r>
      <w:r w:rsidRPr="00DF3006">
        <w:rPr>
          <w:color w:val="414042" w:themeColor="text1"/>
          <w:spacing w:val="0"/>
          <w:sz w:val="28"/>
          <w:szCs w:val="28"/>
          <w:lang w:val="en-AU"/>
        </w:rPr>
        <w:t xml:space="preserve">crime </w:t>
      </w:r>
      <w:r w:rsidRPr="00DF3006">
        <w:rPr>
          <w:color w:val="414042" w:themeColor="text1"/>
          <w:sz w:val="28"/>
          <w:szCs w:val="28"/>
          <w:lang w:val="en-AU"/>
        </w:rPr>
        <w:t>forfeited to the State of Queensland</w:t>
      </w:r>
    </w:p>
    <w:bookmarkEnd w:id="525"/>
    <w:p w14:paraId="43266291" w14:textId="77777777" w:rsidR="00623B40" w:rsidRPr="00DF3006" w:rsidRDefault="00623B40" w:rsidP="00623B40">
      <w:pPr>
        <w:pStyle w:val="Figuretext9ptAnnualreport2018-19"/>
        <w:suppressAutoHyphens/>
        <w:spacing w:before="400" w:after="57"/>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 xml:space="preserve">3,686 </w:t>
      </w:r>
      <w:r w:rsidRPr="00DF3006">
        <w:rPr>
          <w:color w:val="414042" w:themeColor="text1"/>
          <w:spacing w:val="0"/>
          <w:sz w:val="28"/>
          <w:szCs w:val="28"/>
          <w:lang w:val="en-AU"/>
        </w:rPr>
        <w:t xml:space="preserve">complaints of suspected corruption </w:t>
      </w:r>
      <w:proofErr w:type="gramStart"/>
      <w:r w:rsidRPr="00DF3006">
        <w:rPr>
          <w:color w:val="414042" w:themeColor="text1"/>
          <w:spacing w:val="0"/>
          <w:sz w:val="28"/>
          <w:szCs w:val="28"/>
          <w:lang w:val="en-AU"/>
        </w:rPr>
        <w:t>assessed</w:t>
      </w:r>
      <w:proofErr w:type="gramEnd"/>
    </w:p>
    <w:p w14:paraId="32A024D0" w14:textId="77777777" w:rsidR="00623B40" w:rsidRPr="00DF3006" w:rsidRDefault="00623B40" w:rsidP="00623B40">
      <w:pPr>
        <w:pStyle w:val="Figuretext9ptAnnualreport2018-19"/>
        <w:suppressAutoHyphens/>
        <w:spacing w:before="400" w:after="57"/>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 xml:space="preserve">1 </w:t>
      </w:r>
      <w:r w:rsidRPr="00DF3006">
        <w:rPr>
          <w:color w:val="414042" w:themeColor="text1"/>
          <w:spacing w:val="0"/>
          <w:sz w:val="28"/>
          <w:szCs w:val="28"/>
          <w:lang w:val="en-AU"/>
        </w:rPr>
        <w:t xml:space="preserve">person charged with </w:t>
      </w:r>
      <w:r w:rsidRPr="00DF3006">
        <w:rPr>
          <w:rFonts w:ascii="Calibri" w:hAnsi="Calibri" w:cs="Calibri"/>
          <w:b/>
          <w:bCs/>
          <w:color w:val="414042" w:themeColor="text1"/>
          <w:spacing w:val="0"/>
          <w:sz w:val="28"/>
          <w:szCs w:val="28"/>
          <w:lang w:val="en-AU"/>
        </w:rPr>
        <w:t xml:space="preserve">2 </w:t>
      </w:r>
      <w:r w:rsidRPr="00DF3006">
        <w:rPr>
          <w:color w:val="414042" w:themeColor="text1"/>
          <w:spacing w:val="0"/>
          <w:sz w:val="28"/>
          <w:szCs w:val="28"/>
          <w:lang w:val="en-AU"/>
        </w:rPr>
        <w:t xml:space="preserve">criminal offences </w:t>
      </w:r>
      <w:r w:rsidRPr="00DF3006">
        <w:rPr>
          <w:color w:val="414042" w:themeColor="text1"/>
          <w:spacing w:val="0"/>
          <w:sz w:val="28"/>
          <w:szCs w:val="28"/>
          <w:lang w:val="en-AU"/>
        </w:rPr>
        <w:br/>
        <w:t xml:space="preserve">relating to corruption </w:t>
      </w:r>
      <w:proofErr w:type="gramStart"/>
      <w:r w:rsidRPr="00DF3006">
        <w:rPr>
          <w:color w:val="414042" w:themeColor="text1"/>
          <w:spacing w:val="0"/>
          <w:sz w:val="28"/>
          <w:szCs w:val="28"/>
          <w:lang w:val="en-AU"/>
        </w:rPr>
        <w:t>investigations</w:t>
      </w:r>
      <w:proofErr w:type="gramEnd"/>
    </w:p>
    <w:p w14:paraId="44B11056" w14:textId="3664D57B" w:rsidR="00623B40" w:rsidRPr="00DF3006" w:rsidRDefault="00753398" w:rsidP="00623B40">
      <w:pPr>
        <w:pStyle w:val="Figuretext9ptAnnualreport2018-19"/>
        <w:suppressAutoHyphens/>
        <w:spacing w:before="400" w:after="57"/>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9</w:t>
      </w:r>
      <w:r w:rsidR="00623B40" w:rsidRPr="00DF3006">
        <w:rPr>
          <w:rFonts w:ascii="Calibri" w:hAnsi="Calibri" w:cs="Calibri"/>
          <w:b/>
          <w:bCs/>
          <w:color w:val="414042" w:themeColor="text1"/>
          <w:spacing w:val="0"/>
          <w:sz w:val="28"/>
          <w:szCs w:val="28"/>
          <w:lang w:val="en-AU"/>
        </w:rPr>
        <w:t xml:space="preserve"> </w:t>
      </w:r>
      <w:r w:rsidR="00623B40" w:rsidRPr="00DF3006">
        <w:rPr>
          <w:color w:val="414042" w:themeColor="text1"/>
          <w:spacing w:val="0"/>
          <w:sz w:val="28"/>
          <w:szCs w:val="28"/>
          <w:lang w:val="en-AU"/>
        </w:rPr>
        <w:t xml:space="preserve">days of hearings with </w:t>
      </w:r>
      <w:r w:rsidRPr="00DF3006">
        <w:rPr>
          <w:rFonts w:ascii="Calibri" w:hAnsi="Calibri" w:cs="Calibri"/>
          <w:b/>
          <w:bCs/>
          <w:color w:val="414042" w:themeColor="text1"/>
          <w:spacing w:val="0"/>
          <w:sz w:val="28"/>
          <w:szCs w:val="28"/>
          <w:lang w:val="en-AU"/>
        </w:rPr>
        <w:t>14</w:t>
      </w:r>
      <w:r w:rsidR="00623B40" w:rsidRPr="00DF3006">
        <w:rPr>
          <w:rFonts w:ascii="Calibri" w:hAnsi="Calibri" w:cs="Calibri"/>
          <w:b/>
          <w:bCs/>
          <w:color w:val="414042" w:themeColor="text1"/>
          <w:spacing w:val="0"/>
          <w:sz w:val="28"/>
          <w:szCs w:val="28"/>
          <w:lang w:val="en-AU"/>
        </w:rPr>
        <w:t xml:space="preserve"> </w:t>
      </w:r>
      <w:r w:rsidR="00623B40" w:rsidRPr="00DF3006">
        <w:rPr>
          <w:color w:val="414042" w:themeColor="text1"/>
          <w:spacing w:val="0"/>
          <w:sz w:val="28"/>
          <w:szCs w:val="28"/>
          <w:lang w:val="en-AU"/>
        </w:rPr>
        <w:t xml:space="preserve">witnesses examined </w:t>
      </w:r>
      <w:r w:rsidR="00623B40" w:rsidRPr="00DF3006">
        <w:rPr>
          <w:color w:val="414042" w:themeColor="text1"/>
          <w:spacing w:val="0"/>
          <w:sz w:val="28"/>
          <w:szCs w:val="28"/>
          <w:lang w:val="en-AU"/>
        </w:rPr>
        <w:br/>
        <w:t xml:space="preserve">relating to corruption </w:t>
      </w:r>
      <w:proofErr w:type="gramStart"/>
      <w:r w:rsidR="00623B40" w:rsidRPr="00DF3006">
        <w:rPr>
          <w:color w:val="414042" w:themeColor="text1"/>
          <w:spacing w:val="0"/>
          <w:sz w:val="28"/>
          <w:szCs w:val="28"/>
          <w:lang w:val="en-AU"/>
        </w:rPr>
        <w:t>investigations</w:t>
      </w:r>
      <w:proofErr w:type="gramEnd"/>
    </w:p>
    <w:p w14:paraId="57CC85BD" w14:textId="0814D770" w:rsidR="00623B40" w:rsidRPr="00DF3006" w:rsidRDefault="00623B40" w:rsidP="00623B40">
      <w:pPr>
        <w:pStyle w:val="Figuretext9ptAnnualreport2018-19"/>
        <w:suppressAutoHyphens/>
        <w:spacing w:before="400"/>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 xml:space="preserve">7 </w:t>
      </w:r>
      <w:r w:rsidRPr="00DF3006">
        <w:rPr>
          <w:color w:val="414042" w:themeColor="text1"/>
          <w:spacing w:val="0"/>
          <w:sz w:val="28"/>
          <w:szCs w:val="28"/>
          <w:lang w:val="en-AU"/>
        </w:rPr>
        <w:t>recommendations for disciplinary action relating to</w:t>
      </w:r>
    </w:p>
    <w:p w14:paraId="5C337CF9" w14:textId="2299A3C1" w:rsidR="00623B40" w:rsidRPr="00DF3006" w:rsidRDefault="00623B40" w:rsidP="00623B40">
      <w:pPr>
        <w:pStyle w:val="Figuretext9ptAnnualreport2018-19"/>
        <w:suppressAutoHyphens/>
        <w:spacing w:after="240"/>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 xml:space="preserve">3 </w:t>
      </w:r>
      <w:r w:rsidRPr="00DF3006">
        <w:rPr>
          <w:color w:val="414042" w:themeColor="text1"/>
          <w:spacing w:val="0"/>
          <w:sz w:val="28"/>
          <w:szCs w:val="28"/>
          <w:lang w:val="en-AU"/>
        </w:rPr>
        <w:t xml:space="preserve">people following corruption </w:t>
      </w:r>
      <w:proofErr w:type="gramStart"/>
      <w:r w:rsidRPr="00DF3006">
        <w:rPr>
          <w:color w:val="414042" w:themeColor="text1"/>
          <w:spacing w:val="0"/>
          <w:sz w:val="28"/>
          <w:szCs w:val="28"/>
          <w:lang w:val="en-AU"/>
        </w:rPr>
        <w:t>investigations</w:t>
      </w:r>
      <w:proofErr w:type="gramEnd"/>
    </w:p>
    <w:p w14:paraId="3E4E4A14" w14:textId="0E3F3EB1" w:rsidR="00623B40" w:rsidRPr="00DF3006" w:rsidRDefault="00753398" w:rsidP="00623B40">
      <w:pPr>
        <w:pStyle w:val="Figuretext9ptAnnualreport2018-19"/>
        <w:suppressAutoHyphens/>
        <w:spacing w:before="360"/>
        <w:jc w:val="center"/>
        <w:rPr>
          <w:color w:val="414042" w:themeColor="text1"/>
          <w:spacing w:val="0"/>
          <w:sz w:val="28"/>
          <w:szCs w:val="28"/>
          <w:lang w:val="en-AU"/>
        </w:rPr>
      </w:pPr>
      <w:r w:rsidRPr="00DF3006">
        <w:rPr>
          <w:rFonts w:ascii="Calibri" w:hAnsi="Calibri" w:cs="Calibri"/>
          <w:b/>
          <w:bCs/>
          <w:color w:val="414042" w:themeColor="text1"/>
          <w:spacing w:val="0"/>
          <w:sz w:val="28"/>
          <w:szCs w:val="28"/>
          <w:lang w:val="en-AU"/>
        </w:rPr>
        <w:t>35</w:t>
      </w:r>
      <w:r w:rsidR="00623B40" w:rsidRPr="00DF3006">
        <w:rPr>
          <w:rFonts w:ascii="Calibri" w:hAnsi="Calibri" w:cs="Calibri"/>
          <w:b/>
          <w:bCs/>
          <w:color w:val="414042" w:themeColor="text1"/>
          <w:spacing w:val="0"/>
          <w:sz w:val="28"/>
          <w:szCs w:val="28"/>
          <w:lang w:val="en-AU"/>
        </w:rPr>
        <w:t xml:space="preserve"> </w:t>
      </w:r>
      <w:r w:rsidR="0042092A" w:rsidRPr="00DF3006">
        <w:rPr>
          <w:color w:val="414042" w:themeColor="text1"/>
          <w:spacing w:val="0"/>
          <w:sz w:val="28"/>
          <w:szCs w:val="28"/>
          <w:lang w:val="en-AU"/>
        </w:rPr>
        <w:t>corruption</w:t>
      </w:r>
      <w:r w:rsidR="0042092A" w:rsidRPr="00DF3006">
        <w:rPr>
          <w:rFonts w:ascii="Calibri" w:hAnsi="Calibri" w:cs="Calibri"/>
          <w:b/>
          <w:bCs/>
          <w:color w:val="414042" w:themeColor="text1"/>
          <w:spacing w:val="0"/>
          <w:sz w:val="28"/>
          <w:szCs w:val="28"/>
          <w:lang w:val="en-AU"/>
        </w:rPr>
        <w:t xml:space="preserve"> </w:t>
      </w:r>
      <w:r w:rsidR="00623B40" w:rsidRPr="00DF3006">
        <w:rPr>
          <w:color w:val="414042" w:themeColor="text1"/>
          <w:spacing w:val="0"/>
          <w:sz w:val="28"/>
          <w:szCs w:val="28"/>
          <w:lang w:val="en-AU"/>
        </w:rPr>
        <w:t xml:space="preserve">prevention recommendations </w:t>
      </w:r>
      <w:proofErr w:type="gramStart"/>
      <w:r w:rsidR="00623B40" w:rsidRPr="00DF3006">
        <w:rPr>
          <w:color w:val="414042" w:themeColor="text1"/>
          <w:spacing w:val="0"/>
          <w:sz w:val="28"/>
          <w:szCs w:val="28"/>
          <w:lang w:val="en-AU"/>
        </w:rPr>
        <w:t>made</w:t>
      </w:r>
      <w:proofErr w:type="gramEnd"/>
    </w:p>
    <w:p w14:paraId="1FFF43A4" w14:textId="77777777" w:rsidR="002E7528" w:rsidRPr="00DF3006" w:rsidRDefault="002E7528" w:rsidP="002E7528">
      <w:pPr>
        <w:pStyle w:val="Figuretext9ptAnnualreport2018-19"/>
        <w:suppressAutoHyphens/>
        <w:spacing w:before="400" w:after="57"/>
        <w:rPr>
          <w:color w:val="414042" w:themeColor="text1"/>
          <w:sz w:val="32"/>
          <w:szCs w:val="32"/>
          <w:lang w:val="en-AU"/>
        </w:rPr>
      </w:pPr>
    </w:p>
    <w:p w14:paraId="05D130AE" w14:textId="7B4BA4D4" w:rsidR="002E7528" w:rsidRPr="00DF3006" w:rsidRDefault="002E7528" w:rsidP="002E7528">
      <w:pPr>
        <w:pStyle w:val="Figuretext9ptAnnualreport2018-19"/>
        <w:suppressAutoHyphens/>
        <w:spacing w:before="400" w:after="57"/>
        <w:rPr>
          <w:color w:val="414042" w:themeColor="text1"/>
          <w:sz w:val="32"/>
          <w:szCs w:val="32"/>
          <w:lang w:val="en-AU"/>
        </w:rPr>
        <w:sectPr w:rsidR="002E7528" w:rsidRPr="00DF3006" w:rsidSect="00C77834">
          <w:headerReference w:type="even" r:id="rId93"/>
          <w:headerReference w:type="default" r:id="rId94"/>
          <w:headerReference w:type="first" r:id="rId95"/>
          <w:type w:val="continuous"/>
          <w:pgSz w:w="11906" w:h="16838" w:code="9"/>
          <w:pgMar w:top="2155" w:right="1134" w:bottom="964" w:left="1134" w:header="720" w:footer="284" w:gutter="0"/>
          <w:cols w:space="720"/>
          <w:noEndnote/>
          <w:docGrid w:linePitch="272"/>
        </w:sectPr>
      </w:pPr>
    </w:p>
    <w:p w14:paraId="272DD12D" w14:textId="5E857361" w:rsidR="0085715C" w:rsidRPr="00DF3006" w:rsidRDefault="00E646C9" w:rsidP="002A59DC">
      <w:pPr>
        <w:pStyle w:val="Heading2"/>
      </w:pPr>
      <w:bookmarkStart w:id="526" w:name="_Strategic_objectives"/>
      <w:bookmarkEnd w:id="526"/>
      <w:r w:rsidRPr="00DF3006">
        <w:lastRenderedPageBreak/>
        <w:t>S</w:t>
      </w:r>
      <w:r w:rsidR="0085715C" w:rsidRPr="00DF3006">
        <w:t xml:space="preserve">trategic </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00931639" w:rsidRPr="00DF3006">
        <w:t>objectives</w:t>
      </w:r>
    </w:p>
    <w:p w14:paraId="622AB3C5" w14:textId="7512356D" w:rsidR="00B53F17" w:rsidRPr="00DF3006" w:rsidRDefault="00426962" w:rsidP="00E52781">
      <w:pPr>
        <w:pStyle w:val="Openingparagraph"/>
      </w:pPr>
      <w:r w:rsidRPr="00DF3006">
        <w:t xml:space="preserve">This annual report tracks the CCC’s progress </w:t>
      </w:r>
      <w:r w:rsidR="000D5F39" w:rsidRPr="00DF3006">
        <w:t xml:space="preserve">throughout the reporting period </w:t>
      </w:r>
      <w:r w:rsidRPr="00DF3006">
        <w:t xml:space="preserve">against </w:t>
      </w:r>
      <w:r w:rsidR="00931639" w:rsidRPr="00DF3006">
        <w:t>our</w:t>
      </w:r>
      <w:r w:rsidRPr="00DF3006">
        <w:t xml:space="preserve"> strategic objectives and areas of focus</w:t>
      </w:r>
      <w:r w:rsidR="00931639" w:rsidRPr="00DF3006">
        <w:t xml:space="preserve"> outline</w:t>
      </w:r>
      <w:r w:rsidR="0060572C" w:rsidRPr="00DF3006">
        <w:t>d</w:t>
      </w:r>
      <w:r w:rsidR="00931639" w:rsidRPr="00DF3006">
        <w:t xml:space="preserve"> in our </w:t>
      </w:r>
      <w:r w:rsidR="000D5F39" w:rsidRPr="00DF3006">
        <w:rPr>
          <w:i/>
          <w:iCs/>
        </w:rPr>
        <w:t>Strategic Plan 2022–26</w:t>
      </w:r>
      <w:r w:rsidR="00931639" w:rsidRPr="00DF3006">
        <w:t xml:space="preserve">. These objectives </w:t>
      </w:r>
      <w:r w:rsidR="000D5F39" w:rsidRPr="00DF3006">
        <w:t>guided</w:t>
      </w:r>
      <w:r w:rsidR="00A67AD3" w:rsidRPr="00DF3006">
        <w:t xml:space="preserve"> the scope of work that our agency deliver</w:t>
      </w:r>
      <w:r w:rsidR="000D5F39" w:rsidRPr="00DF3006">
        <w:t>ed</w:t>
      </w:r>
      <w:r w:rsidR="00A67AD3" w:rsidRPr="00DF3006">
        <w:t xml:space="preserve"> as part of our </w:t>
      </w:r>
      <w:r w:rsidR="000D5F39" w:rsidRPr="00DF3006">
        <w:t>business-as-usual</w:t>
      </w:r>
      <w:r w:rsidR="00A67AD3" w:rsidRPr="00DF3006">
        <w:t xml:space="preserve"> functions.</w:t>
      </w:r>
    </w:p>
    <w:p w14:paraId="1B3F740C" w14:textId="77777777" w:rsidR="00B53F17" w:rsidRPr="00DF3006" w:rsidRDefault="00B53F17" w:rsidP="00B53F17">
      <w:pPr>
        <w:spacing w:before="120" w:after="0" w:line="260" w:lineRule="exact"/>
        <w:rPr>
          <w:color w:val="414042" w:themeColor="text1"/>
        </w:rPr>
      </w:pPr>
    </w:p>
    <w:p w14:paraId="6C53A961" w14:textId="77777777" w:rsidR="00B53F17" w:rsidRPr="00DF3006" w:rsidRDefault="00B53F17" w:rsidP="00B53F17">
      <w:pPr>
        <w:spacing w:before="120" w:after="0" w:line="260" w:lineRule="exact"/>
        <w:rPr>
          <w:color w:val="414042" w:themeColor="text1"/>
        </w:rPr>
        <w:sectPr w:rsidR="00B53F17" w:rsidRPr="00DF3006" w:rsidSect="00C77834">
          <w:headerReference w:type="even" r:id="rId96"/>
          <w:headerReference w:type="default" r:id="rId97"/>
          <w:headerReference w:type="first" r:id="rId98"/>
          <w:pgSz w:w="11906" w:h="16838" w:code="9"/>
          <w:pgMar w:top="2155" w:right="1134" w:bottom="964" w:left="1134" w:header="720" w:footer="284" w:gutter="0"/>
          <w:cols w:space="567"/>
          <w:noEndnote/>
          <w:docGrid w:linePitch="272"/>
        </w:sectPr>
      </w:pPr>
    </w:p>
    <w:p w14:paraId="6095D0D8" w14:textId="77777777" w:rsidR="00B53F17" w:rsidRPr="00DF3006" w:rsidRDefault="00B53F17" w:rsidP="00E6066A">
      <w:pPr>
        <w:pStyle w:val="Heading3"/>
      </w:pPr>
      <w:bookmarkStart w:id="527" w:name="_Toc102037861"/>
      <w:bookmarkStart w:id="528" w:name="_Toc102038223"/>
      <w:bookmarkStart w:id="529" w:name="_Toc102038584"/>
      <w:bookmarkStart w:id="530" w:name="_Toc102038944"/>
      <w:bookmarkStart w:id="531" w:name="_Toc102039296"/>
      <w:bookmarkStart w:id="532" w:name="_Toc102039651"/>
      <w:bookmarkStart w:id="533" w:name="_Toc102040008"/>
      <w:bookmarkStart w:id="534" w:name="_Toc102040333"/>
      <w:bookmarkStart w:id="535" w:name="_Toc102040667"/>
      <w:bookmarkStart w:id="536" w:name="_Toc102040995"/>
      <w:bookmarkStart w:id="537" w:name="_Toc102041325"/>
      <w:bookmarkStart w:id="538" w:name="_Toc102041657"/>
      <w:bookmarkStart w:id="539" w:name="_Toc102041984"/>
      <w:bookmarkStart w:id="540" w:name="_Toc102042313"/>
      <w:bookmarkStart w:id="541" w:name="_Toc102045443"/>
      <w:r w:rsidRPr="00DF3006">
        <w:t>OBJECTIVE: Reduce the incidence of major crime and corruption in Queensland</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6E79C9CE" w14:textId="16A0D6BC" w:rsidR="00B53F17" w:rsidRPr="00DF3006" w:rsidRDefault="00B53F17" w:rsidP="00B53F17">
      <w:pPr>
        <w:spacing w:before="120" w:after="120" w:line="260" w:lineRule="exact"/>
        <w:rPr>
          <w:color w:val="414042" w:themeColor="text1"/>
        </w:rPr>
      </w:pPr>
      <w:r w:rsidRPr="00DF3006">
        <w:rPr>
          <w:color w:val="414042" w:themeColor="text1"/>
        </w:rPr>
        <w:t xml:space="preserve">Our key strategies to progress this objective </w:t>
      </w:r>
      <w:r w:rsidR="009E099A" w:rsidRPr="00DF3006">
        <w:rPr>
          <w:color w:val="414042" w:themeColor="text1"/>
        </w:rPr>
        <w:t>were</w:t>
      </w:r>
      <w:r w:rsidRPr="00DF3006">
        <w:rPr>
          <w:color w:val="414042" w:themeColor="text1"/>
        </w:rPr>
        <w:t xml:space="preserve"> to:</w:t>
      </w:r>
    </w:p>
    <w:p w14:paraId="513FCDC9" w14:textId="77777777" w:rsidR="00B53F17" w:rsidRPr="00DF3006" w:rsidRDefault="00B53F17">
      <w:pPr>
        <w:pStyle w:val="Bullets"/>
        <w:rPr>
          <w:color w:val="414042" w:themeColor="text1"/>
        </w:rPr>
      </w:pPr>
      <w:r w:rsidRPr="00DF3006">
        <w:rPr>
          <w:color w:val="414042" w:themeColor="text1"/>
        </w:rPr>
        <w:t xml:space="preserve">work with our partners to solve and prevent major </w:t>
      </w:r>
      <w:proofErr w:type="gramStart"/>
      <w:r w:rsidRPr="00DF3006">
        <w:rPr>
          <w:color w:val="414042" w:themeColor="text1"/>
        </w:rPr>
        <w:t>crime</w:t>
      </w:r>
      <w:proofErr w:type="gramEnd"/>
    </w:p>
    <w:p w14:paraId="17C66BDE" w14:textId="77777777" w:rsidR="00B53F17" w:rsidRPr="00DF3006" w:rsidRDefault="00B53F17">
      <w:pPr>
        <w:pStyle w:val="Bullets"/>
        <w:rPr>
          <w:color w:val="414042" w:themeColor="text1"/>
        </w:rPr>
      </w:pPr>
      <w:r w:rsidRPr="00DF3006">
        <w:rPr>
          <w:color w:val="414042" w:themeColor="text1"/>
        </w:rPr>
        <w:t xml:space="preserve">remove the financial benefit and support for serious criminal </w:t>
      </w:r>
      <w:proofErr w:type="gramStart"/>
      <w:r w:rsidRPr="00DF3006">
        <w:rPr>
          <w:color w:val="414042" w:themeColor="text1"/>
        </w:rPr>
        <w:t>offending</w:t>
      </w:r>
      <w:proofErr w:type="gramEnd"/>
    </w:p>
    <w:p w14:paraId="3224E0F1" w14:textId="77777777" w:rsidR="00B53F17" w:rsidRPr="00DF3006" w:rsidRDefault="00B53F17">
      <w:pPr>
        <w:pStyle w:val="Bullets"/>
        <w:rPr>
          <w:color w:val="414042" w:themeColor="text1"/>
        </w:rPr>
      </w:pPr>
      <w:r w:rsidRPr="00DF3006">
        <w:rPr>
          <w:color w:val="414042" w:themeColor="text1"/>
        </w:rPr>
        <w:t xml:space="preserve">investigate and oversee investigations into serious and systemic public sector corruption and police </w:t>
      </w:r>
      <w:proofErr w:type="gramStart"/>
      <w:r w:rsidRPr="00DF3006">
        <w:rPr>
          <w:color w:val="414042" w:themeColor="text1"/>
        </w:rPr>
        <w:t>misconduct</w:t>
      </w:r>
      <w:proofErr w:type="gramEnd"/>
    </w:p>
    <w:p w14:paraId="4BD6475B" w14:textId="77777777" w:rsidR="00B53F17" w:rsidRPr="00DF3006" w:rsidRDefault="00B53F17">
      <w:pPr>
        <w:pStyle w:val="Bullets"/>
        <w:rPr>
          <w:color w:val="414042" w:themeColor="text1"/>
        </w:rPr>
      </w:pPr>
      <w:r w:rsidRPr="00DF3006">
        <w:rPr>
          <w:color w:val="414042" w:themeColor="text1"/>
        </w:rPr>
        <w:t xml:space="preserve">inform, </w:t>
      </w:r>
      <w:proofErr w:type="gramStart"/>
      <w:r w:rsidRPr="00DF3006">
        <w:rPr>
          <w:color w:val="414042" w:themeColor="text1"/>
        </w:rPr>
        <w:t>educate</w:t>
      </w:r>
      <w:proofErr w:type="gramEnd"/>
      <w:r w:rsidRPr="00DF3006">
        <w:rPr>
          <w:color w:val="414042" w:themeColor="text1"/>
        </w:rPr>
        <w:t xml:space="preserve"> and empower public institutions to build corruption resistant cultures, and</w:t>
      </w:r>
    </w:p>
    <w:p w14:paraId="767C44AC" w14:textId="5C1CC94A" w:rsidR="00B53F17" w:rsidRPr="00DF3006" w:rsidRDefault="00B53F17">
      <w:pPr>
        <w:pStyle w:val="Bullets"/>
        <w:rPr>
          <w:color w:val="414042" w:themeColor="text1"/>
        </w:rPr>
      </w:pPr>
      <w:r w:rsidRPr="00DF3006">
        <w:rPr>
          <w:color w:val="414042" w:themeColor="text1"/>
        </w:rPr>
        <w:t>contribute to improved public policy decision-making by providing independent and evidence-based advice to government.</w:t>
      </w:r>
    </w:p>
    <w:p w14:paraId="5820742A" w14:textId="0B319FFC" w:rsidR="00426962" w:rsidRPr="00DF3006" w:rsidRDefault="00426962" w:rsidP="006068C7">
      <w:pPr>
        <w:pStyle w:val="Bullets"/>
        <w:numPr>
          <w:ilvl w:val="0"/>
          <w:numId w:val="0"/>
        </w:numPr>
        <w:spacing w:before="240"/>
        <w:rPr>
          <w:i/>
          <w:color w:val="414042" w:themeColor="text1"/>
          <w:szCs w:val="20"/>
        </w:rPr>
      </w:pPr>
      <w:r w:rsidRPr="00DF3006">
        <w:rPr>
          <w:i/>
          <w:color w:val="414042" w:themeColor="text1"/>
          <w:szCs w:val="20"/>
        </w:rPr>
        <w:t xml:space="preserve">See pages </w:t>
      </w:r>
      <w:r w:rsidR="0004473A" w:rsidRPr="00DF3006">
        <w:rPr>
          <w:i/>
          <w:color w:val="414042" w:themeColor="text1"/>
          <w:szCs w:val="20"/>
        </w:rPr>
        <w:t>30</w:t>
      </w:r>
      <w:r w:rsidRPr="00DF3006">
        <w:rPr>
          <w:i/>
          <w:color w:val="414042" w:themeColor="text1"/>
          <w:szCs w:val="20"/>
        </w:rPr>
        <w:t>–</w:t>
      </w:r>
      <w:r w:rsidR="0004473A" w:rsidRPr="00DF3006">
        <w:rPr>
          <w:i/>
          <w:color w:val="414042" w:themeColor="text1"/>
          <w:szCs w:val="20"/>
        </w:rPr>
        <w:t>50</w:t>
      </w:r>
      <w:r w:rsidRPr="00DF3006">
        <w:rPr>
          <w:i/>
          <w:color w:val="414042" w:themeColor="text1"/>
          <w:szCs w:val="20"/>
        </w:rPr>
        <w:t xml:space="preserve"> for our performance against this objective.</w:t>
      </w:r>
    </w:p>
    <w:p w14:paraId="186379CA" w14:textId="4309801A" w:rsidR="00B53F17" w:rsidRPr="00DF3006" w:rsidRDefault="00260B1D" w:rsidP="00E6066A">
      <w:pPr>
        <w:pStyle w:val="Heading3"/>
      </w:pPr>
      <w:bookmarkStart w:id="542" w:name="_Toc102037862"/>
      <w:bookmarkStart w:id="543" w:name="_Toc102038224"/>
      <w:bookmarkStart w:id="544" w:name="_Toc102038585"/>
      <w:bookmarkStart w:id="545" w:name="_Toc102038945"/>
      <w:bookmarkStart w:id="546" w:name="_Toc102039297"/>
      <w:bookmarkStart w:id="547" w:name="_Toc102039652"/>
      <w:bookmarkStart w:id="548" w:name="_Toc102040009"/>
      <w:bookmarkStart w:id="549" w:name="_Toc102040334"/>
      <w:bookmarkStart w:id="550" w:name="_Toc102040668"/>
      <w:bookmarkStart w:id="551" w:name="_Toc102040996"/>
      <w:bookmarkStart w:id="552" w:name="_Toc102041326"/>
      <w:bookmarkStart w:id="553" w:name="_Toc102041658"/>
      <w:bookmarkStart w:id="554" w:name="_Toc102041985"/>
      <w:bookmarkStart w:id="555" w:name="_Toc102042314"/>
      <w:bookmarkStart w:id="556" w:name="_Toc102045444"/>
      <w:r w:rsidRPr="00DF3006">
        <w:br w:type="column"/>
      </w:r>
      <w:r w:rsidR="00B53F17" w:rsidRPr="00DF3006">
        <w:t>OBJECTIVE: Build our organisational capability</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3B44053D" w14:textId="7586F96F" w:rsidR="00B53F17" w:rsidRPr="00DF3006" w:rsidRDefault="00B53F17" w:rsidP="00B53F17">
      <w:pPr>
        <w:spacing w:before="120" w:after="120" w:line="260" w:lineRule="exact"/>
        <w:rPr>
          <w:color w:val="414042" w:themeColor="text1"/>
        </w:rPr>
      </w:pPr>
      <w:r w:rsidRPr="00DF3006">
        <w:rPr>
          <w:color w:val="414042" w:themeColor="text1"/>
        </w:rPr>
        <w:t xml:space="preserve">Our key strategies to progress this objective </w:t>
      </w:r>
      <w:r w:rsidR="009E099A" w:rsidRPr="00DF3006">
        <w:rPr>
          <w:color w:val="414042" w:themeColor="text1"/>
        </w:rPr>
        <w:t>were</w:t>
      </w:r>
      <w:r w:rsidRPr="00DF3006">
        <w:rPr>
          <w:color w:val="414042" w:themeColor="text1"/>
        </w:rPr>
        <w:t xml:space="preserve"> to:</w:t>
      </w:r>
    </w:p>
    <w:p w14:paraId="3B89BA3F" w14:textId="77777777" w:rsidR="00B53F17" w:rsidRPr="00DF3006" w:rsidRDefault="00B53F17">
      <w:pPr>
        <w:pStyle w:val="Bullets"/>
        <w:rPr>
          <w:color w:val="414042" w:themeColor="text1"/>
        </w:rPr>
      </w:pPr>
      <w:r w:rsidRPr="00DF3006">
        <w:rPr>
          <w:color w:val="414042" w:themeColor="text1"/>
        </w:rPr>
        <w:t xml:space="preserve">develop capabilities to create a healthy, collaborative and innovative </w:t>
      </w:r>
      <w:proofErr w:type="gramStart"/>
      <w:r w:rsidRPr="00DF3006">
        <w:rPr>
          <w:color w:val="414042" w:themeColor="text1"/>
        </w:rPr>
        <w:t>culture</w:t>
      </w:r>
      <w:proofErr w:type="gramEnd"/>
    </w:p>
    <w:p w14:paraId="2DBAC87F" w14:textId="77777777" w:rsidR="00B53F17" w:rsidRPr="00DF3006" w:rsidRDefault="00B53F17">
      <w:pPr>
        <w:pStyle w:val="Bullets"/>
        <w:rPr>
          <w:color w:val="414042" w:themeColor="text1"/>
        </w:rPr>
      </w:pPr>
      <w:r w:rsidRPr="00DF3006">
        <w:rPr>
          <w:color w:val="414042" w:themeColor="text1"/>
        </w:rPr>
        <w:t xml:space="preserve">modernise and embed changes to our assets, systems, </w:t>
      </w:r>
      <w:proofErr w:type="gramStart"/>
      <w:r w:rsidRPr="00DF3006">
        <w:rPr>
          <w:color w:val="414042" w:themeColor="text1"/>
        </w:rPr>
        <w:t>processes</w:t>
      </w:r>
      <w:proofErr w:type="gramEnd"/>
      <w:r w:rsidRPr="00DF3006">
        <w:rPr>
          <w:color w:val="414042" w:themeColor="text1"/>
        </w:rPr>
        <w:t xml:space="preserve"> and workplace, and</w:t>
      </w:r>
    </w:p>
    <w:p w14:paraId="71AA8028" w14:textId="66BF4F5E" w:rsidR="00B53F17" w:rsidRPr="00DF3006" w:rsidRDefault="00B53F17">
      <w:pPr>
        <w:pStyle w:val="Bullets"/>
        <w:rPr>
          <w:color w:val="414042" w:themeColor="text1"/>
        </w:rPr>
      </w:pPr>
      <w:r w:rsidRPr="00DF3006">
        <w:rPr>
          <w:color w:val="414042" w:themeColor="text1"/>
        </w:rPr>
        <w:t>leverage data and information to become an insight</w:t>
      </w:r>
      <w:r w:rsidRPr="00DF3006">
        <w:rPr>
          <w:color w:val="414042" w:themeColor="text1"/>
        </w:rPr>
        <w:noBreakHyphen/>
        <w:t>driven agency.</w:t>
      </w:r>
    </w:p>
    <w:p w14:paraId="0E35B822" w14:textId="08DB790B" w:rsidR="00426962" w:rsidRPr="00DF3006" w:rsidRDefault="00426962" w:rsidP="006068C7">
      <w:pPr>
        <w:pStyle w:val="Bullets"/>
        <w:numPr>
          <w:ilvl w:val="0"/>
          <w:numId w:val="0"/>
        </w:numPr>
        <w:spacing w:before="240"/>
        <w:rPr>
          <w:i/>
          <w:color w:val="414042" w:themeColor="text1"/>
          <w:szCs w:val="20"/>
        </w:rPr>
      </w:pPr>
      <w:r w:rsidRPr="00DF3006">
        <w:rPr>
          <w:i/>
          <w:color w:val="414042" w:themeColor="text1"/>
          <w:szCs w:val="20"/>
        </w:rPr>
        <w:t xml:space="preserve">See pages </w:t>
      </w:r>
      <w:r w:rsidR="0004473A" w:rsidRPr="00DF3006">
        <w:rPr>
          <w:i/>
          <w:color w:val="414042" w:themeColor="text1"/>
          <w:szCs w:val="20"/>
        </w:rPr>
        <w:t>51</w:t>
      </w:r>
      <w:r w:rsidRPr="00DF3006">
        <w:rPr>
          <w:i/>
          <w:color w:val="414042" w:themeColor="text1"/>
          <w:szCs w:val="20"/>
        </w:rPr>
        <w:t>–</w:t>
      </w:r>
      <w:r w:rsidR="0004473A" w:rsidRPr="00DF3006">
        <w:rPr>
          <w:i/>
          <w:color w:val="414042" w:themeColor="text1"/>
          <w:szCs w:val="20"/>
        </w:rPr>
        <w:t>57</w:t>
      </w:r>
      <w:r w:rsidRPr="00DF3006">
        <w:rPr>
          <w:i/>
          <w:color w:val="414042" w:themeColor="text1"/>
          <w:szCs w:val="20"/>
        </w:rPr>
        <w:t xml:space="preserve"> for our performance against this objective.</w:t>
      </w:r>
    </w:p>
    <w:p w14:paraId="17588BA4" w14:textId="77777777" w:rsidR="00260B1D" w:rsidRPr="00DF3006" w:rsidRDefault="00260B1D" w:rsidP="00260B1D">
      <w:pPr>
        <w:rPr>
          <w:color w:val="414042" w:themeColor="text1"/>
          <w:lang w:eastAsia="en-AU"/>
        </w:rPr>
      </w:pPr>
      <w:bookmarkStart w:id="557" w:name="_Toc102037864"/>
      <w:bookmarkStart w:id="558" w:name="_Toc102038226"/>
      <w:bookmarkStart w:id="559" w:name="_Toc102038587"/>
      <w:bookmarkStart w:id="560" w:name="_Toc102038947"/>
      <w:bookmarkStart w:id="561" w:name="_Toc102039299"/>
      <w:bookmarkStart w:id="562" w:name="_Toc102039654"/>
      <w:bookmarkStart w:id="563" w:name="_Toc102040011"/>
      <w:bookmarkStart w:id="564" w:name="_Toc102040336"/>
      <w:bookmarkStart w:id="565" w:name="_Toc102040670"/>
      <w:bookmarkStart w:id="566" w:name="_Toc102040998"/>
      <w:bookmarkStart w:id="567" w:name="_Toc102041328"/>
      <w:bookmarkStart w:id="568" w:name="_Toc102041660"/>
      <w:bookmarkStart w:id="569" w:name="_Toc102041987"/>
      <w:bookmarkStart w:id="570" w:name="_Toc102042316"/>
      <w:bookmarkStart w:id="571" w:name="_Toc102045446"/>
    </w:p>
    <w:p w14:paraId="3C14EBE1" w14:textId="77777777" w:rsidR="006068C7" w:rsidRPr="00DF3006" w:rsidRDefault="006068C7" w:rsidP="00E6066A">
      <w:pPr>
        <w:pStyle w:val="Heading3"/>
        <w:sectPr w:rsidR="006068C7" w:rsidRPr="00DF3006" w:rsidSect="00260B1D">
          <w:headerReference w:type="even" r:id="rId99"/>
          <w:headerReference w:type="default" r:id="rId100"/>
          <w:headerReference w:type="first" r:id="rId101"/>
          <w:type w:val="continuous"/>
          <w:pgSz w:w="11906" w:h="16838" w:code="9"/>
          <w:pgMar w:top="2155" w:right="1134" w:bottom="964" w:left="1134" w:header="720" w:footer="284" w:gutter="0"/>
          <w:cols w:num="2" w:space="720"/>
          <w:noEndnote/>
          <w:docGrid w:linePitch="272"/>
        </w:sectPr>
      </w:pPr>
      <w:bookmarkStart w:id="572" w:name="_Toc102037863"/>
      <w:bookmarkStart w:id="573" w:name="_Toc102038225"/>
      <w:bookmarkStart w:id="574" w:name="_Toc102038586"/>
      <w:bookmarkStart w:id="575" w:name="_Toc102038946"/>
      <w:bookmarkStart w:id="576" w:name="_Toc102039298"/>
      <w:bookmarkStart w:id="577" w:name="_Toc102039653"/>
      <w:bookmarkStart w:id="578" w:name="_Toc102040010"/>
      <w:bookmarkStart w:id="579" w:name="_Toc102040335"/>
      <w:bookmarkStart w:id="580" w:name="_Toc102040669"/>
      <w:bookmarkStart w:id="581" w:name="_Toc102040997"/>
      <w:bookmarkStart w:id="582" w:name="_Toc102041327"/>
      <w:bookmarkStart w:id="583" w:name="_Toc102041659"/>
      <w:bookmarkStart w:id="584" w:name="_Toc102041986"/>
      <w:bookmarkStart w:id="585" w:name="_Toc102042315"/>
      <w:bookmarkStart w:id="586" w:name="_Toc102045445"/>
    </w:p>
    <w:tbl>
      <w:tblPr>
        <w:tblStyle w:val="Annualreport2020-21"/>
        <w:tblW w:w="0" w:type="auto"/>
        <w:tblLook w:val="04A0" w:firstRow="1" w:lastRow="0" w:firstColumn="1" w:lastColumn="0" w:noHBand="0" w:noVBand="1"/>
      </w:tblPr>
      <w:tblGrid>
        <w:gridCol w:w="9638"/>
      </w:tblGrid>
      <w:tr w:rsidR="00DF3006" w:rsidRPr="00DF3006" w14:paraId="41609BB1" w14:textId="77777777" w:rsidTr="00260B1D">
        <w:trPr>
          <w:cnfStyle w:val="100000000000" w:firstRow="1" w:lastRow="0" w:firstColumn="0" w:lastColumn="0" w:oddVBand="0" w:evenVBand="0" w:oddHBand="0" w:evenHBand="0" w:firstRowFirstColumn="0" w:firstRowLastColumn="0" w:lastRowFirstColumn="0" w:lastRowLastColumn="0"/>
        </w:trPr>
        <w:tc>
          <w:tcPr>
            <w:tcW w:w="9638" w:type="dxa"/>
            <w:tcBorders>
              <w:top w:val="nil"/>
              <w:bottom w:val="nil"/>
            </w:tcBorders>
          </w:tcPr>
          <w:p w14:paraId="71E4F728" w14:textId="77777777" w:rsidR="00260B1D" w:rsidRPr="00DF3006" w:rsidRDefault="00260B1D" w:rsidP="00352BC9">
            <w:pPr>
              <w:pStyle w:val="Heading3"/>
              <w:spacing w:before="240"/>
              <w:rPr>
                <w:b/>
              </w:rPr>
            </w:pPr>
            <w:r w:rsidRPr="00DF3006">
              <w:rPr>
                <w:b/>
              </w:rPr>
              <w:t>Our areas of focus</w:t>
            </w:r>
          </w:p>
          <w:p w14:paraId="77EAB1DD" w14:textId="77777777" w:rsidR="00260B1D" w:rsidRPr="00DF3006" w:rsidRDefault="00260B1D" w:rsidP="00260B1D">
            <w:pPr>
              <w:pStyle w:val="Bullets"/>
              <w:numPr>
                <w:ilvl w:val="0"/>
                <w:numId w:val="0"/>
              </w:numPr>
              <w:ind w:left="284" w:right="239"/>
              <w:jc w:val="left"/>
              <w:rPr>
                <w:b w:val="0"/>
                <w:color w:val="414042" w:themeColor="text1"/>
              </w:rPr>
            </w:pPr>
            <w:r w:rsidRPr="00DF3006">
              <w:rPr>
                <w:b w:val="0"/>
                <w:color w:val="414042" w:themeColor="text1"/>
              </w:rPr>
              <w:t>In 2022–23, we had five areas of focus related to our strategic objectives:</w:t>
            </w:r>
          </w:p>
          <w:p w14:paraId="01B660B4" w14:textId="77777777" w:rsidR="00260B1D" w:rsidRPr="00DF3006" w:rsidRDefault="00260B1D" w:rsidP="00260B1D">
            <w:pPr>
              <w:pStyle w:val="Bullets"/>
              <w:ind w:left="644" w:right="239"/>
              <w:jc w:val="left"/>
              <w:rPr>
                <w:b w:val="0"/>
                <w:bCs/>
                <w:color w:val="414042" w:themeColor="text1"/>
              </w:rPr>
            </w:pPr>
            <w:r w:rsidRPr="00DF3006">
              <w:rPr>
                <w:b w:val="0"/>
                <w:bCs/>
                <w:color w:val="414042" w:themeColor="text1"/>
              </w:rPr>
              <w:t>illicit markets of high value or high public impact (see pages 31–35)</w:t>
            </w:r>
          </w:p>
          <w:p w14:paraId="4CA87EC8" w14:textId="77777777" w:rsidR="00260B1D" w:rsidRPr="00DF3006" w:rsidRDefault="00260B1D" w:rsidP="00260B1D">
            <w:pPr>
              <w:pStyle w:val="Bullets"/>
              <w:ind w:left="644" w:right="239"/>
              <w:jc w:val="left"/>
              <w:rPr>
                <w:b w:val="0"/>
                <w:bCs/>
                <w:color w:val="414042" w:themeColor="text1"/>
              </w:rPr>
            </w:pPr>
            <w:r w:rsidRPr="00DF3006">
              <w:rPr>
                <w:b w:val="0"/>
                <w:bCs/>
                <w:color w:val="414042" w:themeColor="text1"/>
              </w:rPr>
              <w:t>crimes involving risk to, or actual loss of life or serious injury to a person (see pages 36–37)</w:t>
            </w:r>
          </w:p>
          <w:p w14:paraId="77148AA2" w14:textId="77777777" w:rsidR="00260B1D" w:rsidRPr="00DF3006" w:rsidRDefault="00260B1D" w:rsidP="00260B1D">
            <w:pPr>
              <w:pStyle w:val="Bullets"/>
              <w:ind w:left="644" w:right="239"/>
              <w:jc w:val="left"/>
              <w:rPr>
                <w:b w:val="0"/>
                <w:bCs/>
                <w:color w:val="414042" w:themeColor="text1"/>
              </w:rPr>
            </w:pPr>
            <w:r w:rsidRPr="00DF3006">
              <w:rPr>
                <w:b w:val="0"/>
                <w:bCs/>
                <w:color w:val="414042" w:themeColor="text1"/>
              </w:rPr>
              <w:t>crimes against children and vulnerable people (see pages 38–39)</w:t>
            </w:r>
          </w:p>
          <w:p w14:paraId="6A1760BC" w14:textId="77777777" w:rsidR="00260B1D" w:rsidRPr="00DF3006" w:rsidRDefault="00260B1D" w:rsidP="00260B1D">
            <w:pPr>
              <w:pStyle w:val="Bullets"/>
              <w:ind w:left="644" w:right="239"/>
              <w:jc w:val="left"/>
              <w:rPr>
                <w:b w:val="0"/>
                <w:bCs/>
                <w:color w:val="414042" w:themeColor="text1"/>
              </w:rPr>
            </w:pPr>
            <w:r w:rsidRPr="00DF3006">
              <w:rPr>
                <w:b w:val="0"/>
                <w:bCs/>
                <w:color w:val="414042" w:themeColor="text1"/>
              </w:rPr>
              <w:t>corruption involving improper influence, abuse of authority and exploitation of public sector resources (see page 40), and</w:t>
            </w:r>
          </w:p>
          <w:p w14:paraId="3B70B413" w14:textId="77777777" w:rsidR="00260B1D" w:rsidRPr="00DF3006" w:rsidRDefault="00260B1D" w:rsidP="00260B1D">
            <w:pPr>
              <w:pStyle w:val="Bullets"/>
              <w:ind w:left="644" w:right="239"/>
              <w:jc w:val="left"/>
              <w:rPr>
                <w:color w:val="414042" w:themeColor="text1"/>
              </w:rPr>
            </w:pPr>
            <w:r w:rsidRPr="00DF3006">
              <w:rPr>
                <w:b w:val="0"/>
                <w:bCs/>
                <w:color w:val="414042" w:themeColor="text1"/>
              </w:rPr>
              <w:t>critical organisational capabilities including digital, analytics, intelligence, and workforce planning (see pages 52–57).</w:t>
            </w:r>
          </w:p>
          <w:p w14:paraId="6696C717" w14:textId="48AD4D06" w:rsidR="00260B1D" w:rsidRPr="00DF3006" w:rsidRDefault="00260B1D" w:rsidP="00260B1D">
            <w:pPr>
              <w:pStyle w:val="Bullets"/>
              <w:numPr>
                <w:ilvl w:val="0"/>
                <w:numId w:val="0"/>
              </w:numPr>
              <w:ind w:left="502" w:hanging="360"/>
              <w:jc w:val="left"/>
              <w:rPr>
                <w:color w:val="414042" w:themeColor="text1"/>
              </w:rPr>
            </w:pPr>
          </w:p>
        </w:tc>
      </w:t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tbl>
    <w:p w14:paraId="09A9D861" w14:textId="77777777" w:rsidR="006068C7" w:rsidRPr="00DF3006" w:rsidRDefault="006068C7" w:rsidP="00260B1D">
      <w:pPr>
        <w:rPr>
          <w:color w:val="414042" w:themeColor="text1"/>
          <w:lang w:eastAsia="en-AU"/>
        </w:rPr>
        <w:sectPr w:rsidR="006068C7" w:rsidRPr="00DF3006" w:rsidSect="006068C7">
          <w:type w:val="continuous"/>
          <w:pgSz w:w="11906" w:h="16838" w:code="9"/>
          <w:pgMar w:top="2155" w:right="1134" w:bottom="964" w:left="1134" w:header="720" w:footer="284" w:gutter="0"/>
          <w:cols w:space="720"/>
          <w:noEndnote/>
          <w:docGrid w:linePitch="272"/>
        </w:sectPr>
      </w:pPr>
    </w:p>
    <w:p w14:paraId="3B7BCDB2" w14:textId="58A80705" w:rsidR="00B53F17" w:rsidRPr="00DF3006" w:rsidRDefault="00B53F17" w:rsidP="00E6066A">
      <w:pPr>
        <w:pStyle w:val="Heading3"/>
      </w:pPr>
      <w:r w:rsidRPr="00DF3006">
        <w:lastRenderedPageBreak/>
        <w:t>Our strategic opportunities and risks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8F07D3" w14:textId="58533D88" w:rsidR="00B53F17" w:rsidRPr="00DF3006" w:rsidRDefault="009E099A" w:rsidP="00C5108A">
      <w:pPr>
        <w:rPr>
          <w:color w:val="414042" w:themeColor="text1"/>
        </w:rPr>
      </w:pPr>
      <w:r w:rsidRPr="00DF3006">
        <w:rPr>
          <w:color w:val="414042" w:themeColor="text1"/>
        </w:rPr>
        <w:t xml:space="preserve">In 2022–23, </w:t>
      </w:r>
      <w:r w:rsidR="00B53F17" w:rsidRPr="00DF3006">
        <w:rPr>
          <w:color w:val="414042" w:themeColor="text1"/>
        </w:rPr>
        <w:t>we manage</w:t>
      </w:r>
      <w:r w:rsidRPr="00DF3006">
        <w:rPr>
          <w:color w:val="414042" w:themeColor="text1"/>
        </w:rPr>
        <w:t>d</w:t>
      </w:r>
      <w:r w:rsidR="00B53F17" w:rsidRPr="00DF3006">
        <w:rPr>
          <w:color w:val="414042" w:themeColor="text1"/>
        </w:rPr>
        <w:t xml:space="preserve"> strategic risks and promote</w:t>
      </w:r>
      <w:r w:rsidRPr="00DF3006">
        <w:rPr>
          <w:color w:val="414042" w:themeColor="text1"/>
        </w:rPr>
        <w:t>d</w:t>
      </w:r>
      <w:r w:rsidR="00B53F17" w:rsidRPr="00DF3006">
        <w:rPr>
          <w:color w:val="414042" w:themeColor="text1"/>
        </w:rPr>
        <w:t xml:space="preserve"> opportunities to strengthen our capabilities by:</w:t>
      </w:r>
    </w:p>
    <w:p w14:paraId="652BDB2E" w14:textId="77777777" w:rsidR="00B53F17" w:rsidRPr="00DF3006" w:rsidRDefault="00B53F17">
      <w:pPr>
        <w:pStyle w:val="Bullets"/>
        <w:rPr>
          <w:color w:val="414042" w:themeColor="text1"/>
          <w:spacing w:val="-4"/>
        </w:rPr>
      </w:pPr>
      <w:r w:rsidRPr="00DF3006">
        <w:rPr>
          <w:rFonts w:ascii="Calibri" w:hAnsi="Calibri" w:cs="Calibri"/>
          <w:b/>
          <w:bCs/>
          <w:color w:val="414042" w:themeColor="text1"/>
          <w:spacing w:val="-4"/>
        </w:rPr>
        <w:t>promoting a safe and positive work environment —</w:t>
      </w:r>
      <w:r w:rsidRPr="00DF3006">
        <w:rPr>
          <w:color w:val="414042" w:themeColor="text1"/>
          <w:spacing w:val="-4"/>
        </w:rPr>
        <w:t xml:space="preserve"> </w:t>
      </w:r>
      <w:r w:rsidRPr="00DF3006">
        <w:rPr>
          <w:color w:val="414042" w:themeColor="text1"/>
        </w:rPr>
        <w:t xml:space="preserve">enabling our people to have a healthy work-life </w:t>
      </w:r>
      <w:proofErr w:type="gramStart"/>
      <w:r w:rsidRPr="00DF3006">
        <w:rPr>
          <w:color w:val="414042" w:themeColor="text1"/>
        </w:rPr>
        <w:t>balance</w:t>
      </w:r>
      <w:proofErr w:type="gramEnd"/>
    </w:p>
    <w:p w14:paraId="5E845005" w14:textId="32C350EE" w:rsidR="00B53F17" w:rsidRPr="00DF3006" w:rsidRDefault="00B53F17">
      <w:pPr>
        <w:pStyle w:val="Bullets"/>
        <w:rPr>
          <w:color w:val="414042" w:themeColor="text1"/>
        </w:rPr>
      </w:pPr>
      <w:r w:rsidRPr="00DF3006">
        <w:rPr>
          <w:rFonts w:ascii="Calibri" w:hAnsi="Calibri" w:cs="Calibri"/>
          <w:b/>
          <w:bCs/>
          <w:color w:val="414042" w:themeColor="text1"/>
          <w:spacing w:val="-4"/>
        </w:rPr>
        <w:t>future-proofing our workforce</w:t>
      </w:r>
      <w:r w:rsidRPr="00DF3006">
        <w:rPr>
          <w:b/>
          <w:bCs/>
          <w:color w:val="414042" w:themeColor="text1"/>
        </w:rPr>
        <w:t xml:space="preserve"> </w:t>
      </w:r>
      <w:r w:rsidR="00C746DE" w:rsidRPr="00DF3006">
        <w:rPr>
          <w:rFonts w:ascii="Calibri" w:hAnsi="Calibri" w:cs="Calibri"/>
          <w:b/>
          <w:bCs/>
          <w:color w:val="414042" w:themeColor="text1"/>
          <w:spacing w:val="-4"/>
        </w:rPr>
        <w:t>—</w:t>
      </w:r>
      <w:r w:rsidRPr="00DF3006">
        <w:rPr>
          <w:color w:val="414042" w:themeColor="text1"/>
        </w:rPr>
        <w:t xml:space="preserve"> attracting and developing people to maintain our critical </w:t>
      </w:r>
      <w:proofErr w:type="gramStart"/>
      <w:r w:rsidRPr="00DF3006">
        <w:rPr>
          <w:color w:val="414042" w:themeColor="text1"/>
        </w:rPr>
        <w:t>capabilities</w:t>
      </w:r>
      <w:proofErr w:type="gramEnd"/>
      <w:r w:rsidRPr="00DF3006">
        <w:rPr>
          <w:color w:val="414042" w:themeColor="text1"/>
        </w:rPr>
        <w:t xml:space="preserve"> </w:t>
      </w:r>
    </w:p>
    <w:p w14:paraId="14FEC7A1" w14:textId="77777777" w:rsidR="00B53F17" w:rsidRPr="00DF3006" w:rsidRDefault="00B53F17">
      <w:pPr>
        <w:pStyle w:val="Bullets"/>
        <w:rPr>
          <w:color w:val="414042" w:themeColor="text1"/>
        </w:rPr>
      </w:pPr>
      <w:r w:rsidRPr="00DF3006">
        <w:rPr>
          <w:rFonts w:ascii="Calibri" w:hAnsi="Calibri" w:cs="Calibri"/>
          <w:b/>
          <w:bCs/>
          <w:color w:val="414042" w:themeColor="text1"/>
        </w:rPr>
        <w:t>engaging with our stakeholders —</w:t>
      </w:r>
      <w:r w:rsidRPr="00DF3006">
        <w:rPr>
          <w:color w:val="414042" w:themeColor="text1"/>
        </w:rPr>
        <w:t xml:space="preserve"> partnering with stakeholders to achieve outcomes we could not achieve </w:t>
      </w:r>
      <w:proofErr w:type="gramStart"/>
      <w:r w:rsidRPr="00DF3006">
        <w:rPr>
          <w:color w:val="414042" w:themeColor="text1"/>
        </w:rPr>
        <w:t>alone</w:t>
      </w:r>
      <w:proofErr w:type="gramEnd"/>
    </w:p>
    <w:p w14:paraId="0D3D2FFA" w14:textId="6D49D92D" w:rsidR="00B53F17" w:rsidRPr="00DF3006" w:rsidRDefault="00B53F17">
      <w:pPr>
        <w:pStyle w:val="Bullets"/>
        <w:rPr>
          <w:color w:val="414042" w:themeColor="text1"/>
        </w:rPr>
      </w:pPr>
      <w:r w:rsidRPr="00DF3006">
        <w:rPr>
          <w:rFonts w:ascii="Calibri" w:hAnsi="Calibri" w:cs="Calibri"/>
          <w:b/>
          <w:bCs/>
          <w:color w:val="414042" w:themeColor="text1"/>
        </w:rPr>
        <w:t xml:space="preserve">investing wisely </w:t>
      </w:r>
      <w:r w:rsidR="00C746DE" w:rsidRPr="00DF3006">
        <w:rPr>
          <w:rFonts w:ascii="Calibri" w:hAnsi="Calibri" w:cs="Calibri"/>
          <w:b/>
          <w:bCs/>
          <w:color w:val="414042" w:themeColor="text1"/>
          <w:spacing w:val="-4"/>
        </w:rPr>
        <w:t>—</w:t>
      </w:r>
      <w:r w:rsidRPr="00DF3006">
        <w:rPr>
          <w:rFonts w:ascii="Calibri" w:hAnsi="Calibri" w:cs="Calibri"/>
          <w:b/>
          <w:bCs/>
          <w:color w:val="414042" w:themeColor="text1"/>
        </w:rPr>
        <w:t xml:space="preserve"> </w:t>
      </w:r>
      <w:r w:rsidRPr="00DF3006">
        <w:rPr>
          <w:color w:val="414042" w:themeColor="text1"/>
        </w:rPr>
        <w:t xml:space="preserve">ensuring we are doing the right projects at the right time and growing a strong governance </w:t>
      </w:r>
      <w:proofErr w:type="gramStart"/>
      <w:r w:rsidRPr="00DF3006">
        <w:rPr>
          <w:color w:val="414042" w:themeColor="text1"/>
        </w:rPr>
        <w:t>culture</w:t>
      </w:r>
      <w:proofErr w:type="gramEnd"/>
    </w:p>
    <w:p w14:paraId="7F663E0B" w14:textId="2375B8AA" w:rsidR="00B53F17" w:rsidRPr="00DF3006" w:rsidRDefault="00B53F17">
      <w:pPr>
        <w:pStyle w:val="Bullets"/>
        <w:rPr>
          <w:color w:val="414042" w:themeColor="text1"/>
        </w:rPr>
      </w:pPr>
      <w:r w:rsidRPr="00DF3006">
        <w:rPr>
          <w:rFonts w:ascii="Calibri" w:hAnsi="Calibri" w:cs="Calibri"/>
          <w:b/>
          <w:bCs/>
          <w:color w:val="414042" w:themeColor="text1"/>
        </w:rPr>
        <w:t>adapting and growing our capabilities —</w:t>
      </w:r>
      <w:r w:rsidRPr="00DF3006">
        <w:rPr>
          <w:color w:val="414042" w:themeColor="text1"/>
        </w:rPr>
        <w:t xml:space="preserve"> maintaining pace with the technological changes that continue to enable crime and </w:t>
      </w:r>
      <w:proofErr w:type="gramStart"/>
      <w:r w:rsidRPr="00DF3006">
        <w:rPr>
          <w:color w:val="414042" w:themeColor="text1"/>
        </w:rPr>
        <w:t>corruption</w:t>
      </w:r>
      <w:proofErr w:type="gramEnd"/>
    </w:p>
    <w:p w14:paraId="10671CFE" w14:textId="763A047B" w:rsidR="00B53F17" w:rsidRPr="00DF3006" w:rsidRDefault="00B53F17">
      <w:pPr>
        <w:pStyle w:val="Bullets"/>
        <w:rPr>
          <w:color w:val="414042" w:themeColor="text1"/>
        </w:rPr>
      </w:pPr>
      <w:r w:rsidRPr="00DF3006">
        <w:rPr>
          <w:rFonts w:ascii="Calibri" w:hAnsi="Calibri" w:cs="Calibri"/>
          <w:b/>
          <w:bCs/>
          <w:color w:val="414042" w:themeColor="text1"/>
        </w:rPr>
        <w:t>responding to borderless crime —</w:t>
      </w:r>
      <w:r w:rsidRPr="00DF3006">
        <w:rPr>
          <w:color w:val="414042" w:themeColor="text1"/>
        </w:rPr>
        <w:t xml:space="preserve"> adapting our services to support stakeholders to respond to major and organised crimes committed in multiple </w:t>
      </w:r>
      <w:proofErr w:type="gramStart"/>
      <w:r w:rsidRPr="00DF3006">
        <w:rPr>
          <w:color w:val="414042" w:themeColor="text1"/>
        </w:rPr>
        <w:t>jurisdictions</w:t>
      </w:r>
      <w:proofErr w:type="gramEnd"/>
    </w:p>
    <w:p w14:paraId="5ECFEC73" w14:textId="77777777" w:rsidR="00B53F17" w:rsidRPr="00DF3006" w:rsidRDefault="00B53F17">
      <w:pPr>
        <w:pStyle w:val="Bullets"/>
        <w:rPr>
          <w:color w:val="414042" w:themeColor="text1"/>
        </w:rPr>
      </w:pPr>
      <w:r w:rsidRPr="00DF3006">
        <w:rPr>
          <w:rFonts w:ascii="Calibri" w:hAnsi="Calibri" w:cs="Calibri"/>
          <w:b/>
          <w:bCs/>
          <w:color w:val="414042" w:themeColor="text1"/>
        </w:rPr>
        <w:t>maintaining public confidence —</w:t>
      </w:r>
      <w:r w:rsidRPr="00DF3006">
        <w:rPr>
          <w:color w:val="414042" w:themeColor="text1"/>
        </w:rPr>
        <w:t xml:space="preserve"> communicating to the public the outcomes we achieve and the contribution we make to the community, and</w:t>
      </w:r>
    </w:p>
    <w:p w14:paraId="335443DF" w14:textId="179FE828" w:rsidR="00E97578" w:rsidRPr="00DF3006" w:rsidRDefault="00B53F17">
      <w:pPr>
        <w:pStyle w:val="Bullets"/>
        <w:rPr>
          <w:color w:val="414042" w:themeColor="text1"/>
        </w:rPr>
      </w:pPr>
      <w:r w:rsidRPr="00DF3006">
        <w:rPr>
          <w:rFonts w:ascii="Calibri" w:hAnsi="Calibri" w:cs="Calibri"/>
          <w:b/>
          <w:bCs/>
          <w:color w:val="414042" w:themeColor="text1"/>
        </w:rPr>
        <w:t>proactively developing intelligence —</w:t>
      </w:r>
      <w:r w:rsidRPr="00DF3006">
        <w:rPr>
          <w:color w:val="414042" w:themeColor="text1"/>
        </w:rPr>
        <w:t xml:space="preserve"> continuing to build our intelligence capability and products to identify future areas of focus and effort.</w:t>
      </w:r>
    </w:p>
    <w:p w14:paraId="5CE618B4" w14:textId="77777777" w:rsidR="00887204" w:rsidRPr="00DF3006" w:rsidRDefault="00426962" w:rsidP="00887204">
      <w:pPr>
        <w:pStyle w:val="Bullets"/>
        <w:numPr>
          <w:ilvl w:val="0"/>
          <w:numId w:val="0"/>
        </w:numPr>
        <w:spacing w:before="240"/>
        <w:rPr>
          <w:i/>
          <w:color w:val="414042" w:themeColor="text1"/>
          <w:szCs w:val="20"/>
        </w:rPr>
      </w:pPr>
      <w:r w:rsidRPr="00DF3006">
        <w:rPr>
          <w:i/>
          <w:color w:val="414042" w:themeColor="text1"/>
          <w:szCs w:val="20"/>
        </w:rPr>
        <w:t xml:space="preserve">See pages </w:t>
      </w:r>
      <w:r w:rsidR="00504F8B" w:rsidRPr="00DF3006">
        <w:rPr>
          <w:i/>
          <w:color w:val="414042" w:themeColor="text1"/>
          <w:szCs w:val="20"/>
        </w:rPr>
        <w:t>67</w:t>
      </w:r>
      <w:r w:rsidRPr="00DF3006">
        <w:rPr>
          <w:i/>
          <w:color w:val="414042" w:themeColor="text1"/>
          <w:szCs w:val="20"/>
        </w:rPr>
        <w:t>–</w:t>
      </w:r>
      <w:r w:rsidR="00504F8B" w:rsidRPr="00DF3006">
        <w:rPr>
          <w:i/>
          <w:color w:val="414042" w:themeColor="text1"/>
          <w:szCs w:val="20"/>
        </w:rPr>
        <w:t>68</w:t>
      </w:r>
      <w:r w:rsidRPr="00DF3006">
        <w:rPr>
          <w:i/>
          <w:color w:val="414042" w:themeColor="text1"/>
          <w:szCs w:val="20"/>
        </w:rPr>
        <w:t xml:space="preserve"> for more information about implementation of our Risk Management Framework.</w:t>
      </w:r>
    </w:p>
    <w:p w14:paraId="773E576E" w14:textId="6654C3BD" w:rsidR="00B53F17" w:rsidRPr="00DF3006" w:rsidRDefault="00887204" w:rsidP="00887204">
      <w:pPr>
        <w:pStyle w:val="Bullets"/>
        <w:numPr>
          <w:ilvl w:val="0"/>
          <w:numId w:val="0"/>
        </w:numPr>
        <w:spacing w:before="240"/>
        <w:rPr>
          <w:rFonts w:asciiTheme="minorHAnsi" w:eastAsia="Times New Roman" w:hAnsiTheme="minorHAnsi" w:cs="Times New Roman"/>
          <w:b/>
          <w:bCs/>
          <w:noProof/>
          <w:color w:val="414042" w:themeColor="text1"/>
          <w:sz w:val="28"/>
          <w:szCs w:val="28"/>
          <w:lang w:eastAsia="en-AU"/>
        </w:rPr>
      </w:pPr>
      <w:r w:rsidRPr="00DF3006">
        <w:rPr>
          <w:i/>
          <w:color w:val="414042" w:themeColor="text1"/>
          <w:szCs w:val="20"/>
        </w:rPr>
        <w:br w:type="column"/>
      </w:r>
      <w:bookmarkStart w:id="587" w:name="_Toc102037865"/>
      <w:bookmarkStart w:id="588" w:name="_Toc102038227"/>
      <w:bookmarkStart w:id="589" w:name="_Toc102038588"/>
      <w:bookmarkStart w:id="590" w:name="_Toc102038948"/>
      <w:bookmarkStart w:id="591" w:name="_Toc102039300"/>
      <w:bookmarkStart w:id="592" w:name="_Toc102039655"/>
      <w:bookmarkStart w:id="593" w:name="_Toc102040012"/>
      <w:bookmarkStart w:id="594" w:name="_Toc102040337"/>
      <w:bookmarkStart w:id="595" w:name="_Toc102040671"/>
      <w:bookmarkStart w:id="596" w:name="_Toc102040999"/>
      <w:bookmarkStart w:id="597" w:name="_Toc102041329"/>
      <w:bookmarkStart w:id="598" w:name="_Toc102041661"/>
      <w:bookmarkStart w:id="599" w:name="_Toc102041988"/>
      <w:bookmarkStart w:id="600" w:name="_Toc102042317"/>
      <w:bookmarkStart w:id="601" w:name="_Toc102045447"/>
      <w:r w:rsidR="00B53F17" w:rsidRPr="00DF3006">
        <w:rPr>
          <w:rFonts w:asciiTheme="minorHAnsi" w:eastAsia="Times New Roman" w:hAnsiTheme="minorHAnsi" w:cs="Times New Roman"/>
          <w:b/>
          <w:bCs/>
          <w:noProof/>
          <w:color w:val="414042" w:themeColor="text1"/>
          <w:sz w:val="28"/>
          <w:szCs w:val="28"/>
          <w:lang w:eastAsia="en-AU"/>
        </w:rPr>
        <w:t>Measuring our performance</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2DAD216E" w14:textId="250C8769" w:rsidR="00B53F17" w:rsidRPr="00DF3006" w:rsidRDefault="00B53F17" w:rsidP="00C5108A">
      <w:pPr>
        <w:rPr>
          <w:color w:val="414042" w:themeColor="text1"/>
        </w:rPr>
      </w:pPr>
      <w:r w:rsidRPr="00DF3006">
        <w:rPr>
          <w:color w:val="414042" w:themeColor="text1"/>
        </w:rPr>
        <w:t>We evaluate</w:t>
      </w:r>
      <w:r w:rsidR="00A64049" w:rsidRPr="00DF3006">
        <w:rPr>
          <w:color w:val="414042" w:themeColor="text1"/>
        </w:rPr>
        <w:t>d</w:t>
      </w:r>
      <w:r w:rsidRPr="00DF3006">
        <w:rPr>
          <w:color w:val="414042" w:themeColor="text1"/>
        </w:rPr>
        <w:t xml:space="preserve"> our performance toward the objectives </w:t>
      </w:r>
      <w:r w:rsidRPr="00DF3006">
        <w:rPr>
          <w:color w:val="414042" w:themeColor="text1"/>
        </w:rPr>
        <w:br/>
        <w:t xml:space="preserve">in our </w:t>
      </w:r>
      <w:r w:rsidRPr="00DF3006">
        <w:rPr>
          <w:i/>
          <w:iCs/>
          <w:color w:val="414042" w:themeColor="text1"/>
          <w:u w:color="BCBEC0" w:themeColor="accent5"/>
        </w:rPr>
        <w:t>Strategic Plan</w:t>
      </w:r>
      <w:r w:rsidRPr="00DF3006">
        <w:rPr>
          <w:i/>
          <w:iCs/>
          <w:color w:val="414042" w:themeColor="text1"/>
        </w:rPr>
        <w:t xml:space="preserve"> </w:t>
      </w:r>
      <w:r w:rsidR="000D5F39" w:rsidRPr="00DF3006">
        <w:rPr>
          <w:i/>
          <w:iCs/>
          <w:color w:val="414042" w:themeColor="text1"/>
          <w:u w:color="BCBEC0" w:themeColor="accent5"/>
        </w:rPr>
        <w:t>2022–26</w:t>
      </w:r>
      <w:r w:rsidR="00322245" w:rsidRPr="00DF3006">
        <w:rPr>
          <w:i/>
          <w:iCs/>
          <w:color w:val="414042" w:themeColor="text1"/>
          <w:u w:color="BCBEC0" w:themeColor="accent5"/>
        </w:rPr>
        <w:t xml:space="preserve"> </w:t>
      </w:r>
      <w:r w:rsidRPr="00DF3006">
        <w:rPr>
          <w:color w:val="414042" w:themeColor="text1"/>
        </w:rPr>
        <w:t>against the following performance measures:</w:t>
      </w:r>
    </w:p>
    <w:p w14:paraId="65E84636" w14:textId="77777777" w:rsidR="00B53F17" w:rsidRPr="00DF3006" w:rsidRDefault="00B53F17">
      <w:pPr>
        <w:pStyle w:val="Bullets"/>
        <w:rPr>
          <w:color w:val="414042" w:themeColor="text1"/>
        </w:rPr>
      </w:pPr>
      <w:r w:rsidRPr="00DF3006">
        <w:rPr>
          <w:color w:val="414042" w:themeColor="text1"/>
        </w:rPr>
        <w:t xml:space="preserve">improved investigative </w:t>
      </w:r>
      <w:proofErr w:type="gramStart"/>
      <w:r w:rsidRPr="00DF3006">
        <w:rPr>
          <w:color w:val="414042" w:themeColor="text1"/>
        </w:rPr>
        <w:t>outcomes</w:t>
      </w:r>
      <w:proofErr w:type="gramEnd"/>
    </w:p>
    <w:p w14:paraId="1ADA69E0" w14:textId="77777777" w:rsidR="00B53F17" w:rsidRPr="00DF3006" w:rsidRDefault="00B53F17">
      <w:pPr>
        <w:pStyle w:val="Bullets"/>
        <w:rPr>
          <w:color w:val="414042" w:themeColor="text1"/>
        </w:rPr>
      </w:pPr>
      <w:r w:rsidRPr="00DF3006">
        <w:rPr>
          <w:color w:val="414042" w:themeColor="text1"/>
        </w:rPr>
        <w:t>improved confidence in the work of the CCC</w:t>
      </w:r>
    </w:p>
    <w:p w14:paraId="481C6B33" w14:textId="77777777" w:rsidR="00B53F17" w:rsidRPr="00DF3006" w:rsidRDefault="00B53F17">
      <w:pPr>
        <w:pStyle w:val="Bullets"/>
        <w:rPr>
          <w:color w:val="414042" w:themeColor="text1"/>
        </w:rPr>
      </w:pPr>
      <w:r w:rsidRPr="00DF3006">
        <w:rPr>
          <w:color w:val="414042" w:themeColor="text1"/>
        </w:rPr>
        <w:t>improved staff engagement and wellbeing, and</w:t>
      </w:r>
    </w:p>
    <w:p w14:paraId="39E7CC73" w14:textId="1D98C203" w:rsidR="00B84422" w:rsidRPr="00DF3006" w:rsidRDefault="00B53F17" w:rsidP="00B84422">
      <w:pPr>
        <w:pStyle w:val="Bullets"/>
        <w:rPr>
          <w:color w:val="414042" w:themeColor="text1"/>
        </w:rPr>
      </w:pPr>
      <w:r w:rsidRPr="00DF3006">
        <w:rPr>
          <w:color w:val="414042" w:themeColor="text1"/>
        </w:rPr>
        <w:t>improved systems and analytic capability</w:t>
      </w:r>
      <w:r w:rsidR="00B84422" w:rsidRPr="00DF3006">
        <w:rPr>
          <w:rStyle w:val="FootnoteReference"/>
          <w:color w:val="414042" w:themeColor="text1"/>
        </w:rPr>
        <w:footnoteReference w:id="2"/>
      </w:r>
    </w:p>
    <w:p w14:paraId="15DC321D" w14:textId="7D121620" w:rsidR="00887204" w:rsidRPr="00DF3006" w:rsidRDefault="00887204" w:rsidP="00EF6BC9">
      <w:pPr>
        <w:pStyle w:val="Bullets"/>
        <w:numPr>
          <w:ilvl w:val="0"/>
          <w:numId w:val="0"/>
        </w:numPr>
        <w:spacing w:before="240"/>
        <w:ind w:left="142"/>
        <w:rPr>
          <w:i/>
          <w:iCs/>
          <w:color w:val="414042" w:themeColor="text1"/>
        </w:rPr>
      </w:pPr>
      <w:r w:rsidRPr="00DF3006">
        <w:rPr>
          <w:i/>
          <w:iCs/>
          <w:color w:val="414042" w:themeColor="text1"/>
        </w:rPr>
        <w:t>A snapshot of our performance toward these measures is provided on pages 22–23.</w:t>
      </w:r>
    </w:p>
    <w:p w14:paraId="4EB734D8"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0EF49323"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18440542"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4D125919"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5B5A7A1F"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196F556F"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65CFBA4E"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2CBBFB4D"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3D8D13A6"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3AE88633"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5E8F888C"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2CDD8FDA"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3828D69A"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3085FCF5"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5D6BF78E"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63EA20D5"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4C93E0CF"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689BFF6D"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59BD555B"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0DA72F50"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541957D7"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50565BAC"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6FFA3C82"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34C0666B"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4C06A504"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239C5155" w14:textId="77777777" w:rsidR="00887204" w:rsidRPr="00DF3006" w:rsidRDefault="00887204" w:rsidP="00887204">
      <w:pPr>
        <w:pStyle w:val="Bullets"/>
        <w:numPr>
          <w:ilvl w:val="0"/>
          <w:numId w:val="0"/>
        </w:numPr>
        <w:ind w:left="502" w:hanging="360"/>
        <w:rPr>
          <w:i/>
          <w:iCs/>
          <w:color w:val="414042" w:themeColor="text1"/>
          <w:u w:color="BCBEC0" w:themeColor="accent5"/>
        </w:rPr>
      </w:pPr>
    </w:p>
    <w:p w14:paraId="070FD530" w14:textId="2557C71D" w:rsidR="00887204" w:rsidRPr="00DF3006" w:rsidRDefault="00887204" w:rsidP="00887204">
      <w:pPr>
        <w:pStyle w:val="Bullets"/>
        <w:numPr>
          <w:ilvl w:val="0"/>
          <w:numId w:val="0"/>
        </w:numPr>
        <w:rPr>
          <w:rStyle w:val="FootnoteReference"/>
          <w:i/>
          <w:iCs/>
          <w:color w:val="414042" w:themeColor="text1"/>
          <w:u w:color="BCBEC0" w:themeColor="accent5"/>
        </w:rPr>
        <w:sectPr w:rsidR="00887204" w:rsidRPr="00DF3006" w:rsidSect="00887204">
          <w:type w:val="continuous"/>
          <w:pgSz w:w="11906" w:h="16838" w:code="9"/>
          <w:pgMar w:top="2155" w:right="1134" w:bottom="964" w:left="1134" w:header="720" w:footer="284" w:gutter="0"/>
          <w:cols w:num="2" w:space="567"/>
          <w:noEndnote/>
          <w:docGrid w:linePitch="272"/>
          <w15:footnoteColumns w:val="1"/>
        </w:sectPr>
      </w:pPr>
    </w:p>
    <w:p w14:paraId="4AC8F629" w14:textId="205C080B" w:rsidR="00FA6C71" w:rsidRPr="00DF3006" w:rsidRDefault="00FA6C71" w:rsidP="00B41577">
      <w:pPr>
        <w:pStyle w:val="Heading2"/>
        <w:spacing w:after="120"/>
      </w:pPr>
      <w:bookmarkStart w:id="602" w:name="performanceinformation"/>
      <w:bookmarkStart w:id="603" w:name="_Toc102037874"/>
      <w:bookmarkStart w:id="604" w:name="_Toc102038236"/>
      <w:bookmarkStart w:id="605" w:name="_Toc102038597"/>
      <w:bookmarkStart w:id="606" w:name="_Toc102038957"/>
      <w:bookmarkStart w:id="607" w:name="_Toc102039309"/>
      <w:bookmarkStart w:id="608" w:name="_Toc102039664"/>
      <w:bookmarkStart w:id="609" w:name="_Toc102040021"/>
      <w:bookmarkStart w:id="610" w:name="_Toc102040346"/>
      <w:bookmarkStart w:id="611" w:name="_Toc102040680"/>
      <w:bookmarkStart w:id="612" w:name="_Toc102041008"/>
      <w:bookmarkStart w:id="613" w:name="_Toc102041338"/>
      <w:bookmarkStart w:id="614" w:name="_Toc102041670"/>
      <w:bookmarkStart w:id="615" w:name="_Toc102041997"/>
      <w:bookmarkStart w:id="616" w:name="_Toc102042326"/>
      <w:bookmarkStart w:id="617" w:name="_Toc102045456"/>
      <w:bookmarkEnd w:id="602"/>
      <w:r w:rsidRPr="00DF3006">
        <w:lastRenderedPageBreak/>
        <w:t>Performance information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4A7C76F2" w14:textId="32FB5FA6" w:rsidR="006D5185" w:rsidRPr="00DF3006" w:rsidRDefault="003E73D0" w:rsidP="00E6066A">
      <w:pPr>
        <w:pStyle w:val="Heading3"/>
      </w:pPr>
      <w:bookmarkStart w:id="618" w:name="_Toc102037875"/>
      <w:bookmarkStart w:id="619" w:name="_Toc102038237"/>
      <w:bookmarkStart w:id="620" w:name="_Toc102038598"/>
      <w:bookmarkStart w:id="621" w:name="_Toc102038958"/>
      <w:bookmarkStart w:id="622" w:name="_Toc102039310"/>
      <w:bookmarkStart w:id="623" w:name="_Toc102039665"/>
      <w:bookmarkStart w:id="624" w:name="_Toc102040022"/>
      <w:bookmarkStart w:id="625" w:name="_Toc102040347"/>
      <w:bookmarkStart w:id="626" w:name="_Toc102040681"/>
      <w:bookmarkStart w:id="627" w:name="_Toc102041009"/>
      <w:bookmarkStart w:id="628" w:name="_Toc102041339"/>
      <w:bookmarkStart w:id="629" w:name="_Toc102041671"/>
      <w:bookmarkStart w:id="630" w:name="_Toc102041998"/>
      <w:bookmarkStart w:id="631" w:name="_Toc102042327"/>
      <w:bookmarkStart w:id="632" w:name="_Toc102045457"/>
      <w:r w:rsidRPr="00DF3006">
        <w:t>Our S</w:t>
      </w:r>
      <w:r w:rsidR="00307C87" w:rsidRPr="00DF3006">
        <w:t xml:space="preserve">ervice </w:t>
      </w:r>
      <w:r w:rsidRPr="00DF3006">
        <w:t>D</w:t>
      </w:r>
      <w:r w:rsidR="00307C87" w:rsidRPr="00DF3006">
        <w:t>elivery</w:t>
      </w:r>
      <w:r w:rsidR="007F63B2" w:rsidRPr="00DF3006">
        <w:t xml:space="preserve"> </w:t>
      </w:r>
      <w:r w:rsidR="006D1876" w:rsidRPr="00DF3006">
        <w:t>Standards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005A2BE5" w:rsidRPr="00DF3006">
        <w:t>: Crime Fighting and Anti-Corruption</w:t>
      </w:r>
    </w:p>
    <w:p w14:paraId="7F39C8BD" w14:textId="3C2DA801" w:rsidR="003428BB" w:rsidRPr="00DF3006" w:rsidRDefault="003428BB" w:rsidP="00D8332A">
      <w:pPr>
        <w:rPr>
          <w:color w:val="414042" w:themeColor="text1"/>
        </w:rPr>
      </w:pPr>
      <w:r w:rsidRPr="00DF3006">
        <w:rPr>
          <w:color w:val="414042" w:themeColor="text1"/>
        </w:rPr>
        <w:t>As part of the Queensland Government’s budget process, the CCC reports its non-financial performance in the Department of Justice and Attorney-General Service Delivery Statement.</w:t>
      </w:r>
    </w:p>
    <w:p w14:paraId="442E0F27" w14:textId="1B4B7072" w:rsidR="00697BCD" w:rsidRPr="00DF3006" w:rsidRDefault="00697BCD" w:rsidP="00463FBB">
      <w:pPr>
        <w:pStyle w:val="Heading4"/>
      </w:pPr>
      <w:r w:rsidRPr="00DF3006">
        <w:t xml:space="preserve">Service area objective: Protect Queenslanders from major crime and </w:t>
      </w:r>
      <w:proofErr w:type="gramStart"/>
      <w:r w:rsidRPr="00DF3006">
        <w:t>corruption</w:t>
      </w:r>
      <w:proofErr w:type="gramEnd"/>
    </w:p>
    <w:tbl>
      <w:tblPr>
        <w:tblStyle w:val="TableGrid2"/>
        <w:tblW w:w="9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686"/>
        <w:gridCol w:w="4687"/>
      </w:tblGrid>
      <w:tr w:rsidR="00DF3006" w:rsidRPr="00DF3006" w14:paraId="41A86631" w14:textId="77777777" w:rsidTr="00BE57E9">
        <w:trPr>
          <w:trHeight w:val="20"/>
        </w:trPr>
        <w:tc>
          <w:tcPr>
            <w:tcW w:w="4686" w:type="dxa"/>
          </w:tcPr>
          <w:p w14:paraId="3B1EE011" w14:textId="318E8E17" w:rsidR="009950D9" w:rsidRPr="00DF3006" w:rsidRDefault="009950D9" w:rsidP="00463FBB">
            <w:pPr>
              <w:pStyle w:val="Heading4b"/>
            </w:pPr>
            <w:bookmarkStart w:id="633" w:name="_Toc102037876"/>
            <w:bookmarkStart w:id="634" w:name="_Toc102038238"/>
            <w:bookmarkStart w:id="635" w:name="_Toc102038599"/>
            <w:bookmarkStart w:id="636" w:name="_Toc102038959"/>
            <w:bookmarkStart w:id="637" w:name="_Toc102039311"/>
            <w:bookmarkStart w:id="638" w:name="_Toc102039666"/>
            <w:bookmarkStart w:id="639" w:name="_Toc102040023"/>
            <w:bookmarkStart w:id="640" w:name="_Toc102040348"/>
            <w:bookmarkStart w:id="641" w:name="_Toc102040682"/>
            <w:bookmarkStart w:id="642" w:name="_Toc102041010"/>
            <w:bookmarkStart w:id="643" w:name="_Toc102041340"/>
            <w:bookmarkStart w:id="644" w:name="_Toc102041672"/>
            <w:bookmarkStart w:id="645" w:name="_Toc102041999"/>
            <w:bookmarkStart w:id="646" w:name="_Toc102042328"/>
            <w:bookmarkStart w:id="647" w:name="_Toc102045458"/>
            <w:r w:rsidRPr="00DF3006">
              <w:t>Figure 1: Percentage of targeted criminal organisation participants disrupted as a result of CCC intelligence operations</w:t>
            </w:r>
            <w:r w:rsidRPr="00DF3006">
              <w:rPr>
                <w:vertAlign w:val="superscript"/>
              </w:rPr>
              <w:t>1</w:t>
            </w:r>
          </w:p>
        </w:tc>
        <w:tc>
          <w:tcPr>
            <w:tcW w:w="4687" w:type="dxa"/>
          </w:tcPr>
          <w:p w14:paraId="113BE40C" w14:textId="3EA67A9D" w:rsidR="009950D9" w:rsidRPr="00DF3006" w:rsidRDefault="009950D9" w:rsidP="00463FBB">
            <w:pPr>
              <w:pStyle w:val="Heading4b"/>
            </w:pPr>
            <w:r w:rsidRPr="00DF3006">
              <w:t>Figure 2: Percentage of corruption investigations finalised within 12 months</w:t>
            </w:r>
            <w:r w:rsidRPr="00DF3006">
              <w:rPr>
                <w:vertAlign w:val="superscript"/>
              </w:rPr>
              <w:t>2</w:t>
            </w:r>
          </w:p>
        </w:tc>
      </w:tr>
      <w:tr w:rsidR="00DF3006" w:rsidRPr="00DF3006" w14:paraId="1D706154" w14:textId="77777777" w:rsidTr="00BE57E9">
        <w:trPr>
          <w:trHeight w:val="20"/>
        </w:trPr>
        <w:tc>
          <w:tcPr>
            <w:tcW w:w="4686" w:type="dxa"/>
          </w:tcPr>
          <w:p w14:paraId="7172300B" w14:textId="57E9C2CC" w:rsidR="009950D9" w:rsidRPr="00DF3006" w:rsidRDefault="009A7DB3" w:rsidP="00EF5FA1">
            <w:pPr>
              <w:keepNext/>
              <w:suppressAutoHyphens/>
              <w:autoSpaceDE w:val="0"/>
              <w:autoSpaceDN w:val="0"/>
              <w:adjustRightInd w:val="0"/>
              <w:spacing w:before="120" w:after="0"/>
              <w:ind w:left="57" w:right="57"/>
              <w:textAlignment w:val="center"/>
              <w:rPr>
                <w:rFonts w:ascii="Calibri" w:hAnsi="Calibri" w:cs="Calibri"/>
                <w:color w:val="414042" w:themeColor="text1"/>
              </w:rPr>
            </w:pPr>
            <w:r w:rsidRPr="00DF3006">
              <w:rPr>
                <w:rFonts w:ascii="Calibri" w:hAnsi="Calibri" w:cs="Calibri"/>
                <w:noProof/>
                <w:color w:val="414042" w:themeColor="text1"/>
              </w:rPr>
              <mc:AlternateContent>
                <mc:Choice Requires="wps">
                  <w:drawing>
                    <wp:anchor distT="0" distB="0" distL="114300" distR="114300" simplePos="0" relativeHeight="252340224" behindDoc="0" locked="0" layoutInCell="1" allowOverlap="1" wp14:anchorId="42C3EBA2" wp14:editId="15A0839E">
                      <wp:simplePos x="0" y="0"/>
                      <wp:positionH relativeFrom="column">
                        <wp:posOffset>1685259</wp:posOffset>
                      </wp:positionH>
                      <wp:positionV relativeFrom="paragraph">
                        <wp:posOffset>-120658</wp:posOffset>
                      </wp:positionV>
                      <wp:extent cx="1231900" cy="234849"/>
                      <wp:effectExtent l="0" t="0"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34849"/>
                              </a:xfrm>
                              <a:prstGeom prst="rect">
                                <a:avLst/>
                              </a:prstGeom>
                              <a:noFill/>
                              <a:ln w="9525">
                                <a:noFill/>
                                <a:miter lim="800000"/>
                                <a:headEnd/>
                                <a:tailEnd/>
                              </a:ln>
                            </wps:spPr>
                            <wps:txbx>
                              <w:txbxContent>
                                <w:p w14:paraId="778CF4EC"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D2546D">
                                    <w:rPr>
                                      <w:rFonts w:asciiTheme="majorHAnsi" w:hAnsiTheme="majorHAnsi" w:cstheme="majorHAnsi"/>
                                      <w:color w:val="414042" w:themeColor="text1"/>
                                      <w:spacing w:val="4"/>
                                      <w:sz w:val="16"/>
                                      <w:szCs w:val="18"/>
                                    </w:rPr>
                                    <w:t>9</w:t>
                                  </w:r>
                                  <w:r>
                                    <w:rPr>
                                      <w:rFonts w:asciiTheme="majorHAnsi" w:hAnsiTheme="majorHAnsi" w:cstheme="majorHAnsi"/>
                                      <w:color w:val="414042" w:themeColor="text1"/>
                                      <w:spacing w:val="4"/>
                                      <w:sz w:val="16"/>
                                      <w:szCs w:val="18"/>
                                    </w:rPr>
                                    <w:t>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2C3EBA2" id="Text Box 954" o:spid="_x0000_s1030" type="#_x0000_t202" style="position:absolute;left:0;text-align:left;margin-left:132.7pt;margin-top:-9.5pt;width:97pt;height:18.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C0+wEAANQDAAAOAAAAZHJzL2Uyb0RvYy54bWysU9uO2yAQfa/Uf0C8N3a8TptYcVbb3W5V&#10;aXuRtv0AjHGMCgwFEjv9+h2wNxu1b1X9gMDDnJlz5rC9HrUiR+G8BFPT5SKnRBgOrTT7mv74fv9m&#10;TY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" filled="f" stroked="f">
                      <v:textbox>
                        <w:txbxContent>
                          <w:p w14:paraId="778CF4EC"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D2546D">
                              <w:rPr>
                                <w:rFonts w:asciiTheme="majorHAnsi" w:hAnsiTheme="majorHAnsi" w:cstheme="majorHAnsi"/>
                                <w:color w:val="414042" w:themeColor="text1"/>
                                <w:spacing w:val="4"/>
                                <w:sz w:val="16"/>
                                <w:szCs w:val="18"/>
                              </w:rPr>
                              <w:t>9</w:t>
                            </w:r>
                            <w:r>
                              <w:rPr>
                                <w:rFonts w:asciiTheme="majorHAnsi" w:hAnsiTheme="majorHAnsi" w:cstheme="majorHAnsi"/>
                                <w:color w:val="414042" w:themeColor="text1"/>
                                <w:spacing w:val="4"/>
                                <w:sz w:val="16"/>
                                <w:szCs w:val="18"/>
                              </w:rPr>
                              <w:t>0</w:t>
                            </w:r>
                            <w:r w:rsidRPr="00DE4C63">
                              <w:rPr>
                                <w:rFonts w:asciiTheme="majorHAnsi" w:hAnsiTheme="majorHAnsi" w:cstheme="majorHAnsi"/>
                                <w:color w:val="414042" w:themeColor="text1"/>
                                <w:spacing w:val="4"/>
                                <w:sz w:val="16"/>
                                <w:szCs w:val="18"/>
                              </w:rPr>
                              <w:t>%</w:t>
                            </w:r>
                          </w:p>
                        </w:txbxContent>
                      </v:textbox>
                    </v:shape>
                  </w:pict>
                </mc:Fallback>
              </mc:AlternateContent>
            </w:r>
            <w:r w:rsidR="004B5DD3" w:rsidRPr="00DF3006">
              <w:rPr>
                <w:rFonts w:ascii="Calibri" w:hAnsi="Calibri" w:cs="Calibri"/>
                <w:noProof/>
                <w:color w:val="414042" w:themeColor="text1"/>
              </w:rPr>
              <mc:AlternateContent>
                <mc:Choice Requires="wps">
                  <w:drawing>
                    <wp:anchor distT="0" distB="0" distL="114300" distR="114300" simplePos="0" relativeHeight="252341248" behindDoc="0" locked="0" layoutInCell="1" allowOverlap="1" wp14:anchorId="618B05E4" wp14:editId="49E608A8">
                      <wp:simplePos x="0" y="0"/>
                      <wp:positionH relativeFrom="column">
                        <wp:posOffset>2336631</wp:posOffset>
                      </wp:positionH>
                      <wp:positionV relativeFrom="paragraph">
                        <wp:posOffset>75686</wp:posOffset>
                      </wp:positionV>
                      <wp:extent cx="0" cy="196008"/>
                      <wp:effectExtent l="0" t="0" r="38100" b="13970"/>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96008"/>
                              </a:xfrm>
                              <a:prstGeom prst="line">
                                <a:avLst/>
                              </a:prstGeom>
                              <a:noFill/>
                              <a:ln w="6350" cap="flat" cmpd="sng" algn="ctr">
                                <a:solidFill>
                                  <a:schemeClr val="bg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51D732" id="Straight Connector 953" o:spid="_x0000_s1026" style="position:absolute;flip:x 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5.95pt" to="18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" strokecolor="white [3212]" strokeweight=".5pt">
                      <v:stroke dashstyle="3 1" joinstyle="miter"/>
                      <o:lock v:ext="edit" shapetype="f"/>
                    </v:line>
                  </w:pict>
                </mc:Fallback>
              </mc:AlternateConten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009950D9" w:rsidRPr="00DF3006">
              <w:rPr>
                <w:rFonts w:ascii="Calibri" w:hAnsi="Calibri" w:cs="Calibri"/>
                <w:noProof/>
                <w:color w:val="414042" w:themeColor="text1"/>
              </w:rPr>
              <w:drawing>
                <wp:inline distT="0" distB="0" distL="0" distR="0" wp14:anchorId="6C6DF2FA" wp14:editId="1839C467">
                  <wp:extent cx="2879725" cy="415126"/>
                  <wp:effectExtent l="0" t="0" r="0" b="4445"/>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687" w:type="dxa"/>
          </w:tcPr>
          <w:p w14:paraId="33FA1E7D" w14:textId="39A1AB3C" w:rsidR="009950D9" w:rsidRPr="00DF3006" w:rsidRDefault="0013317A" w:rsidP="00EF5FA1">
            <w:pPr>
              <w:keepNext/>
              <w:suppressAutoHyphens/>
              <w:autoSpaceDE w:val="0"/>
              <w:autoSpaceDN w:val="0"/>
              <w:adjustRightInd w:val="0"/>
              <w:spacing w:before="120" w:after="0"/>
              <w:ind w:left="57" w:right="57"/>
              <w:textAlignment w:val="center"/>
              <w:rPr>
                <w:rFonts w:ascii="Calibri" w:hAnsi="Calibri" w:cs="Calibri"/>
                <w:color w:val="414042" w:themeColor="text1"/>
              </w:rPr>
            </w:pPr>
            <w:bookmarkStart w:id="648" w:name="_Toc102041673"/>
            <w:bookmarkStart w:id="649" w:name="_Toc102042000"/>
            <w:bookmarkStart w:id="650" w:name="_Toc102042329"/>
            <w:bookmarkStart w:id="651" w:name="_Toc102045459"/>
            <w:r w:rsidRPr="00DF3006">
              <w:rPr>
                <w:noProof/>
                <w:color w:val="414042" w:themeColor="text1"/>
              </w:rPr>
              <mc:AlternateContent>
                <mc:Choice Requires="wps">
                  <w:drawing>
                    <wp:anchor distT="0" distB="0" distL="114300" distR="114300" simplePos="0" relativeHeight="252347392" behindDoc="0" locked="0" layoutInCell="1" allowOverlap="1" wp14:anchorId="538611E5" wp14:editId="326C8AEE">
                      <wp:simplePos x="0" y="0"/>
                      <wp:positionH relativeFrom="column">
                        <wp:posOffset>1708160</wp:posOffset>
                      </wp:positionH>
                      <wp:positionV relativeFrom="paragraph">
                        <wp:posOffset>-123142</wp:posOffset>
                      </wp:positionV>
                      <wp:extent cx="1241425" cy="272226"/>
                      <wp:effectExtent l="0" t="0" r="0"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72226"/>
                              </a:xfrm>
                              <a:prstGeom prst="rect">
                                <a:avLst/>
                              </a:prstGeom>
                              <a:noFill/>
                              <a:ln w="9525">
                                <a:noFill/>
                                <a:miter lim="800000"/>
                                <a:headEnd/>
                                <a:tailEnd/>
                              </a:ln>
                            </wps:spPr>
                            <wps:txbx>
                              <w:txbxContent>
                                <w:p w14:paraId="759D0049"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 </w:t>
                                  </w:r>
                                  <w:r w:rsidRPr="00B01E6D">
                                    <w:rPr>
                                      <w:rFonts w:asciiTheme="majorHAnsi" w:hAnsiTheme="majorHAnsi" w:cstheme="majorHAnsi"/>
                                      <w:color w:val="414042" w:themeColor="text1"/>
                                      <w:spacing w:val="4"/>
                                      <w:sz w:val="16"/>
                                      <w:szCs w:val="18"/>
                                    </w:rPr>
                                    <w:t>85</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38611E5" id="Text Box 952" o:spid="_x0000_s1031" type="#_x0000_t202" style="position:absolute;left:0;text-align:left;margin-left:134.5pt;margin-top:-9.7pt;width:97.75pt;height:21.4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" filled="f" stroked="f">
                      <v:textbox>
                        <w:txbxContent>
                          <w:p w14:paraId="759D0049"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 </w:t>
                            </w:r>
                            <w:r w:rsidRPr="00B01E6D">
                              <w:rPr>
                                <w:rFonts w:asciiTheme="majorHAnsi" w:hAnsiTheme="majorHAnsi" w:cstheme="majorHAnsi"/>
                                <w:color w:val="414042" w:themeColor="text1"/>
                                <w:spacing w:val="4"/>
                                <w:sz w:val="16"/>
                                <w:szCs w:val="18"/>
                              </w:rPr>
                              <w:t>85</w:t>
                            </w:r>
                            <w:r w:rsidRPr="00DE4C63">
                              <w:rPr>
                                <w:rFonts w:asciiTheme="majorHAnsi" w:hAnsiTheme="majorHAnsi" w:cstheme="majorHAnsi"/>
                                <w:color w:val="414042" w:themeColor="text1"/>
                                <w:spacing w:val="4"/>
                                <w:sz w:val="16"/>
                                <w:szCs w:val="18"/>
                              </w:rPr>
                              <w:t>%</w:t>
                            </w:r>
                          </w:p>
                        </w:txbxContent>
                      </v:textbox>
                    </v:shape>
                  </w:pict>
                </mc:Fallback>
              </mc:AlternateContent>
            </w:r>
            <w:r w:rsidR="009A7DB3" w:rsidRPr="00DF3006">
              <w:rPr>
                <w:rFonts w:ascii="Calibri" w:hAnsi="Calibri" w:cs="Calibri"/>
                <w:noProof/>
                <w:color w:val="414042" w:themeColor="text1"/>
              </w:rPr>
              <mc:AlternateContent>
                <mc:Choice Requires="wps">
                  <w:drawing>
                    <wp:anchor distT="0" distB="0" distL="114300" distR="114300" simplePos="0" relativeHeight="252348416" behindDoc="0" locked="0" layoutInCell="1" allowOverlap="1" wp14:anchorId="3AB90D30" wp14:editId="0A54ED04">
                      <wp:simplePos x="0" y="0"/>
                      <wp:positionH relativeFrom="column">
                        <wp:posOffset>2297592</wp:posOffset>
                      </wp:positionH>
                      <wp:positionV relativeFrom="paragraph">
                        <wp:posOffset>103505</wp:posOffset>
                      </wp:positionV>
                      <wp:extent cx="0" cy="218783"/>
                      <wp:effectExtent l="0" t="0" r="38100" b="29210"/>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8783"/>
                              </a:xfrm>
                              <a:prstGeom prst="line">
                                <a:avLst/>
                              </a:prstGeom>
                              <a:noFill/>
                              <a:ln w="6350" cap="flat" cmpd="sng" algn="ctr">
                                <a:solidFill>
                                  <a:srgbClr val="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AF9E73" id="Straight Connector 950" o:spid="_x0000_s1026" style="position:absolute;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8.15pt" to="180.9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" strokeweight=".5pt">
                      <v:stroke dashstyle="3 1" joinstyle="miter"/>
                      <o:lock v:ext="edit" shapetype="f"/>
                    </v:line>
                  </w:pict>
                </mc:Fallback>
              </mc:AlternateContent>
            </w:r>
            <w:bookmarkEnd w:id="648"/>
            <w:bookmarkEnd w:id="649"/>
            <w:bookmarkEnd w:id="650"/>
            <w:bookmarkEnd w:id="651"/>
            <w:r w:rsidR="009950D9" w:rsidRPr="00DF3006">
              <w:rPr>
                <w:rFonts w:ascii="Calibri" w:hAnsi="Calibri" w:cs="Calibri"/>
                <w:noProof/>
                <w:color w:val="414042" w:themeColor="text1"/>
                <w:spacing w:val="-5"/>
              </w:rPr>
              <w:drawing>
                <wp:inline distT="0" distB="0" distL="0" distR="0" wp14:anchorId="59137BE2" wp14:editId="67779036">
                  <wp:extent cx="2880360" cy="1060704"/>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DF3006" w:rsidRPr="00DF3006" w14:paraId="19CEA234" w14:textId="77777777" w:rsidTr="00BE57E9">
        <w:trPr>
          <w:trHeight w:val="20"/>
        </w:trPr>
        <w:tc>
          <w:tcPr>
            <w:tcW w:w="4686" w:type="dxa"/>
          </w:tcPr>
          <w:p w14:paraId="683EEA43" w14:textId="3DD8B57F" w:rsidR="009950D9" w:rsidRPr="00DF3006" w:rsidRDefault="009950D9" w:rsidP="00463FBB">
            <w:pPr>
              <w:pStyle w:val="Heading4b"/>
            </w:pPr>
            <w:bookmarkStart w:id="652" w:name="_Toc102041341"/>
            <w:bookmarkStart w:id="653" w:name="_Toc102041674"/>
            <w:bookmarkStart w:id="654" w:name="_Toc102042001"/>
            <w:bookmarkStart w:id="655" w:name="_Toc102042330"/>
            <w:bookmarkStart w:id="656" w:name="_Toc102045460"/>
            <w:bookmarkStart w:id="657" w:name="_Toc102037877"/>
            <w:bookmarkStart w:id="658" w:name="_Toc102040349"/>
            <w:bookmarkStart w:id="659" w:name="_Toc102040683"/>
            <w:bookmarkStart w:id="660" w:name="_Toc102041011"/>
            <w:r w:rsidRPr="00DF3006">
              <w:t>Figure 3: Percentage of referred crime investigations finalised within six months</w:t>
            </w:r>
            <w:bookmarkEnd w:id="652"/>
            <w:bookmarkEnd w:id="653"/>
            <w:bookmarkEnd w:id="654"/>
            <w:bookmarkEnd w:id="655"/>
            <w:bookmarkEnd w:id="656"/>
            <w:r w:rsidRPr="00DF3006">
              <w:rPr>
                <w:vertAlign w:val="superscript"/>
              </w:rPr>
              <w:t>3</w:t>
            </w:r>
          </w:p>
        </w:tc>
        <w:tc>
          <w:tcPr>
            <w:tcW w:w="4687" w:type="dxa"/>
          </w:tcPr>
          <w:p w14:paraId="3BB49541" w14:textId="10C5AF13" w:rsidR="009950D9" w:rsidRPr="00DF3006" w:rsidRDefault="0013317A" w:rsidP="00463FBB">
            <w:pPr>
              <w:pStyle w:val="Heading4b"/>
            </w:pPr>
            <w:r w:rsidRPr="00DF3006">
              <mc:AlternateContent>
                <mc:Choice Requires="wps">
                  <w:drawing>
                    <wp:anchor distT="0" distB="0" distL="114300" distR="114300" simplePos="0" relativeHeight="252349440" behindDoc="0" locked="0" layoutInCell="1" allowOverlap="1" wp14:anchorId="384E1122" wp14:editId="40C22945">
                      <wp:simplePos x="0" y="0"/>
                      <wp:positionH relativeFrom="column">
                        <wp:posOffset>1701180</wp:posOffset>
                      </wp:positionH>
                      <wp:positionV relativeFrom="paragraph">
                        <wp:posOffset>416075</wp:posOffset>
                      </wp:positionV>
                      <wp:extent cx="1206500" cy="244306"/>
                      <wp:effectExtent l="0" t="0" r="0" b="381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4306"/>
                              </a:xfrm>
                              <a:prstGeom prst="rect">
                                <a:avLst/>
                              </a:prstGeom>
                              <a:noFill/>
                              <a:ln w="9525">
                                <a:noFill/>
                                <a:miter lim="800000"/>
                                <a:headEnd/>
                                <a:tailEnd/>
                              </a:ln>
                            </wps:spPr>
                            <wps:txbx>
                              <w:txbxContent>
                                <w:p w14:paraId="4249B4BF"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w:t>
                                  </w:r>
                                  <w:r>
                                    <w:rPr>
                                      <w:rFonts w:asciiTheme="majorHAnsi" w:hAnsiTheme="majorHAnsi" w:cstheme="majorHAnsi"/>
                                      <w:i/>
                                      <w:iCs/>
                                      <w:color w:val="414042" w:themeColor="text1"/>
                                      <w:spacing w:val="4"/>
                                      <w:sz w:val="16"/>
                                      <w:szCs w:val="18"/>
                                    </w:rPr>
                                    <w:t>22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01E6D">
                                    <w:rPr>
                                      <w:rFonts w:asciiTheme="majorHAnsi" w:hAnsiTheme="majorHAnsi" w:cstheme="majorHAnsi"/>
                                      <w:color w:val="414042" w:themeColor="text1"/>
                                      <w:spacing w:val="4"/>
                                      <w:sz w:val="16"/>
                                      <w:szCs w:val="18"/>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E1122" id="Text Box 947" o:spid="_x0000_s1032" type="#_x0000_t202" style="position:absolute;margin-left:133.95pt;margin-top:32.75pt;width:95pt;height:19.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" filled="f" stroked="f">
                      <v:textbox>
                        <w:txbxContent>
                          <w:p w14:paraId="4249B4BF"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w:t>
                            </w:r>
                            <w:r>
                              <w:rPr>
                                <w:rFonts w:asciiTheme="majorHAnsi" w:hAnsiTheme="majorHAnsi" w:cstheme="majorHAnsi"/>
                                <w:i/>
                                <w:iCs/>
                                <w:color w:val="414042" w:themeColor="text1"/>
                                <w:spacing w:val="4"/>
                                <w:sz w:val="16"/>
                                <w:szCs w:val="18"/>
                              </w:rPr>
                              <w:t>22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01E6D">
                              <w:rPr>
                                <w:rFonts w:asciiTheme="majorHAnsi" w:hAnsiTheme="majorHAnsi" w:cstheme="majorHAnsi"/>
                                <w:color w:val="414042" w:themeColor="text1"/>
                                <w:spacing w:val="4"/>
                                <w:sz w:val="16"/>
                                <w:szCs w:val="18"/>
                              </w:rPr>
                              <w:t>75%</w:t>
                            </w:r>
                          </w:p>
                        </w:txbxContent>
                      </v:textbox>
                    </v:shape>
                  </w:pict>
                </mc:Fallback>
              </mc:AlternateContent>
            </w:r>
            <w:bookmarkStart w:id="661" w:name="_Hlk144309455"/>
            <w:r w:rsidR="009950D9" w:rsidRPr="00DF3006">
              <w:t>Figure 4: Percentage of corruption investigations resulting in significant outcomes</w:t>
            </w:r>
            <w:bookmarkEnd w:id="661"/>
            <w:r w:rsidR="009950D9" w:rsidRPr="00DF3006">
              <w:rPr>
                <w:vertAlign w:val="superscript"/>
              </w:rPr>
              <w:t>4</w:t>
            </w:r>
          </w:p>
        </w:tc>
      </w:tr>
      <w:tr w:rsidR="00DF3006" w:rsidRPr="00DF3006" w14:paraId="52910B84" w14:textId="77777777" w:rsidTr="00BE57E9">
        <w:trPr>
          <w:trHeight w:val="20"/>
        </w:trPr>
        <w:tc>
          <w:tcPr>
            <w:tcW w:w="4686" w:type="dxa"/>
          </w:tcPr>
          <w:p w14:paraId="7B5284AA" w14:textId="44C66E07" w:rsidR="009950D9" w:rsidRPr="00DF3006" w:rsidRDefault="0013317A" w:rsidP="00EF5FA1">
            <w:pPr>
              <w:keepNext/>
              <w:suppressAutoHyphens/>
              <w:autoSpaceDE w:val="0"/>
              <w:autoSpaceDN w:val="0"/>
              <w:adjustRightInd w:val="0"/>
              <w:spacing w:before="120" w:after="0"/>
              <w:ind w:left="57" w:right="57"/>
              <w:jc w:val="right"/>
              <w:textAlignment w:val="center"/>
              <w:rPr>
                <w:rFonts w:ascii="Calibri" w:hAnsi="Calibri" w:cs="Calibri"/>
                <w:noProof/>
                <w:color w:val="414042" w:themeColor="text1"/>
              </w:rPr>
            </w:pPr>
            <w:r w:rsidRPr="00DF3006">
              <w:rPr>
                <w:noProof/>
                <w:color w:val="414042" w:themeColor="text1"/>
              </w:rPr>
              <mc:AlternateContent>
                <mc:Choice Requires="wps">
                  <w:drawing>
                    <wp:anchor distT="0" distB="0" distL="114300" distR="114300" simplePos="0" relativeHeight="252342272" behindDoc="0" locked="0" layoutInCell="1" allowOverlap="1" wp14:anchorId="62083FE9" wp14:editId="3E55A6FA">
                      <wp:simplePos x="0" y="0"/>
                      <wp:positionH relativeFrom="column">
                        <wp:posOffset>1668344</wp:posOffset>
                      </wp:positionH>
                      <wp:positionV relativeFrom="paragraph">
                        <wp:posOffset>14726</wp:posOffset>
                      </wp:positionV>
                      <wp:extent cx="1231900" cy="244306"/>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4306"/>
                              </a:xfrm>
                              <a:prstGeom prst="rect">
                                <a:avLst/>
                              </a:prstGeom>
                              <a:noFill/>
                              <a:ln w="9525">
                                <a:noFill/>
                                <a:miter lim="800000"/>
                                <a:headEnd/>
                                <a:tailEnd/>
                              </a:ln>
                            </wps:spPr>
                            <wps:txbx>
                              <w:txbxContent>
                                <w:p w14:paraId="2320F452"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A45810">
                                    <w:rPr>
                                      <w:rFonts w:asciiTheme="majorHAnsi" w:hAnsiTheme="majorHAnsi" w:cstheme="majorHAnsi"/>
                                      <w:i/>
                                      <w:iCs/>
                                      <w:color w:val="414042" w:themeColor="text1"/>
                                      <w:spacing w:val="4"/>
                                      <w:sz w:val="16"/>
                                      <w:szCs w:val="18"/>
                                    </w:rPr>
                                    <w:t>–</w:t>
                                  </w:r>
                                  <w:r>
                                    <w:rPr>
                                      <w:rFonts w:asciiTheme="majorHAnsi" w:hAnsiTheme="majorHAnsi" w:cstheme="majorHAnsi"/>
                                      <w:i/>
                                      <w:iCs/>
                                      <w:color w:val="414042" w:themeColor="text1"/>
                                      <w:spacing w:val="4"/>
                                      <w:sz w:val="16"/>
                                      <w:szCs w:val="18"/>
                                    </w:rPr>
                                    <w:t>23</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90%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2083FE9" id="Text Box 25" o:spid="_x0000_s1033" type="#_x0000_t202" style="position:absolute;left:0;text-align:left;margin-left:131.35pt;margin-top:1.15pt;width:97pt;height:19.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" filled="f" stroked="f">
                      <v:textbox>
                        <w:txbxContent>
                          <w:p w14:paraId="2320F452"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A45810">
                              <w:rPr>
                                <w:rFonts w:asciiTheme="majorHAnsi" w:hAnsiTheme="majorHAnsi" w:cstheme="majorHAnsi"/>
                                <w:i/>
                                <w:iCs/>
                                <w:color w:val="414042" w:themeColor="text1"/>
                                <w:spacing w:val="4"/>
                                <w:sz w:val="16"/>
                                <w:szCs w:val="18"/>
                              </w:rPr>
                              <w:t>–</w:t>
                            </w:r>
                            <w:r>
                              <w:rPr>
                                <w:rFonts w:asciiTheme="majorHAnsi" w:hAnsiTheme="majorHAnsi" w:cstheme="majorHAnsi"/>
                                <w:i/>
                                <w:iCs/>
                                <w:color w:val="414042" w:themeColor="text1"/>
                                <w:spacing w:val="4"/>
                                <w:sz w:val="16"/>
                                <w:szCs w:val="18"/>
                              </w:rPr>
                              <w:t>23</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90%</w:t>
                            </w:r>
                          </w:p>
                        </w:txbxContent>
                      </v:textbox>
                    </v:shape>
                  </w:pict>
                </mc:Fallback>
              </mc:AlternateContent>
            </w:r>
            <w:r w:rsidR="0082243D" w:rsidRPr="00DF3006">
              <w:rPr>
                <w:rFonts w:ascii="Calibri" w:hAnsi="Calibri" w:cs="Calibri"/>
                <w:noProof/>
                <w:color w:val="414042" w:themeColor="text1"/>
              </w:rPr>
              <mc:AlternateContent>
                <mc:Choice Requires="wps">
                  <w:drawing>
                    <wp:anchor distT="0" distB="0" distL="114300" distR="114300" simplePos="0" relativeHeight="252343296" behindDoc="0" locked="0" layoutInCell="1" allowOverlap="1" wp14:anchorId="24571D28" wp14:editId="69CD71B3">
                      <wp:simplePos x="0" y="0"/>
                      <wp:positionH relativeFrom="column">
                        <wp:posOffset>2363632</wp:posOffset>
                      </wp:positionH>
                      <wp:positionV relativeFrom="paragraph">
                        <wp:posOffset>217170</wp:posOffset>
                      </wp:positionV>
                      <wp:extent cx="0" cy="196215"/>
                      <wp:effectExtent l="0" t="0" r="38100" b="32385"/>
                      <wp:wrapNone/>
                      <wp:docPr id="948"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6215"/>
                              </a:xfrm>
                              <a:prstGeom prst="line">
                                <a:avLst/>
                              </a:prstGeom>
                              <a:noFill/>
                              <a:ln w="6350" cap="flat" cmpd="sng" algn="ctr">
                                <a:solidFill>
                                  <a:srgbClr val="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6AF93B" id="Straight Connector 948" o:spid="_x0000_s1026" style="position:absolute;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7.1pt" to="186.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" strokeweight=".5pt">
                      <v:stroke dashstyle="3 1" joinstyle="miter"/>
                      <o:lock v:ext="edit" shapetype="f"/>
                    </v:line>
                  </w:pict>
                </mc:Fallback>
              </mc:AlternateContent>
            </w:r>
            <w:r w:rsidR="009950D9" w:rsidRPr="00DF3006">
              <w:rPr>
                <w:rFonts w:ascii="Calibri" w:hAnsi="Calibri" w:cs="Calibri"/>
                <w:noProof/>
                <w:color w:val="414042" w:themeColor="text1"/>
              </w:rPr>
              <w:drawing>
                <wp:inline distT="0" distB="0" distL="0" distR="0" wp14:anchorId="05816E48" wp14:editId="3E67442C">
                  <wp:extent cx="2879725" cy="1072896"/>
                  <wp:effectExtent l="0" t="0" r="0" b="0"/>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bookmarkEnd w:id="657"/>
            <w:bookmarkEnd w:id="658"/>
            <w:bookmarkEnd w:id="659"/>
            <w:bookmarkEnd w:id="660"/>
          </w:p>
        </w:tc>
        <w:bookmarkStart w:id="662" w:name="_Toc102041675"/>
        <w:bookmarkStart w:id="663" w:name="_Toc102042002"/>
        <w:bookmarkStart w:id="664" w:name="_Toc102042331"/>
        <w:bookmarkStart w:id="665" w:name="_Toc102045461"/>
        <w:tc>
          <w:tcPr>
            <w:tcW w:w="4687" w:type="dxa"/>
          </w:tcPr>
          <w:p w14:paraId="7D5F7824" w14:textId="1F36B4E0" w:rsidR="009950D9" w:rsidRPr="00DF3006" w:rsidRDefault="0082243D" w:rsidP="00EF5FA1">
            <w:pPr>
              <w:keepNext/>
              <w:suppressAutoHyphens/>
              <w:autoSpaceDE w:val="0"/>
              <w:autoSpaceDN w:val="0"/>
              <w:adjustRightInd w:val="0"/>
              <w:spacing w:before="120" w:after="0"/>
              <w:ind w:left="57" w:right="57"/>
              <w:textAlignment w:val="center"/>
              <w:rPr>
                <w:rFonts w:ascii="Calibri" w:hAnsi="Calibri" w:cs="Calibri"/>
                <w:color w:val="414042" w:themeColor="text1"/>
              </w:rPr>
            </w:pPr>
            <w:r w:rsidRPr="00DF3006">
              <w:rPr>
                <w:rFonts w:ascii="Calibri" w:hAnsi="Calibri" w:cs="Calibri"/>
                <w:noProof/>
                <w:color w:val="414042" w:themeColor="text1"/>
              </w:rPr>
              <mc:AlternateContent>
                <mc:Choice Requires="wps">
                  <w:drawing>
                    <wp:anchor distT="0" distB="0" distL="114300" distR="114300" simplePos="0" relativeHeight="252350464" behindDoc="0" locked="0" layoutInCell="1" allowOverlap="1" wp14:anchorId="20F5F121" wp14:editId="4F313637">
                      <wp:simplePos x="0" y="0"/>
                      <wp:positionH relativeFrom="column">
                        <wp:posOffset>2110267</wp:posOffset>
                      </wp:positionH>
                      <wp:positionV relativeFrom="paragraph">
                        <wp:posOffset>177800</wp:posOffset>
                      </wp:positionV>
                      <wp:extent cx="1270" cy="187960"/>
                      <wp:effectExtent l="0" t="0" r="36830" b="2159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187960"/>
                              </a:xfrm>
                              <a:prstGeom prst="line">
                                <a:avLst/>
                              </a:prstGeom>
                              <a:noFill/>
                              <a:ln w="6350" cap="flat" cmpd="sng" algn="ctr">
                                <a:solidFill>
                                  <a:srgbClr val="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C785F0" id="Straight Connector 946" o:spid="_x0000_s1026" style="position:absolute;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5pt,14pt" to="166.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" strokeweight=".5pt">
                      <v:stroke dashstyle="3 1" joinstyle="miter"/>
                      <o:lock v:ext="edit" shapetype="f"/>
                    </v:line>
                  </w:pict>
                </mc:Fallback>
              </mc:AlternateContent>
            </w:r>
            <w:bookmarkEnd w:id="662"/>
            <w:bookmarkEnd w:id="663"/>
            <w:bookmarkEnd w:id="664"/>
            <w:bookmarkEnd w:id="665"/>
            <w:r w:rsidR="009950D9" w:rsidRPr="00DF3006">
              <w:rPr>
                <w:rFonts w:ascii="Calibri" w:hAnsi="Calibri" w:cs="Calibri"/>
                <w:noProof/>
                <w:color w:val="414042" w:themeColor="text1"/>
              </w:rPr>
              <w:drawing>
                <wp:inline distT="0" distB="0" distL="0" distR="0" wp14:anchorId="56F7D842" wp14:editId="1AAF2EAB">
                  <wp:extent cx="2879725" cy="1072515"/>
                  <wp:effectExtent l="0" t="0" r="0" b="0"/>
                  <wp:docPr id="931" name="Chart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DF3006" w:rsidRPr="00DF3006" w14:paraId="0871C83D" w14:textId="77777777" w:rsidTr="00BE57E9">
        <w:trPr>
          <w:trHeight w:val="20"/>
        </w:trPr>
        <w:tc>
          <w:tcPr>
            <w:tcW w:w="4686" w:type="dxa"/>
          </w:tcPr>
          <w:p w14:paraId="3B035918" w14:textId="2412DBD2" w:rsidR="009950D9" w:rsidRPr="00DF3006" w:rsidRDefault="009950D9" w:rsidP="00463FBB">
            <w:pPr>
              <w:pStyle w:val="Heading4b"/>
              <w:rPr>
                <w:vertAlign w:val="superscript"/>
              </w:rPr>
            </w:pPr>
            <w:bookmarkStart w:id="666" w:name="_Hlk144309468"/>
            <w:r w:rsidRPr="00DF3006">
              <w:t>Figure 5: Percentage of coercive hearings that add value to a referred crime investigation</w:t>
            </w:r>
            <w:r w:rsidRPr="00DF3006">
              <w:rPr>
                <w:vertAlign w:val="superscript"/>
              </w:rPr>
              <w:t>5</w:t>
            </w:r>
            <w:bookmarkEnd w:id="666"/>
          </w:p>
        </w:tc>
        <w:tc>
          <w:tcPr>
            <w:tcW w:w="4687" w:type="dxa"/>
          </w:tcPr>
          <w:p w14:paraId="1360ED06" w14:textId="74E1117D" w:rsidR="009950D9" w:rsidRPr="00DF3006" w:rsidRDefault="009950D9" w:rsidP="00463FBB">
            <w:pPr>
              <w:pStyle w:val="Heading4b"/>
              <w:rPr>
                <w:vertAlign w:val="superscript"/>
              </w:rPr>
            </w:pPr>
            <w:bookmarkStart w:id="667" w:name="_Hlk144309477"/>
            <w:r w:rsidRPr="00DF3006">
              <w:t>Figure 6: Average cost per assessment of corrupt conduct/police misconduct complaints</w:t>
            </w:r>
            <w:bookmarkEnd w:id="667"/>
          </w:p>
        </w:tc>
      </w:tr>
      <w:bookmarkStart w:id="668" w:name="_Toc102037878"/>
      <w:bookmarkStart w:id="669" w:name="_Toc102038239"/>
      <w:bookmarkStart w:id="670" w:name="_Toc102038600"/>
      <w:bookmarkStart w:id="671" w:name="_Toc102038960"/>
      <w:bookmarkStart w:id="672" w:name="_Toc102039312"/>
      <w:bookmarkStart w:id="673" w:name="_Toc102039667"/>
      <w:bookmarkStart w:id="674" w:name="_Toc102040024"/>
      <w:bookmarkStart w:id="675" w:name="_Toc102040350"/>
      <w:bookmarkStart w:id="676" w:name="_Toc102040684"/>
      <w:bookmarkStart w:id="677" w:name="_Toc102041012"/>
      <w:bookmarkStart w:id="678" w:name="_Toc102041342"/>
      <w:bookmarkStart w:id="679" w:name="_Toc102041676"/>
      <w:bookmarkStart w:id="680" w:name="_Toc102042003"/>
      <w:bookmarkStart w:id="681" w:name="_Toc102042332"/>
      <w:bookmarkStart w:id="682" w:name="_Toc102045462"/>
      <w:tr w:rsidR="00DF3006" w:rsidRPr="00DF3006" w14:paraId="2F35DFB9" w14:textId="77777777" w:rsidTr="00BE57E9">
        <w:trPr>
          <w:trHeight w:val="20"/>
        </w:trPr>
        <w:tc>
          <w:tcPr>
            <w:tcW w:w="4686" w:type="dxa"/>
          </w:tcPr>
          <w:p w14:paraId="17927C89" w14:textId="4A79A7FB" w:rsidR="009950D9" w:rsidRPr="00DF3006" w:rsidRDefault="0082243D" w:rsidP="00EF5FA1">
            <w:pPr>
              <w:keepNext/>
              <w:suppressAutoHyphens/>
              <w:autoSpaceDE w:val="0"/>
              <w:autoSpaceDN w:val="0"/>
              <w:adjustRightInd w:val="0"/>
              <w:spacing w:before="120" w:after="0"/>
              <w:ind w:left="57" w:right="57"/>
              <w:textAlignment w:val="center"/>
              <w:rPr>
                <w:rFonts w:ascii="Calibri" w:hAnsi="Calibri" w:cs="Calibri"/>
                <w:noProof/>
                <w:color w:val="414042" w:themeColor="text1"/>
              </w:rPr>
            </w:pPr>
            <w:r w:rsidRPr="00DF3006">
              <w:rPr>
                <w:rFonts w:ascii="Calibri" w:hAnsi="Calibri" w:cs="Calibri"/>
                <w:noProof/>
                <w:color w:val="414042" w:themeColor="text1"/>
              </w:rPr>
              <mc:AlternateContent>
                <mc:Choice Requires="wps">
                  <w:drawing>
                    <wp:anchor distT="0" distB="0" distL="114300" distR="114300" simplePos="0" relativeHeight="252346368" behindDoc="0" locked="0" layoutInCell="1" allowOverlap="1" wp14:anchorId="496186E4" wp14:editId="5D057A6C">
                      <wp:simplePos x="0" y="0"/>
                      <wp:positionH relativeFrom="column">
                        <wp:posOffset>2423633</wp:posOffset>
                      </wp:positionH>
                      <wp:positionV relativeFrom="paragraph">
                        <wp:posOffset>116840</wp:posOffset>
                      </wp:positionV>
                      <wp:extent cx="0" cy="190500"/>
                      <wp:effectExtent l="0" t="0" r="38100" b="19050"/>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0500"/>
                              </a:xfrm>
                              <a:prstGeom prst="line">
                                <a:avLst/>
                              </a:prstGeom>
                              <a:noFill/>
                              <a:ln w="6350" cap="flat" cmpd="sng" algn="ctr">
                                <a:solidFill>
                                  <a:srgbClr val="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1E718F" id="Straight Connector 944"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5pt,9.2pt" to="190.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" strokeweight=".5pt">
                      <v:stroke dashstyle="3 1" joinstyle="miter"/>
                      <o:lock v:ext="edit" shapetype="f"/>
                    </v:line>
                  </w:pict>
                </mc:Fallback>
              </mc:AlternateContent>
            </w:r>
            <w:r w:rsidR="009A7DB3" w:rsidRPr="00DF3006">
              <w:rPr>
                <w:noProof/>
                <w:color w:val="414042" w:themeColor="text1"/>
              </w:rPr>
              <mc:AlternateContent>
                <mc:Choice Requires="wps">
                  <w:drawing>
                    <wp:anchor distT="0" distB="0" distL="114300" distR="114300" simplePos="0" relativeHeight="252345344" behindDoc="0" locked="0" layoutInCell="1" allowOverlap="1" wp14:anchorId="3D3168BD" wp14:editId="348B3F3B">
                      <wp:simplePos x="0" y="0"/>
                      <wp:positionH relativeFrom="column">
                        <wp:posOffset>1651600</wp:posOffset>
                      </wp:positionH>
                      <wp:positionV relativeFrom="paragraph">
                        <wp:posOffset>-56995</wp:posOffset>
                      </wp:positionV>
                      <wp:extent cx="1241425" cy="252301"/>
                      <wp:effectExtent l="0" t="0" r="0" b="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52301"/>
                              </a:xfrm>
                              <a:prstGeom prst="rect">
                                <a:avLst/>
                              </a:prstGeom>
                              <a:noFill/>
                              <a:ln w="9525">
                                <a:noFill/>
                                <a:miter lim="800000"/>
                                <a:headEnd/>
                                <a:tailEnd/>
                              </a:ln>
                            </wps:spPr>
                            <wps:txbx>
                              <w:txbxContent>
                                <w:p w14:paraId="20A7DDC1" w14:textId="77777777" w:rsidR="009950D9" w:rsidRPr="00DE4C63" w:rsidRDefault="009950D9" w:rsidP="00697BCD">
                                  <w:pPr>
                                    <w:jc w:val="right"/>
                                    <w:rPr>
                                      <w:rFonts w:asciiTheme="majorHAnsi" w:hAnsiTheme="majorHAnsi" w:cstheme="majorHAnsi"/>
                                      <w:color w:val="auto"/>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3168BD" id="Text Box 945" o:spid="_x0000_s1034" type="#_x0000_t202" style="position:absolute;left:0;text-align:left;margin-left:130.05pt;margin-top:-4.5pt;width:97.75pt;height:19.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" filled="f" stroked="f">
                      <v:textbox>
                        <w:txbxContent>
                          <w:p w14:paraId="20A7DDC1" w14:textId="77777777" w:rsidR="009950D9" w:rsidRPr="00DE4C63" w:rsidRDefault="009950D9" w:rsidP="00697BCD">
                            <w:pPr>
                              <w:jc w:val="right"/>
                              <w:rPr>
                                <w:rFonts w:asciiTheme="majorHAnsi" w:hAnsiTheme="majorHAnsi" w:cstheme="majorHAnsi"/>
                                <w:color w:val="auto"/>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v:textbox>
                    </v:shape>
                  </w:pict>
                </mc:Fallback>
              </mc:AlternateContent>
            </w:r>
            <w:r w:rsidR="009950D9" w:rsidRPr="00DF3006">
              <w:rPr>
                <w:rFonts w:ascii="Calibri" w:hAnsi="Calibri" w:cs="Calibri"/>
                <w:noProof/>
                <w:color w:val="414042" w:themeColor="text1"/>
                <w:spacing w:val="-5"/>
              </w:rPr>
              <w:drawing>
                <wp:inline distT="0" distB="0" distL="0" distR="0" wp14:anchorId="08625DD5" wp14:editId="26EF09FE">
                  <wp:extent cx="2938145" cy="956930"/>
                  <wp:effectExtent l="0" t="0" r="0" b="0"/>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tc>
        <w:tc>
          <w:tcPr>
            <w:tcW w:w="4687" w:type="dxa"/>
          </w:tcPr>
          <w:p w14:paraId="122EF9E7" w14:textId="49A5D2A9" w:rsidR="009950D9" w:rsidRPr="00DF3006" w:rsidRDefault="009A7DB3" w:rsidP="00EF5FA1">
            <w:pPr>
              <w:spacing w:before="120" w:after="0"/>
              <w:ind w:left="57" w:right="57"/>
              <w:rPr>
                <w:rFonts w:ascii="Calibri" w:hAnsi="Calibri" w:cs="Calibri"/>
                <w:color w:val="414042" w:themeColor="text1"/>
              </w:rPr>
            </w:pPr>
            <w:bookmarkStart w:id="683" w:name="_Toc102037881"/>
            <w:bookmarkStart w:id="684" w:name="_Toc102038242"/>
            <w:bookmarkStart w:id="685" w:name="_Toc102038603"/>
            <w:bookmarkStart w:id="686" w:name="_Toc102038963"/>
            <w:bookmarkStart w:id="687" w:name="_Toc102039315"/>
            <w:bookmarkStart w:id="688" w:name="_Toc102039670"/>
            <w:bookmarkStart w:id="689" w:name="_Toc102040027"/>
            <w:bookmarkStart w:id="690" w:name="_Toc102040354"/>
            <w:bookmarkStart w:id="691" w:name="_Toc102040688"/>
            <w:bookmarkStart w:id="692" w:name="_Toc102041016"/>
            <w:bookmarkStart w:id="693" w:name="_Toc102041346"/>
            <w:bookmarkStart w:id="694" w:name="_Toc102041677"/>
            <w:bookmarkStart w:id="695" w:name="_Toc102042004"/>
            <w:bookmarkStart w:id="696" w:name="_Toc102042333"/>
            <w:bookmarkStart w:id="697" w:name="_Toc102045463"/>
            <w:r w:rsidRPr="00DF3006">
              <w:rPr>
                <w:noProof/>
                <w:color w:val="414042" w:themeColor="text1"/>
              </w:rPr>
              <mc:AlternateContent>
                <mc:Choice Requires="wps">
                  <w:drawing>
                    <wp:anchor distT="0" distB="0" distL="114300" distR="114300" simplePos="0" relativeHeight="252351488" behindDoc="0" locked="0" layoutInCell="1" allowOverlap="1" wp14:anchorId="0FD6FED4" wp14:editId="102D7717">
                      <wp:simplePos x="0" y="0"/>
                      <wp:positionH relativeFrom="column">
                        <wp:posOffset>1234066</wp:posOffset>
                      </wp:positionH>
                      <wp:positionV relativeFrom="paragraph">
                        <wp:posOffset>-56994</wp:posOffset>
                      </wp:positionV>
                      <wp:extent cx="1680845" cy="285123"/>
                      <wp:effectExtent l="0" t="0" r="0" b="635"/>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285123"/>
                              </a:xfrm>
                              <a:prstGeom prst="rect">
                                <a:avLst/>
                              </a:prstGeom>
                              <a:noFill/>
                              <a:ln w="9525">
                                <a:noFill/>
                                <a:miter lim="800000"/>
                                <a:headEnd/>
                                <a:tailEnd/>
                              </a:ln>
                            </wps:spPr>
                            <wps:txbx>
                              <w:txbxContent>
                                <w:p w14:paraId="62F2EAD6"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$900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FD6FED4" id="Text Box 939" o:spid="_x0000_s1035" type="#_x0000_t202" style="position:absolute;left:0;text-align:left;margin-left:97.15pt;margin-top:-4.5pt;width:132.35pt;height:22.4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" filled="f" stroked="f">
                      <v:textbox>
                        <w:txbxContent>
                          <w:p w14:paraId="62F2EAD6"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2</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$900</w:t>
                            </w:r>
                          </w:p>
                        </w:txbxContent>
                      </v:textbox>
                    </v:shape>
                  </w:pict>
                </mc:Fallback>
              </mc:AlternateContent>
            </w:r>
            <w:r w:rsidRPr="00DF3006">
              <w:rPr>
                <w:rFonts w:ascii="Calibri" w:hAnsi="Calibri" w:cs="Calibri"/>
                <w:noProof/>
                <w:color w:val="414042" w:themeColor="text1"/>
              </w:rPr>
              <mc:AlternateContent>
                <mc:Choice Requires="wps">
                  <w:drawing>
                    <wp:anchor distT="0" distB="0" distL="114300" distR="114300" simplePos="0" relativeHeight="252352512" behindDoc="0" locked="0" layoutInCell="1" allowOverlap="1" wp14:anchorId="3EFD7E5C" wp14:editId="3B3E6DCB">
                      <wp:simplePos x="0" y="0"/>
                      <wp:positionH relativeFrom="column">
                        <wp:posOffset>2469496</wp:posOffset>
                      </wp:positionH>
                      <wp:positionV relativeFrom="paragraph">
                        <wp:posOffset>195448</wp:posOffset>
                      </wp:positionV>
                      <wp:extent cx="0" cy="196343"/>
                      <wp:effectExtent l="0" t="0" r="38100" b="32385"/>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6343"/>
                              </a:xfrm>
                              <a:prstGeom prst="line">
                                <a:avLst/>
                              </a:prstGeom>
                              <a:noFill/>
                              <a:ln w="6350" cap="flat" cmpd="sng" algn="ctr">
                                <a:solidFill>
                                  <a:srgbClr val="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035791" id="Straight Connector 940" o:spid="_x0000_s1026" style="position:absolute;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5pt,15.4pt" to="194.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" strokeweight=".5pt">
                      <v:stroke dashstyle="3 1" joinstyle="miter"/>
                      <o:lock v:ext="edit" shapetype="f"/>
                    </v:line>
                  </w:pict>
                </mc:Fallback>
              </mc:AlternateConten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009950D9" w:rsidRPr="00DF3006">
              <w:rPr>
                <w:rFonts w:ascii="Calibri" w:hAnsi="Calibri" w:cs="Calibri"/>
                <w:noProof/>
                <w:color w:val="414042" w:themeColor="text1"/>
              </w:rPr>
              <w:drawing>
                <wp:inline distT="0" distB="0" distL="0" distR="0" wp14:anchorId="51887437" wp14:editId="4D9E1210">
                  <wp:extent cx="2879725" cy="1048385"/>
                  <wp:effectExtent l="0" t="0" r="0" b="0"/>
                  <wp:docPr id="937" name="Chart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DF3006" w:rsidRPr="00DF3006" w14:paraId="0D3DA5BC" w14:textId="77777777" w:rsidTr="00BE57E9">
        <w:trPr>
          <w:trHeight w:val="20"/>
        </w:trPr>
        <w:tc>
          <w:tcPr>
            <w:tcW w:w="4686" w:type="dxa"/>
          </w:tcPr>
          <w:p w14:paraId="59D0F14D" w14:textId="663B627B" w:rsidR="009950D9" w:rsidRPr="00DF3006" w:rsidRDefault="00076260" w:rsidP="00463FBB">
            <w:pPr>
              <w:pStyle w:val="Heading4b"/>
              <w:rPr>
                <w:vertAlign w:val="superscript"/>
              </w:rPr>
            </w:pPr>
            <w:r w:rsidRPr="00DF3006">
              <mc:AlternateContent>
                <mc:Choice Requires="wps">
                  <w:drawing>
                    <wp:anchor distT="0" distB="0" distL="114300" distR="114300" simplePos="0" relativeHeight="252344320" behindDoc="0" locked="0" layoutInCell="1" allowOverlap="1" wp14:anchorId="02D8E936" wp14:editId="054EBD35">
                      <wp:simplePos x="0" y="0"/>
                      <wp:positionH relativeFrom="column">
                        <wp:posOffset>1076325</wp:posOffset>
                      </wp:positionH>
                      <wp:positionV relativeFrom="paragraph">
                        <wp:posOffset>308772</wp:posOffset>
                      </wp:positionV>
                      <wp:extent cx="1899920" cy="215900"/>
                      <wp:effectExtent l="0" t="0"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15900"/>
                              </a:xfrm>
                              <a:prstGeom prst="rect">
                                <a:avLst/>
                              </a:prstGeom>
                              <a:noFill/>
                              <a:ln w="9525">
                                <a:noFill/>
                                <a:miter lim="800000"/>
                                <a:headEnd/>
                                <a:tailEnd/>
                              </a:ln>
                            </wps:spPr>
                            <wps:txbx>
                              <w:txbxContent>
                                <w:p w14:paraId="1C27F6A6"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087C1A">
                                    <w:rPr>
                                      <w:rFonts w:asciiTheme="majorHAnsi" w:hAnsiTheme="majorHAnsi" w:cstheme="majorHAnsi"/>
                                      <w:i/>
                                      <w:iCs/>
                                      <w:color w:val="414042" w:themeColor="text1"/>
                                      <w:spacing w:val="4"/>
                                      <w:sz w:val="16"/>
                                      <w:szCs w:val="18"/>
                                    </w:rPr>
                                    <w:t xml:space="preserve">2022–23 target — less than </w:t>
                                  </w:r>
                                  <w:r w:rsidRPr="00087C1A">
                                    <w:rPr>
                                      <w:rFonts w:asciiTheme="majorHAnsi" w:hAnsiTheme="majorHAnsi" w:cstheme="majorHAnsi"/>
                                      <w:color w:val="414042" w:themeColor="text1"/>
                                      <w:spacing w:val="4"/>
                                      <w:sz w:val="16"/>
                                      <w:szCs w:val="18"/>
                                    </w:rPr>
                                    <w:t>$35,000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2D8E936" id="Text Box 955" o:spid="_x0000_s1036" type="#_x0000_t202" style="position:absolute;margin-left:84.75pt;margin-top:24.3pt;width:149.6pt;height:17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" filled="f" stroked="f">
                      <v:textbox>
                        <w:txbxContent>
                          <w:p w14:paraId="1C27F6A6" w14:textId="77777777" w:rsidR="009950D9" w:rsidRPr="00DE4C63" w:rsidRDefault="009950D9" w:rsidP="00697BCD">
                            <w:pPr>
                              <w:jc w:val="right"/>
                              <w:rPr>
                                <w:rFonts w:asciiTheme="majorHAnsi" w:hAnsiTheme="majorHAnsi" w:cstheme="majorHAnsi"/>
                                <w:i/>
                                <w:iCs/>
                                <w:color w:val="414042" w:themeColor="text1"/>
                                <w:spacing w:val="4"/>
                                <w:sz w:val="16"/>
                                <w:szCs w:val="18"/>
                              </w:rPr>
                            </w:pPr>
                            <w:r w:rsidRPr="00087C1A">
                              <w:rPr>
                                <w:rFonts w:asciiTheme="majorHAnsi" w:hAnsiTheme="majorHAnsi" w:cstheme="majorHAnsi"/>
                                <w:i/>
                                <w:iCs/>
                                <w:color w:val="414042" w:themeColor="text1"/>
                                <w:spacing w:val="4"/>
                                <w:sz w:val="16"/>
                                <w:szCs w:val="18"/>
                              </w:rPr>
                              <w:t xml:space="preserve">2022–23 target — less than </w:t>
                            </w:r>
                            <w:r w:rsidRPr="00087C1A">
                              <w:rPr>
                                <w:rFonts w:asciiTheme="majorHAnsi" w:hAnsiTheme="majorHAnsi" w:cstheme="majorHAnsi"/>
                                <w:color w:val="414042" w:themeColor="text1"/>
                                <w:spacing w:val="4"/>
                                <w:sz w:val="16"/>
                                <w:szCs w:val="18"/>
                              </w:rPr>
                              <w:t>$35,000</w:t>
                            </w:r>
                          </w:p>
                        </w:txbxContent>
                      </v:textbox>
                    </v:shape>
                  </w:pict>
                </mc:Fallback>
              </mc:AlternateContent>
            </w:r>
            <w:bookmarkStart w:id="698" w:name="_Hlk144309489"/>
            <w:r w:rsidR="009950D9" w:rsidRPr="00DF3006">
              <w:t>Figure 7: Average cost per referred crime investigation</w:t>
            </w:r>
            <w:bookmarkEnd w:id="698"/>
          </w:p>
        </w:tc>
        <w:tc>
          <w:tcPr>
            <w:tcW w:w="4687" w:type="dxa"/>
          </w:tcPr>
          <w:p w14:paraId="26EDD629" w14:textId="77777777" w:rsidR="009950D9" w:rsidRPr="00DF3006" w:rsidRDefault="009950D9" w:rsidP="00EF5FA1">
            <w:pPr>
              <w:spacing w:before="120" w:after="0"/>
              <w:ind w:left="57" w:right="57"/>
              <w:rPr>
                <w:rFonts w:ascii="Calibri" w:hAnsi="Calibri" w:cs="Calibri"/>
                <w:color w:val="414042" w:themeColor="text1"/>
              </w:rPr>
            </w:pPr>
          </w:p>
        </w:tc>
      </w:tr>
      <w:bookmarkStart w:id="699" w:name="_Toc102037879"/>
      <w:bookmarkStart w:id="700" w:name="_Toc102038240"/>
      <w:bookmarkStart w:id="701" w:name="_Toc102038601"/>
      <w:bookmarkStart w:id="702" w:name="_Toc102038961"/>
      <w:bookmarkStart w:id="703" w:name="_Toc102039313"/>
      <w:bookmarkStart w:id="704" w:name="_Toc102039668"/>
      <w:bookmarkStart w:id="705" w:name="_Toc102040025"/>
      <w:bookmarkStart w:id="706" w:name="_Toc102040351"/>
      <w:bookmarkStart w:id="707" w:name="_Toc102040685"/>
      <w:bookmarkStart w:id="708" w:name="_Toc102041013"/>
      <w:bookmarkStart w:id="709" w:name="_Toc102041343"/>
      <w:bookmarkStart w:id="710" w:name="_Toc102041678"/>
      <w:bookmarkStart w:id="711" w:name="_Toc102042005"/>
      <w:bookmarkStart w:id="712" w:name="_Toc102042334"/>
      <w:bookmarkStart w:id="713" w:name="_Toc102045464"/>
      <w:tr w:rsidR="00DF3006" w:rsidRPr="00DF3006" w14:paraId="52CCFE56" w14:textId="77777777" w:rsidTr="00BE57E9">
        <w:trPr>
          <w:trHeight w:val="20"/>
        </w:trPr>
        <w:tc>
          <w:tcPr>
            <w:tcW w:w="4686" w:type="dxa"/>
          </w:tcPr>
          <w:p w14:paraId="5D9CC074" w14:textId="118CEBB6" w:rsidR="009950D9" w:rsidRPr="00DF3006" w:rsidRDefault="009950D9" w:rsidP="00EF5FA1">
            <w:pPr>
              <w:keepNext/>
              <w:suppressAutoHyphens/>
              <w:autoSpaceDE w:val="0"/>
              <w:autoSpaceDN w:val="0"/>
              <w:adjustRightInd w:val="0"/>
              <w:spacing w:before="120" w:after="0"/>
              <w:ind w:left="57" w:right="57"/>
              <w:textAlignment w:val="center"/>
              <w:rPr>
                <w:rFonts w:ascii="Calibri" w:hAnsi="Calibri" w:cs="Calibri"/>
                <w:noProof/>
                <w:color w:val="414042" w:themeColor="text1"/>
                <w:vertAlign w:val="superscript"/>
              </w:rPr>
            </w:pPr>
            <w:r w:rsidRPr="00DF3006">
              <w:rPr>
                <w:rFonts w:ascii="Calibri" w:hAnsi="Calibri" w:cs="Calibri"/>
                <w:noProof/>
                <w:color w:val="414042" w:themeColor="text1"/>
              </w:rPr>
              <mc:AlternateContent>
                <mc:Choice Requires="wps">
                  <w:drawing>
                    <wp:anchor distT="0" distB="0" distL="114299" distR="114299" simplePos="0" relativeHeight="252353536" behindDoc="0" locked="0" layoutInCell="1" allowOverlap="1" wp14:anchorId="73724D6F" wp14:editId="6506E6AD">
                      <wp:simplePos x="0" y="0"/>
                      <wp:positionH relativeFrom="column">
                        <wp:posOffset>1287219</wp:posOffset>
                      </wp:positionH>
                      <wp:positionV relativeFrom="page">
                        <wp:posOffset>80010</wp:posOffset>
                      </wp:positionV>
                      <wp:extent cx="0" cy="196343"/>
                      <wp:effectExtent l="0" t="0" r="38100" b="32385"/>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6343"/>
                              </a:xfrm>
                              <a:prstGeom prst="line">
                                <a:avLst/>
                              </a:prstGeom>
                              <a:noFill/>
                              <a:ln w="6350" cap="flat" cmpd="sng" algn="ctr">
                                <a:solidFill>
                                  <a:srgbClr val="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DE7777" id="Straight Connector 957" o:spid="_x0000_s1026" style="position:absolute;flip:x;z-index:25235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from="101.35pt,6.3pt" to="101.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" strokeweight=".5pt">
                      <v:stroke dashstyle="3 1" joinstyle="miter"/>
                      <o:lock v:ext="edit" shapetype="f"/>
                      <w10:wrap anchory="page"/>
                    </v:line>
                  </w:pict>
                </mc:Fallback>
              </mc:AlternateContent>
            </w:r>
            <w:r w:rsidRPr="00DF3006">
              <w:rPr>
                <w:rFonts w:ascii="Calibri" w:hAnsi="Calibri" w:cs="Calibri"/>
                <w:noProof/>
                <w:color w:val="414042" w:themeColor="text1"/>
              </w:rPr>
              <w:drawing>
                <wp:inline distT="0" distB="0" distL="0" distR="0" wp14:anchorId="40F704AB" wp14:editId="473BC8A6">
                  <wp:extent cx="2865120" cy="956930"/>
                  <wp:effectExtent l="0" t="0" r="0" b="0"/>
                  <wp:docPr id="936" name="Chart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c>
        <w:tc>
          <w:tcPr>
            <w:tcW w:w="4687" w:type="dxa"/>
          </w:tcPr>
          <w:p w14:paraId="6F9F715D" w14:textId="77777777" w:rsidR="009950D9" w:rsidRPr="00DF3006" w:rsidRDefault="009950D9" w:rsidP="00EF5FA1">
            <w:pPr>
              <w:spacing w:before="120" w:after="0"/>
              <w:ind w:left="57" w:right="57"/>
              <w:rPr>
                <w:rFonts w:ascii="Calibri" w:hAnsi="Calibri" w:cs="Calibri"/>
                <w:color w:val="414042" w:themeColor="text1"/>
              </w:rPr>
            </w:pPr>
          </w:p>
        </w:tc>
      </w:tr>
    </w:tbl>
    <w:p w14:paraId="14C30C79" w14:textId="015F911A" w:rsidR="00C16E5A" w:rsidRPr="00DF3006" w:rsidRDefault="00C16E5A" w:rsidP="00B41577">
      <w:pPr>
        <w:pStyle w:val="Notes"/>
        <w:spacing w:before="240"/>
        <w:ind w:left="360" w:hanging="360"/>
        <w:sectPr w:rsidR="00C16E5A" w:rsidRPr="00DF3006" w:rsidSect="000D5F39">
          <w:headerReference w:type="even" r:id="rId109"/>
          <w:headerReference w:type="default" r:id="rId110"/>
          <w:headerReference w:type="first" r:id="rId111"/>
          <w:pgSz w:w="11906" w:h="16838" w:code="9"/>
          <w:pgMar w:top="1135" w:right="1134" w:bottom="964" w:left="1134" w:header="720" w:footer="284" w:gutter="0"/>
          <w:cols w:space="567"/>
          <w:noEndnote/>
          <w:docGrid w:linePitch="272"/>
        </w:sectPr>
      </w:pPr>
    </w:p>
    <w:p w14:paraId="1BD8BC14" w14:textId="77777777" w:rsidR="009F258F" w:rsidRPr="00DF3006" w:rsidRDefault="009F258F" w:rsidP="00E6066A">
      <w:pPr>
        <w:pStyle w:val="Heading3"/>
      </w:pPr>
      <w:r w:rsidRPr="00DF3006">
        <w:br w:type="page"/>
      </w:r>
    </w:p>
    <w:p w14:paraId="36C042A1" w14:textId="58D5C44E" w:rsidR="00913637" w:rsidRPr="00DF3006" w:rsidRDefault="00913637" w:rsidP="00E6066A">
      <w:pPr>
        <w:pStyle w:val="Heading3"/>
      </w:pPr>
      <w:r w:rsidRPr="00DF3006">
        <w:lastRenderedPageBreak/>
        <w:t>Other operational outcomes</w:t>
      </w:r>
    </w:p>
    <w:p w14:paraId="0984720C" w14:textId="4DCB9001" w:rsidR="003428BB" w:rsidRPr="00DF3006" w:rsidRDefault="003428BB" w:rsidP="003428BB">
      <w:pPr>
        <w:rPr>
          <w:color w:val="414042" w:themeColor="text1"/>
        </w:rPr>
      </w:pPr>
      <w:bookmarkStart w:id="714" w:name="_Toc102037883"/>
      <w:bookmarkStart w:id="715" w:name="_Toc102038244"/>
      <w:bookmarkStart w:id="716" w:name="_Toc102038605"/>
      <w:bookmarkStart w:id="717" w:name="_Toc102039672"/>
      <w:bookmarkStart w:id="718" w:name="_Toc102040029"/>
      <w:bookmarkStart w:id="719" w:name="_Toc102040356"/>
      <w:bookmarkStart w:id="720" w:name="_Toc102040690"/>
      <w:bookmarkStart w:id="721" w:name="_Toc102041018"/>
      <w:bookmarkStart w:id="722" w:name="_Toc102041348"/>
      <w:bookmarkStart w:id="723" w:name="_Toc102041680"/>
      <w:bookmarkStart w:id="724" w:name="_Toc102042007"/>
      <w:bookmarkStart w:id="725" w:name="_Toc102042336"/>
      <w:bookmarkStart w:id="726" w:name="_Toc102045466"/>
      <w:r w:rsidRPr="00DF3006">
        <w:rPr>
          <w:color w:val="414042" w:themeColor="text1"/>
        </w:rPr>
        <w:t xml:space="preserve">Aspects of our work involve referrals from external agencies, primarily the QPS (crime investigations, hearings, proceeds of crime recovery) and public sector agencies (allegations of corruption). As it is important to remain responsive to our external stakeholders, we do not develop annual targets for all our performance indicators. Instead, we maintain a flexible resourcing model </w:t>
      </w:r>
      <w:r w:rsidR="00BA33D1" w:rsidRPr="00DF3006">
        <w:rPr>
          <w:color w:val="414042" w:themeColor="text1"/>
        </w:rPr>
        <w:t>to</w:t>
      </w:r>
      <w:r w:rsidRPr="00DF3006">
        <w:rPr>
          <w:color w:val="414042" w:themeColor="text1"/>
        </w:rPr>
        <w:t xml:space="preserve"> focus our effort on areas of highest need.</w:t>
      </w:r>
      <w:r w:rsidR="00BA33D1" w:rsidRPr="00DF3006">
        <w:rPr>
          <w:color w:val="414042" w:themeColor="text1"/>
        </w:rPr>
        <w:t xml:space="preserve"> </w:t>
      </w:r>
      <w:r w:rsidRPr="00DF3006">
        <w:rPr>
          <w:color w:val="414042" w:themeColor="text1"/>
        </w:rPr>
        <w:t xml:space="preserve">Provided </w:t>
      </w:r>
      <w:r w:rsidR="004001A3" w:rsidRPr="00DF3006">
        <w:rPr>
          <w:color w:val="414042" w:themeColor="text1"/>
        </w:rPr>
        <w:t>here</w:t>
      </w:r>
      <w:r w:rsidRPr="00DF3006">
        <w:rPr>
          <w:color w:val="414042" w:themeColor="text1"/>
        </w:rPr>
        <w:t xml:space="preserve"> is five-year comparative data for our operational work.</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02"/>
        <w:gridCol w:w="4836"/>
      </w:tblGrid>
      <w:tr w:rsidR="00DF3006" w:rsidRPr="00DF3006" w14:paraId="3CFCABA7" w14:textId="77777777" w:rsidTr="009F258F">
        <w:trPr>
          <w:trHeight w:val="20"/>
        </w:trPr>
        <w:tc>
          <w:tcPr>
            <w:tcW w:w="4802" w:type="dxa"/>
          </w:tcPr>
          <w:p w14:paraId="28F0A6C6" w14:textId="77777777" w:rsidR="007F76FF" w:rsidRPr="00DF3006" w:rsidRDefault="007F76FF" w:rsidP="00463FBB">
            <w:pPr>
              <w:pStyle w:val="Heading4b"/>
            </w:pPr>
            <w:bookmarkStart w:id="727" w:name="_Hlk144309509"/>
            <w:r w:rsidRPr="00DF3006">
              <w:t>Figure 8: Crime investigations finalised</w:t>
            </w:r>
          </w:p>
          <w:bookmarkEnd w:id="727"/>
          <w:p w14:paraId="42D22B78" w14:textId="106280BA" w:rsidR="007F76FF" w:rsidRPr="00DF3006" w:rsidRDefault="007F76FF" w:rsidP="00F3065A">
            <w:pPr>
              <w:spacing w:after="0"/>
              <w:rPr>
                <w:rFonts w:ascii="Calibri" w:hAnsi="Calibri" w:cs="Calibri"/>
                <w:color w:val="414042" w:themeColor="text1"/>
              </w:rPr>
            </w:pPr>
            <w:r w:rsidRPr="00DF3006">
              <w:rPr>
                <w:rFonts w:ascii="Calibri" w:hAnsi="Calibri" w:cs="Calibri"/>
                <w:noProof/>
                <w:color w:val="414042" w:themeColor="text1"/>
              </w:rPr>
              <w:drawing>
                <wp:inline distT="0" distB="0" distL="0" distR="0" wp14:anchorId="6EF2AB3E" wp14:editId="102C06F8">
                  <wp:extent cx="2880000" cy="1052195"/>
                  <wp:effectExtent l="0" t="0" r="0" b="0"/>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836" w:type="dxa"/>
          </w:tcPr>
          <w:p w14:paraId="3F2CD255" w14:textId="77777777" w:rsidR="00F3065A" w:rsidRPr="00DF3006" w:rsidRDefault="00F3065A" w:rsidP="00463FBB">
            <w:pPr>
              <w:pStyle w:val="Heading4b"/>
            </w:pPr>
            <w:bookmarkStart w:id="728" w:name="_Hlk144309525"/>
            <w:r w:rsidRPr="00DF3006">
              <w:t>Figure</w:t>
            </w:r>
            <w:r w:rsidRPr="00DF3006">
              <w:rPr>
                <w:rStyle w:val="Heading4Char"/>
                <w:b/>
                <w:bCs/>
              </w:rPr>
              <w:t xml:space="preserve"> 9: </w:t>
            </w:r>
            <w:r w:rsidRPr="00DF3006">
              <w:t>Corruption investigations finalised</w:t>
            </w:r>
          </w:p>
          <w:bookmarkEnd w:id="728"/>
          <w:p w14:paraId="13DA690C" w14:textId="43A447C7" w:rsidR="007F76FF" w:rsidRPr="00DF3006" w:rsidRDefault="00F3065A" w:rsidP="00F3065A">
            <w:pPr>
              <w:spacing w:after="0"/>
              <w:rPr>
                <w:rFonts w:ascii="Calibri" w:hAnsi="Calibri" w:cs="Calibri"/>
                <w:color w:val="414042" w:themeColor="text1"/>
              </w:rPr>
            </w:pPr>
            <w:r w:rsidRPr="00DF3006">
              <w:rPr>
                <w:rFonts w:ascii="Calibri" w:hAnsi="Calibri" w:cs="Calibri"/>
                <w:noProof/>
                <w:color w:val="414042" w:themeColor="text1"/>
              </w:rPr>
              <w:drawing>
                <wp:inline distT="0" distB="0" distL="0" distR="0" wp14:anchorId="20D88EA9" wp14:editId="789CC268">
                  <wp:extent cx="2879725" cy="105219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DF3006" w:rsidRPr="00DF3006" w14:paraId="7866263A" w14:textId="77777777" w:rsidTr="009F258F">
        <w:trPr>
          <w:trHeight w:val="20"/>
        </w:trPr>
        <w:tc>
          <w:tcPr>
            <w:tcW w:w="4802" w:type="dxa"/>
          </w:tcPr>
          <w:p w14:paraId="3CC79273" w14:textId="48A979D0" w:rsidR="007F76FF" w:rsidRPr="00DF3006" w:rsidRDefault="007F76FF" w:rsidP="00463FBB">
            <w:pPr>
              <w:pStyle w:val="Heading4b"/>
            </w:pPr>
            <w:bookmarkStart w:id="729" w:name="_Toc102039673"/>
            <w:bookmarkStart w:id="730" w:name="_Toc102040030"/>
            <w:bookmarkStart w:id="731" w:name="_Toc102040357"/>
            <w:bookmarkStart w:id="732" w:name="_Toc102040691"/>
            <w:bookmarkStart w:id="733" w:name="_Toc102041019"/>
            <w:bookmarkStart w:id="734" w:name="_Toc102041349"/>
            <w:bookmarkStart w:id="735" w:name="_Toc102041681"/>
            <w:bookmarkStart w:id="736" w:name="_Toc102042008"/>
            <w:bookmarkStart w:id="737" w:name="_Toc102042337"/>
            <w:bookmarkStart w:id="738" w:name="_Toc102045467"/>
            <w:bookmarkStart w:id="739" w:name="_Toc102037884"/>
            <w:bookmarkStart w:id="740" w:name="_Toc102038245"/>
            <w:bookmarkStart w:id="741" w:name="_Toc102038606"/>
            <w:bookmarkStart w:id="742" w:name="_Hlk144309535"/>
            <w:r w:rsidRPr="00DF3006">
              <w:t>Figure 10: Crime hearing days</w:t>
            </w:r>
            <w:bookmarkEnd w:id="729"/>
            <w:bookmarkEnd w:id="730"/>
            <w:bookmarkEnd w:id="731"/>
            <w:bookmarkEnd w:id="732"/>
            <w:bookmarkEnd w:id="733"/>
            <w:bookmarkEnd w:id="734"/>
            <w:bookmarkEnd w:id="735"/>
            <w:bookmarkEnd w:id="736"/>
            <w:bookmarkEnd w:id="737"/>
            <w:bookmarkEnd w:id="738"/>
            <w:bookmarkEnd w:id="739"/>
            <w:bookmarkEnd w:id="740"/>
            <w:bookmarkEnd w:id="741"/>
            <w:r w:rsidR="00B41577" w:rsidRPr="00DF3006">
              <w:rPr>
                <w:vertAlign w:val="superscript"/>
              </w:rPr>
              <w:t>6</w:t>
            </w:r>
          </w:p>
          <w:bookmarkEnd w:id="742"/>
          <w:p w14:paraId="44520BA5" w14:textId="2DF11479" w:rsidR="007F76FF" w:rsidRPr="00DF3006" w:rsidRDefault="007F76FF" w:rsidP="00F3065A">
            <w:pPr>
              <w:spacing w:after="0"/>
              <w:rPr>
                <w:rFonts w:ascii="Calibri" w:hAnsi="Calibri" w:cs="Calibri"/>
                <w:noProof/>
                <w:color w:val="414042" w:themeColor="text1"/>
              </w:rPr>
            </w:pPr>
            <w:r w:rsidRPr="00DF3006">
              <w:rPr>
                <w:rFonts w:ascii="Calibri" w:hAnsi="Calibri" w:cs="Calibri"/>
                <w:noProof/>
                <w:color w:val="414042" w:themeColor="text1"/>
              </w:rPr>
              <w:drawing>
                <wp:inline distT="0" distB="0" distL="0" distR="0" wp14:anchorId="6758BCD7" wp14:editId="22299B9E">
                  <wp:extent cx="2879725" cy="1023620"/>
                  <wp:effectExtent l="0" t="0" r="0" b="6985"/>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4836" w:type="dxa"/>
          </w:tcPr>
          <w:p w14:paraId="17A23508" w14:textId="3B71A3D7" w:rsidR="00F3065A" w:rsidRPr="00DF3006" w:rsidRDefault="00F3065A" w:rsidP="00463FBB">
            <w:pPr>
              <w:pStyle w:val="Heading4b"/>
            </w:pPr>
            <w:bookmarkStart w:id="743" w:name="_Toc102037888"/>
            <w:bookmarkStart w:id="744" w:name="_Toc102038249"/>
            <w:bookmarkStart w:id="745" w:name="_Toc102038610"/>
            <w:bookmarkStart w:id="746" w:name="_Toc102039676"/>
            <w:bookmarkStart w:id="747" w:name="_Toc102040033"/>
            <w:bookmarkStart w:id="748" w:name="_Toc102040361"/>
            <w:bookmarkStart w:id="749" w:name="_Toc102040695"/>
            <w:bookmarkStart w:id="750" w:name="_Toc102041023"/>
            <w:bookmarkStart w:id="751" w:name="_Toc102041352"/>
            <w:bookmarkStart w:id="752" w:name="_Toc102041684"/>
            <w:bookmarkStart w:id="753" w:name="_Toc102042011"/>
            <w:bookmarkStart w:id="754" w:name="_Toc102042340"/>
            <w:bookmarkStart w:id="755" w:name="_Toc102045470"/>
            <w:r w:rsidRPr="00DF3006">
              <w:t>Figure 11: Corruption hearing days</w:t>
            </w:r>
            <w:bookmarkEnd w:id="743"/>
            <w:bookmarkEnd w:id="744"/>
            <w:bookmarkEnd w:id="745"/>
            <w:bookmarkEnd w:id="746"/>
            <w:bookmarkEnd w:id="747"/>
            <w:bookmarkEnd w:id="748"/>
            <w:bookmarkEnd w:id="749"/>
            <w:bookmarkEnd w:id="750"/>
            <w:bookmarkEnd w:id="751"/>
            <w:bookmarkEnd w:id="752"/>
            <w:bookmarkEnd w:id="753"/>
            <w:bookmarkEnd w:id="754"/>
            <w:bookmarkEnd w:id="755"/>
            <w:r w:rsidR="00B41577" w:rsidRPr="00DF3006">
              <w:rPr>
                <w:vertAlign w:val="superscript"/>
              </w:rPr>
              <w:t>7</w:t>
            </w:r>
          </w:p>
          <w:p w14:paraId="1A959AF3" w14:textId="3B50BCFD" w:rsidR="007F76FF" w:rsidRPr="00DF3006" w:rsidRDefault="00F3065A" w:rsidP="00F3065A">
            <w:pPr>
              <w:spacing w:after="0"/>
              <w:rPr>
                <w:rFonts w:ascii="Calibri" w:hAnsi="Calibri" w:cs="Calibri"/>
                <w:color w:val="414042" w:themeColor="text1"/>
              </w:rPr>
            </w:pPr>
            <w:r w:rsidRPr="00DF3006">
              <w:rPr>
                <w:rFonts w:ascii="Calibri" w:hAnsi="Calibri" w:cs="Calibri"/>
                <w:noProof/>
                <w:color w:val="414042" w:themeColor="text1"/>
              </w:rPr>
              <w:drawing>
                <wp:inline distT="0" distB="0" distL="0" distR="0" wp14:anchorId="5AE81F57" wp14:editId="6C1DAAAF">
                  <wp:extent cx="2933700" cy="1023620"/>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DF3006" w:rsidRPr="00DF3006" w14:paraId="52010EF1" w14:textId="77777777" w:rsidTr="009F258F">
        <w:trPr>
          <w:trHeight w:val="20"/>
        </w:trPr>
        <w:tc>
          <w:tcPr>
            <w:tcW w:w="4802" w:type="dxa"/>
          </w:tcPr>
          <w:p w14:paraId="2955E2BA" w14:textId="546591F4" w:rsidR="007F76FF" w:rsidRPr="00DF3006" w:rsidRDefault="007F76FF" w:rsidP="00463FBB">
            <w:pPr>
              <w:pStyle w:val="Heading4b"/>
            </w:pPr>
            <w:bookmarkStart w:id="756" w:name="_Toc102037885"/>
            <w:bookmarkStart w:id="757" w:name="_Toc102038246"/>
            <w:bookmarkStart w:id="758" w:name="_Toc102038607"/>
            <w:bookmarkStart w:id="759" w:name="_Toc102039674"/>
            <w:bookmarkStart w:id="760" w:name="_Toc102040031"/>
            <w:bookmarkStart w:id="761" w:name="_Toc102040358"/>
            <w:bookmarkStart w:id="762" w:name="_Toc102040692"/>
            <w:bookmarkStart w:id="763" w:name="_Toc102041020"/>
            <w:bookmarkStart w:id="764" w:name="_Toc102041350"/>
            <w:bookmarkStart w:id="765" w:name="_Toc102041682"/>
            <w:bookmarkStart w:id="766" w:name="_Toc102042009"/>
            <w:bookmarkStart w:id="767" w:name="_Toc102042338"/>
            <w:bookmarkStart w:id="768" w:name="_Toc102045468"/>
            <w:bookmarkStart w:id="769" w:name="_Hlk144309554"/>
            <w:r w:rsidRPr="00DF3006">
              <w:t>Figure 12: Value of assets restrained ($ million)</w:t>
            </w:r>
            <w:bookmarkEnd w:id="756"/>
            <w:bookmarkEnd w:id="757"/>
            <w:bookmarkEnd w:id="758"/>
            <w:bookmarkEnd w:id="759"/>
            <w:bookmarkEnd w:id="760"/>
            <w:bookmarkEnd w:id="761"/>
            <w:bookmarkEnd w:id="762"/>
            <w:bookmarkEnd w:id="763"/>
            <w:bookmarkEnd w:id="764"/>
            <w:bookmarkEnd w:id="765"/>
            <w:bookmarkEnd w:id="766"/>
            <w:bookmarkEnd w:id="767"/>
            <w:bookmarkEnd w:id="768"/>
          </w:p>
          <w:bookmarkEnd w:id="769"/>
          <w:p w14:paraId="01D589FE" w14:textId="675344C4" w:rsidR="007F76FF" w:rsidRPr="00DF3006" w:rsidRDefault="007F76FF" w:rsidP="00F3065A">
            <w:pPr>
              <w:spacing w:after="0"/>
              <w:jc w:val="right"/>
              <w:rPr>
                <w:rFonts w:ascii="Calibri" w:hAnsi="Calibri" w:cs="Calibri"/>
                <w:color w:val="414042" w:themeColor="text1"/>
              </w:rPr>
            </w:pPr>
            <w:r w:rsidRPr="00DF3006">
              <w:rPr>
                <w:rFonts w:ascii="Calibri" w:hAnsi="Calibri" w:cs="Calibri"/>
                <w:noProof/>
                <w:color w:val="414042" w:themeColor="text1"/>
              </w:rPr>
              <w:drawing>
                <wp:inline distT="0" distB="0" distL="0" distR="0" wp14:anchorId="7A1CE910" wp14:editId="1A4E2ED6">
                  <wp:extent cx="2879725" cy="10382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4836" w:type="dxa"/>
          </w:tcPr>
          <w:p w14:paraId="0E653D7A" w14:textId="77777777" w:rsidR="00F3065A" w:rsidRPr="00DF3006" w:rsidRDefault="00F3065A" w:rsidP="00463FBB">
            <w:pPr>
              <w:pStyle w:val="Heading4b"/>
            </w:pPr>
            <w:bookmarkStart w:id="770" w:name="_Toc102037889"/>
            <w:bookmarkStart w:id="771" w:name="_Toc102038250"/>
            <w:bookmarkStart w:id="772" w:name="_Toc102038611"/>
            <w:bookmarkStart w:id="773" w:name="_Toc102039677"/>
            <w:bookmarkStart w:id="774" w:name="_Toc102040034"/>
            <w:bookmarkStart w:id="775" w:name="_Toc102040362"/>
            <w:bookmarkStart w:id="776" w:name="_Toc102040696"/>
            <w:bookmarkStart w:id="777" w:name="_Toc102041024"/>
            <w:bookmarkStart w:id="778" w:name="_Toc102041353"/>
            <w:bookmarkStart w:id="779" w:name="_Toc102041685"/>
            <w:bookmarkStart w:id="780" w:name="_Toc102042012"/>
            <w:bookmarkStart w:id="781" w:name="_Toc102042341"/>
            <w:bookmarkStart w:id="782" w:name="_Toc102045471"/>
            <w:bookmarkStart w:id="783" w:name="_Hlk144309568"/>
            <w:r w:rsidRPr="00DF3006">
              <w:t>Figure 13: Corruption complaints received</w:t>
            </w:r>
            <w:bookmarkEnd w:id="770"/>
            <w:bookmarkEnd w:id="771"/>
            <w:bookmarkEnd w:id="772"/>
            <w:bookmarkEnd w:id="773"/>
            <w:bookmarkEnd w:id="774"/>
            <w:bookmarkEnd w:id="775"/>
            <w:bookmarkEnd w:id="776"/>
            <w:bookmarkEnd w:id="777"/>
            <w:bookmarkEnd w:id="778"/>
            <w:bookmarkEnd w:id="779"/>
            <w:bookmarkEnd w:id="780"/>
            <w:bookmarkEnd w:id="781"/>
            <w:bookmarkEnd w:id="782"/>
          </w:p>
          <w:bookmarkEnd w:id="783"/>
          <w:p w14:paraId="781B7FC1" w14:textId="3C5F4EEE" w:rsidR="007F76FF" w:rsidRPr="00DF3006" w:rsidRDefault="00F3065A" w:rsidP="00F3065A">
            <w:pPr>
              <w:spacing w:after="0"/>
              <w:rPr>
                <w:rFonts w:ascii="Calibri" w:hAnsi="Calibri" w:cs="Calibri"/>
                <w:color w:val="414042" w:themeColor="text1"/>
              </w:rPr>
            </w:pPr>
            <w:r w:rsidRPr="00DF3006">
              <w:rPr>
                <w:rFonts w:ascii="Calibri" w:hAnsi="Calibri" w:cs="Calibri"/>
                <w:noProof/>
                <w:color w:val="414042" w:themeColor="text1"/>
              </w:rPr>
              <w:drawing>
                <wp:inline distT="0" distB="0" distL="0" distR="0" wp14:anchorId="1BB908DB" wp14:editId="1554346E">
                  <wp:extent cx="2879725" cy="10382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DF3006" w:rsidRPr="00DF3006" w14:paraId="4C26A57E" w14:textId="77777777" w:rsidTr="009F258F">
        <w:trPr>
          <w:trHeight w:val="20"/>
        </w:trPr>
        <w:tc>
          <w:tcPr>
            <w:tcW w:w="4802" w:type="dxa"/>
          </w:tcPr>
          <w:p w14:paraId="1C1FE38F" w14:textId="75A67D36" w:rsidR="007F76FF" w:rsidRPr="00DF3006" w:rsidRDefault="007F76FF" w:rsidP="00463FBB">
            <w:pPr>
              <w:pStyle w:val="Heading4b"/>
            </w:pPr>
            <w:bookmarkStart w:id="784" w:name="_Toc102037886"/>
            <w:bookmarkStart w:id="785" w:name="_Toc102038247"/>
            <w:bookmarkStart w:id="786" w:name="_Toc102038608"/>
            <w:bookmarkStart w:id="787" w:name="_Toc102039675"/>
            <w:bookmarkStart w:id="788" w:name="_Toc102040032"/>
            <w:bookmarkStart w:id="789" w:name="_Toc102040359"/>
            <w:bookmarkStart w:id="790" w:name="_Toc102040693"/>
            <w:bookmarkStart w:id="791" w:name="_Toc102041021"/>
            <w:bookmarkStart w:id="792" w:name="_Toc102041351"/>
            <w:bookmarkStart w:id="793" w:name="_Toc102041683"/>
            <w:bookmarkStart w:id="794" w:name="_Toc102042010"/>
            <w:bookmarkStart w:id="795" w:name="_Toc102042339"/>
            <w:bookmarkStart w:id="796" w:name="_Toc102045469"/>
            <w:r w:rsidRPr="00DF3006">
              <w:t>Figure 14: Value of assets forfeited ($ million)</w:t>
            </w:r>
            <w:bookmarkEnd w:id="784"/>
            <w:bookmarkEnd w:id="785"/>
            <w:bookmarkEnd w:id="786"/>
            <w:bookmarkEnd w:id="787"/>
            <w:bookmarkEnd w:id="788"/>
            <w:bookmarkEnd w:id="789"/>
            <w:bookmarkEnd w:id="790"/>
            <w:bookmarkEnd w:id="791"/>
            <w:bookmarkEnd w:id="792"/>
            <w:bookmarkEnd w:id="793"/>
            <w:bookmarkEnd w:id="794"/>
            <w:bookmarkEnd w:id="795"/>
            <w:bookmarkEnd w:id="796"/>
          </w:p>
          <w:p w14:paraId="0DA71FD3" w14:textId="0E699342" w:rsidR="007F76FF" w:rsidRPr="00DF3006" w:rsidRDefault="007F76FF" w:rsidP="00F3065A">
            <w:pPr>
              <w:spacing w:after="0"/>
              <w:rPr>
                <w:rFonts w:ascii="Calibri" w:hAnsi="Calibri" w:cs="Calibri"/>
                <w:color w:val="414042" w:themeColor="text1"/>
              </w:rPr>
            </w:pPr>
            <w:bookmarkStart w:id="797" w:name="_Toc102037887"/>
            <w:bookmarkStart w:id="798" w:name="_Toc102038248"/>
            <w:bookmarkStart w:id="799" w:name="_Toc102038609"/>
            <w:bookmarkStart w:id="800" w:name="_Toc102040360"/>
            <w:bookmarkStart w:id="801" w:name="_Toc102040694"/>
            <w:bookmarkStart w:id="802" w:name="_Toc102041022"/>
            <w:r w:rsidRPr="00DF3006">
              <w:rPr>
                <w:rFonts w:ascii="Calibri" w:hAnsi="Calibri" w:cs="Calibri"/>
                <w:noProof/>
                <w:color w:val="414042" w:themeColor="text1"/>
              </w:rPr>
              <w:drawing>
                <wp:inline distT="0" distB="0" distL="0" distR="0" wp14:anchorId="03430832" wp14:editId="54B1D9B1">
                  <wp:extent cx="2879725" cy="11049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DF3006">
              <w:rPr>
                <w:rFonts w:ascii="Calibri" w:hAnsi="Calibri" w:cs="Calibri"/>
                <w:color w:val="414042" w:themeColor="text1"/>
              </w:rPr>
              <w:br w:type="column"/>
            </w:r>
            <w:bookmarkEnd w:id="797"/>
            <w:bookmarkEnd w:id="798"/>
            <w:bookmarkEnd w:id="799"/>
            <w:bookmarkEnd w:id="800"/>
            <w:bookmarkEnd w:id="801"/>
            <w:bookmarkEnd w:id="802"/>
          </w:p>
        </w:tc>
        <w:tc>
          <w:tcPr>
            <w:tcW w:w="4836" w:type="dxa"/>
          </w:tcPr>
          <w:p w14:paraId="2F70EE40" w14:textId="77777777" w:rsidR="00F3065A" w:rsidRPr="00DF3006" w:rsidRDefault="00F3065A" w:rsidP="00463FBB">
            <w:pPr>
              <w:pStyle w:val="Heading4b"/>
            </w:pPr>
            <w:bookmarkStart w:id="803" w:name="_Toc102037890"/>
            <w:bookmarkStart w:id="804" w:name="_Toc102038251"/>
            <w:bookmarkStart w:id="805" w:name="_Toc102038612"/>
            <w:bookmarkStart w:id="806" w:name="_Toc102039678"/>
            <w:bookmarkStart w:id="807" w:name="_Toc102040035"/>
            <w:bookmarkStart w:id="808" w:name="_Toc102040363"/>
            <w:bookmarkStart w:id="809" w:name="_Toc102040697"/>
            <w:bookmarkStart w:id="810" w:name="_Toc102041025"/>
            <w:bookmarkStart w:id="811" w:name="_Toc102041354"/>
            <w:bookmarkStart w:id="812" w:name="_Toc102041686"/>
            <w:bookmarkStart w:id="813" w:name="_Toc102042013"/>
            <w:bookmarkStart w:id="814" w:name="_Toc102042342"/>
            <w:bookmarkStart w:id="815" w:name="_Toc102045472"/>
            <w:r w:rsidRPr="00DF3006">
              <w:t>Figure 15: Corruption allegations received</w:t>
            </w:r>
            <w:bookmarkEnd w:id="803"/>
            <w:bookmarkEnd w:id="804"/>
            <w:bookmarkEnd w:id="805"/>
            <w:bookmarkEnd w:id="806"/>
            <w:bookmarkEnd w:id="807"/>
            <w:bookmarkEnd w:id="808"/>
            <w:bookmarkEnd w:id="809"/>
            <w:bookmarkEnd w:id="810"/>
            <w:bookmarkEnd w:id="811"/>
            <w:bookmarkEnd w:id="812"/>
            <w:bookmarkEnd w:id="813"/>
            <w:bookmarkEnd w:id="814"/>
            <w:bookmarkEnd w:id="815"/>
          </w:p>
          <w:p w14:paraId="5F7CA72F" w14:textId="42123FDA" w:rsidR="007F76FF" w:rsidRPr="00DF3006" w:rsidRDefault="00F3065A" w:rsidP="00F3065A">
            <w:pPr>
              <w:spacing w:after="0"/>
              <w:rPr>
                <w:rFonts w:ascii="Calibri" w:hAnsi="Calibri" w:cs="Calibri"/>
                <w:color w:val="414042" w:themeColor="text1"/>
                <w:szCs w:val="22"/>
              </w:rPr>
            </w:pPr>
            <w:r w:rsidRPr="00DF3006">
              <w:rPr>
                <w:rFonts w:ascii="Calibri" w:hAnsi="Calibri" w:cs="Calibri"/>
                <w:noProof/>
                <w:color w:val="414042" w:themeColor="text1"/>
                <w:spacing w:val="-5"/>
              </w:rPr>
              <w:drawing>
                <wp:inline distT="0" distB="0" distL="0" distR="0" wp14:anchorId="790AA744" wp14:editId="45F93537">
                  <wp:extent cx="2879725" cy="11049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bookmarkEnd w:id="714"/>
    <w:bookmarkEnd w:id="715"/>
    <w:bookmarkEnd w:id="716"/>
    <w:bookmarkEnd w:id="717"/>
    <w:bookmarkEnd w:id="718"/>
    <w:bookmarkEnd w:id="719"/>
    <w:bookmarkEnd w:id="720"/>
    <w:bookmarkEnd w:id="721"/>
    <w:bookmarkEnd w:id="722"/>
    <w:bookmarkEnd w:id="723"/>
    <w:bookmarkEnd w:id="724"/>
    <w:bookmarkEnd w:id="725"/>
    <w:bookmarkEnd w:id="726"/>
    <w:p w14:paraId="3D982070" w14:textId="05B5DD3F" w:rsidR="00F844DE" w:rsidRPr="00DF3006" w:rsidRDefault="00F844DE" w:rsidP="009F258F">
      <w:pPr>
        <w:pStyle w:val="Notes"/>
        <w:spacing w:before="120"/>
        <w:ind w:left="357" w:hanging="357"/>
        <w:rPr>
          <w:lang w:val="en-AU"/>
        </w:rPr>
      </w:pPr>
      <w:r w:rsidRPr="00DF3006">
        <w:rPr>
          <w:lang w:val="en-AU"/>
        </w:rPr>
        <w:t>Notes:</w:t>
      </w:r>
    </w:p>
    <w:p w14:paraId="4B86BAB8" w14:textId="77777777" w:rsidR="00B41577" w:rsidRPr="00DF3006" w:rsidRDefault="00B41577" w:rsidP="009F258F">
      <w:pPr>
        <w:numPr>
          <w:ilvl w:val="0"/>
          <w:numId w:val="3"/>
        </w:numPr>
        <w:suppressAutoHyphens/>
        <w:autoSpaceDE w:val="0"/>
        <w:autoSpaceDN w:val="0"/>
        <w:adjustRightInd w:val="0"/>
        <w:spacing w:after="0"/>
        <w:ind w:left="0" w:right="284" w:hanging="284"/>
        <w:textAlignment w:val="center"/>
        <w:rPr>
          <w:rFonts w:cs="Calibri"/>
          <w:color w:val="414042" w:themeColor="text1"/>
          <w:sz w:val="16"/>
          <w:szCs w:val="16"/>
          <w:lang w:val="en-US"/>
        </w:rPr>
      </w:pPr>
      <w:r w:rsidRPr="00DF3006">
        <w:rPr>
          <w:color w:val="414042" w:themeColor="text1"/>
          <w:sz w:val="16"/>
          <w:szCs w:val="16"/>
        </w:rPr>
        <w:t>This measure was introduced in 2021–22.</w:t>
      </w:r>
    </w:p>
    <w:p w14:paraId="0AB5F88B" w14:textId="0A0B1A69" w:rsidR="00B41577" w:rsidRPr="00DF3006" w:rsidRDefault="00B41577" w:rsidP="009F258F">
      <w:pPr>
        <w:numPr>
          <w:ilvl w:val="0"/>
          <w:numId w:val="3"/>
        </w:numPr>
        <w:suppressAutoHyphens/>
        <w:autoSpaceDE w:val="0"/>
        <w:autoSpaceDN w:val="0"/>
        <w:adjustRightInd w:val="0"/>
        <w:spacing w:after="0"/>
        <w:ind w:left="0" w:right="284" w:hanging="284"/>
        <w:textAlignment w:val="center"/>
        <w:rPr>
          <w:rFonts w:cs="Calibri"/>
          <w:color w:val="414042" w:themeColor="text1"/>
          <w:sz w:val="16"/>
          <w:szCs w:val="16"/>
          <w:lang w:val="en-US"/>
        </w:rPr>
      </w:pPr>
      <w:r w:rsidRPr="00DF3006">
        <w:rPr>
          <w:rFonts w:cs="Calibri"/>
          <w:color w:val="414042" w:themeColor="text1"/>
          <w:sz w:val="16"/>
          <w:szCs w:val="16"/>
          <w:lang w:val="en-US"/>
        </w:rPr>
        <w:t xml:space="preserve">As </w:t>
      </w:r>
      <w:proofErr w:type="gramStart"/>
      <w:r w:rsidRPr="00DF3006">
        <w:rPr>
          <w:rFonts w:cs="Calibri"/>
          <w:color w:val="414042" w:themeColor="text1"/>
          <w:sz w:val="16"/>
          <w:szCs w:val="16"/>
          <w:lang w:val="en-US"/>
        </w:rPr>
        <w:t>at</w:t>
      </w:r>
      <w:proofErr w:type="gramEnd"/>
      <w:r w:rsidRPr="00DF3006">
        <w:rPr>
          <w:rFonts w:cs="Calibri"/>
          <w:color w:val="414042" w:themeColor="text1"/>
          <w:sz w:val="16"/>
          <w:szCs w:val="16"/>
          <w:lang w:val="en-US"/>
        </w:rPr>
        <w:t xml:space="preserve"> 30 June 2023, eight of the 39 </w:t>
      </w:r>
      <w:proofErr w:type="spellStart"/>
      <w:r w:rsidRPr="00DF3006">
        <w:rPr>
          <w:rFonts w:cs="Calibri"/>
          <w:color w:val="414042" w:themeColor="text1"/>
          <w:sz w:val="16"/>
          <w:szCs w:val="16"/>
          <w:lang w:val="en-US"/>
        </w:rPr>
        <w:t>finalised</w:t>
      </w:r>
      <w:proofErr w:type="spellEnd"/>
      <w:r w:rsidRPr="00DF3006">
        <w:rPr>
          <w:rFonts w:cs="Calibri"/>
          <w:color w:val="414042" w:themeColor="text1"/>
          <w:sz w:val="16"/>
          <w:szCs w:val="16"/>
          <w:lang w:val="en-US"/>
        </w:rPr>
        <w:t xml:space="preserve"> corruption investigations were not </w:t>
      </w:r>
      <w:proofErr w:type="spellStart"/>
      <w:r w:rsidRPr="00DF3006">
        <w:rPr>
          <w:rFonts w:cs="Calibri"/>
          <w:color w:val="414042" w:themeColor="text1"/>
          <w:sz w:val="16"/>
          <w:szCs w:val="16"/>
          <w:lang w:val="en-US"/>
        </w:rPr>
        <w:t>finalised</w:t>
      </w:r>
      <w:proofErr w:type="spellEnd"/>
      <w:r w:rsidRPr="00DF3006">
        <w:rPr>
          <w:rFonts w:cs="Calibri"/>
          <w:color w:val="414042" w:themeColor="text1"/>
          <w:sz w:val="16"/>
          <w:szCs w:val="16"/>
          <w:lang w:val="en-US"/>
        </w:rPr>
        <w:t xml:space="preserve"> within a 12 month period. Of these eight matters, two were extended </w:t>
      </w:r>
      <w:proofErr w:type="gramStart"/>
      <w:r w:rsidRPr="00DF3006">
        <w:rPr>
          <w:rFonts w:cs="Calibri"/>
          <w:color w:val="414042" w:themeColor="text1"/>
          <w:sz w:val="16"/>
          <w:szCs w:val="16"/>
          <w:lang w:val="en-US"/>
        </w:rPr>
        <w:t>as a result of</w:t>
      </w:r>
      <w:proofErr w:type="gramEnd"/>
      <w:r w:rsidRPr="00DF3006">
        <w:rPr>
          <w:rFonts w:cs="Calibri"/>
          <w:color w:val="414042" w:themeColor="text1"/>
          <w:sz w:val="16"/>
          <w:szCs w:val="16"/>
          <w:lang w:val="en-US"/>
        </w:rPr>
        <w:t xml:space="preserve"> obtaining external and other legal advice, and the remaining matters were complex, multi-facetted investigations that required considerable resources over a protracted period of time. This </w:t>
      </w:r>
      <w:r w:rsidR="003D5FB8" w:rsidRPr="00DF3006">
        <w:rPr>
          <w:rFonts w:cs="Calibri"/>
          <w:color w:val="414042" w:themeColor="text1"/>
          <w:sz w:val="16"/>
          <w:szCs w:val="16"/>
          <w:lang w:val="en-US"/>
        </w:rPr>
        <w:t>measure</w:t>
      </w:r>
      <w:r w:rsidRPr="00DF3006">
        <w:rPr>
          <w:rFonts w:cs="Calibri"/>
          <w:color w:val="414042" w:themeColor="text1"/>
          <w:sz w:val="16"/>
          <w:szCs w:val="16"/>
          <w:lang w:val="en-US"/>
        </w:rPr>
        <w:t xml:space="preserve"> is to be discontinued in 2023</w:t>
      </w:r>
      <w:r w:rsidRPr="00DF3006">
        <w:rPr>
          <w:color w:val="414042" w:themeColor="text1"/>
          <w:sz w:val="16"/>
          <w:szCs w:val="16"/>
        </w:rPr>
        <w:t>–</w:t>
      </w:r>
      <w:r w:rsidRPr="00DF3006">
        <w:rPr>
          <w:rFonts w:cs="Calibri"/>
          <w:color w:val="414042" w:themeColor="text1"/>
          <w:sz w:val="16"/>
          <w:szCs w:val="16"/>
          <w:lang w:val="en-US"/>
        </w:rPr>
        <w:t xml:space="preserve">24 and will be replaced with </w:t>
      </w:r>
      <w:r w:rsidR="003D5FB8" w:rsidRPr="00DF3006">
        <w:rPr>
          <w:rFonts w:cs="Calibri"/>
          <w:color w:val="414042" w:themeColor="text1"/>
          <w:sz w:val="16"/>
          <w:szCs w:val="16"/>
          <w:lang w:val="en-US"/>
        </w:rPr>
        <w:t>“</w:t>
      </w:r>
      <w:r w:rsidRPr="00DF3006">
        <w:rPr>
          <w:rFonts w:cs="Calibri"/>
          <w:color w:val="414042" w:themeColor="text1"/>
          <w:sz w:val="16"/>
          <w:szCs w:val="16"/>
          <w:lang w:val="en-US"/>
        </w:rPr>
        <w:t xml:space="preserve">Corruption investigation clearance rate: </w:t>
      </w:r>
      <w:proofErr w:type="spellStart"/>
      <w:r w:rsidRPr="00DF3006">
        <w:rPr>
          <w:rFonts w:cs="Calibri"/>
          <w:color w:val="414042" w:themeColor="text1"/>
          <w:sz w:val="16"/>
          <w:szCs w:val="16"/>
          <w:lang w:val="en-US"/>
        </w:rPr>
        <w:t>finalised</w:t>
      </w:r>
      <w:proofErr w:type="spellEnd"/>
      <w:r w:rsidRPr="00DF3006">
        <w:rPr>
          <w:rFonts w:cs="Calibri"/>
          <w:color w:val="414042" w:themeColor="text1"/>
          <w:sz w:val="16"/>
          <w:szCs w:val="16"/>
          <w:lang w:val="en-US"/>
        </w:rPr>
        <w:t>/ commenced</w:t>
      </w:r>
      <w:r w:rsidR="003D5FB8" w:rsidRPr="00DF3006">
        <w:rPr>
          <w:rFonts w:cs="Calibri"/>
          <w:color w:val="414042" w:themeColor="text1"/>
          <w:sz w:val="16"/>
          <w:szCs w:val="16"/>
          <w:lang w:val="en-US"/>
        </w:rPr>
        <w:t>”</w:t>
      </w:r>
      <w:r w:rsidRPr="00DF3006">
        <w:rPr>
          <w:rFonts w:cs="Calibri"/>
          <w:color w:val="414042" w:themeColor="text1"/>
          <w:sz w:val="16"/>
          <w:szCs w:val="16"/>
          <w:lang w:val="en-US"/>
        </w:rPr>
        <w:t>.</w:t>
      </w:r>
    </w:p>
    <w:p w14:paraId="020C9BDB" w14:textId="77777777" w:rsidR="00B41577" w:rsidRPr="00DF3006" w:rsidRDefault="00B41577" w:rsidP="009F258F">
      <w:pPr>
        <w:numPr>
          <w:ilvl w:val="0"/>
          <w:numId w:val="3"/>
        </w:numPr>
        <w:suppressAutoHyphens/>
        <w:autoSpaceDE w:val="0"/>
        <w:autoSpaceDN w:val="0"/>
        <w:adjustRightInd w:val="0"/>
        <w:spacing w:after="0"/>
        <w:ind w:left="0" w:right="284" w:hanging="284"/>
        <w:textAlignment w:val="center"/>
        <w:rPr>
          <w:color w:val="414042" w:themeColor="text1"/>
          <w:sz w:val="16"/>
          <w:szCs w:val="16"/>
        </w:rPr>
      </w:pPr>
      <w:bookmarkStart w:id="816" w:name="_Hlk141877840"/>
      <w:r w:rsidRPr="00DF3006">
        <w:rPr>
          <w:color w:val="414042" w:themeColor="text1"/>
          <w:sz w:val="16"/>
          <w:szCs w:val="16"/>
        </w:rPr>
        <w:t xml:space="preserve">As at 30 June 2023, six investigations were extended beyond six months; three to accommodate COVID–19 related delays and witness availability; one to accommodate delays due to COVID–19 and certification of a witness for contempt; one to allow the location of a proposed witness to be ascertained (the witness was eventually located by the QPS but was no longer required to be called as a witness and the matter was subsequently closed); and one to enable court proceedings in relation to the appeal of a witness' contempt sentence and the subsequent proceeding in relation to the witness' second certification of contempt. This measure is to be discontinued in the 2023–24 and will be replaced with </w:t>
      </w:r>
      <w:r w:rsidRPr="00DF3006">
        <w:rPr>
          <w:i/>
          <w:iCs/>
          <w:color w:val="414042" w:themeColor="text1"/>
          <w:sz w:val="16"/>
          <w:szCs w:val="16"/>
        </w:rPr>
        <w:t>Average number of days to finalise a referred crime investigation</w:t>
      </w:r>
      <w:r w:rsidRPr="00DF3006">
        <w:rPr>
          <w:color w:val="414042" w:themeColor="text1"/>
          <w:sz w:val="16"/>
          <w:szCs w:val="16"/>
        </w:rPr>
        <w:t>.</w:t>
      </w:r>
    </w:p>
    <w:p w14:paraId="38C3CC3E" w14:textId="5A1E3DBE" w:rsidR="00B41577" w:rsidRPr="00DF3006" w:rsidRDefault="00B41577" w:rsidP="009F258F">
      <w:pPr>
        <w:numPr>
          <w:ilvl w:val="0"/>
          <w:numId w:val="3"/>
        </w:numPr>
        <w:suppressAutoHyphens/>
        <w:autoSpaceDE w:val="0"/>
        <w:autoSpaceDN w:val="0"/>
        <w:adjustRightInd w:val="0"/>
        <w:spacing w:after="0"/>
        <w:ind w:left="0" w:right="284" w:hanging="284"/>
        <w:textAlignment w:val="center"/>
        <w:rPr>
          <w:rFonts w:cs="Calibri"/>
          <w:color w:val="414042" w:themeColor="text1"/>
          <w:sz w:val="16"/>
          <w:szCs w:val="16"/>
          <w:lang w:val="en-US"/>
        </w:rPr>
      </w:pPr>
      <w:r w:rsidRPr="00DF3006">
        <w:rPr>
          <w:color w:val="414042" w:themeColor="text1"/>
          <w:sz w:val="16"/>
          <w:szCs w:val="16"/>
        </w:rPr>
        <w:t xml:space="preserve">As </w:t>
      </w:r>
      <w:proofErr w:type="gramStart"/>
      <w:r w:rsidRPr="00DF3006">
        <w:rPr>
          <w:color w:val="414042" w:themeColor="text1"/>
          <w:sz w:val="16"/>
          <w:szCs w:val="16"/>
        </w:rPr>
        <w:t>at</w:t>
      </w:r>
      <w:proofErr w:type="gramEnd"/>
      <w:r w:rsidRPr="00DF3006">
        <w:rPr>
          <w:color w:val="414042" w:themeColor="text1"/>
          <w:sz w:val="16"/>
          <w:szCs w:val="16"/>
        </w:rPr>
        <w:t xml:space="preserve"> 30 June 2023, 16 of the 39 finalised corruption investigations did not result in a significant outcome. Of these 16 matters, two were feasibility investigations resulting in a decision to not continue, two were referred to the </w:t>
      </w:r>
      <w:proofErr w:type="spellStart"/>
      <w:r w:rsidRPr="00DF3006">
        <w:rPr>
          <w:i/>
          <w:iCs/>
          <w:color w:val="414042" w:themeColor="text1"/>
          <w:sz w:val="16"/>
          <w:szCs w:val="16"/>
        </w:rPr>
        <w:t>Sofronoff</w:t>
      </w:r>
      <w:proofErr w:type="spellEnd"/>
      <w:r w:rsidRPr="00DF3006">
        <w:rPr>
          <w:i/>
          <w:iCs/>
          <w:color w:val="414042" w:themeColor="text1"/>
          <w:sz w:val="16"/>
          <w:szCs w:val="16"/>
        </w:rPr>
        <w:t xml:space="preserve"> DNA Inquiry</w:t>
      </w:r>
      <w:r w:rsidRPr="00DF3006">
        <w:rPr>
          <w:color w:val="414042" w:themeColor="text1"/>
          <w:sz w:val="16"/>
          <w:szCs w:val="16"/>
        </w:rPr>
        <w:t xml:space="preserve"> and 12 resulted in allegations not being substantiated and no further action was taken. </w:t>
      </w:r>
      <w:r w:rsidR="00D23D10" w:rsidRPr="00DF3006">
        <w:rPr>
          <w:color w:val="414042" w:themeColor="text1"/>
          <w:sz w:val="16"/>
          <w:szCs w:val="16"/>
        </w:rPr>
        <w:t>We will further refine the definition of “significant outcome”</w:t>
      </w:r>
      <w:r w:rsidR="007E7B4C" w:rsidRPr="00DF3006">
        <w:rPr>
          <w:color w:val="414042" w:themeColor="text1"/>
          <w:sz w:val="16"/>
          <w:szCs w:val="16"/>
        </w:rPr>
        <w:t xml:space="preserve"> </w:t>
      </w:r>
      <w:r w:rsidRPr="00DF3006">
        <w:rPr>
          <w:color w:val="414042" w:themeColor="text1"/>
          <w:sz w:val="16"/>
          <w:szCs w:val="16"/>
        </w:rPr>
        <w:t xml:space="preserve">in the </w:t>
      </w:r>
      <w:r w:rsidR="003D5FB8" w:rsidRPr="00DF3006">
        <w:rPr>
          <w:color w:val="414042" w:themeColor="text1"/>
          <w:sz w:val="16"/>
          <w:szCs w:val="16"/>
        </w:rPr>
        <w:t xml:space="preserve">Service Delivery Statements </w:t>
      </w:r>
      <w:r w:rsidRPr="00DF3006">
        <w:rPr>
          <w:color w:val="414042" w:themeColor="text1"/>
          <w:sz w:val="16"/>
          <w:szCs w:val="16"/>
        </w:rPr>
        <w:t xml:space="preserve">annual review (2024–25) </w:t>
      </w:r>
      <w:r w:rsidR="00D23D10" w:rsidRPr="00DF3006">
        <w:rPr>
          <w:color w:val="414042" w:themeColor="text1"/>
          <w:sz w:val="16"/>
          <w:szCs w:val="16"/>
        </w:rPr>
        <w:t xml:space="preserve">with a view </w:t>
      </w:r>
      <w:r w:rsidRPr="00DF3006">
        <w:rPr>
          <w:color w:val="414042" w:themeColor="text1"/>
          <w:sz w:val="16"/>
          <w:szCs w:val="16"/>
        </w:rPr>
        <w:t>to exclud</w:t>
      </w:r>
      <w:r w:rsidR="00D23D10" w:rsidRPr="00DF3006">
        <w:rPr>
          <w:color w:val="414042" w:themeColor="text1"/>
          <w:sz w:val="16"/>
          <w:szCs w:val="16"/>
        </w:rPr>
        <w:t>ing</w:t>
      </w:r>
      <w:r w:rsidRPr="00DF3006">
        <w:rPr>
          <w:color w:val="414042" w:themeColor="text1"/>
          <w:sz w:val="16"/>
          <w:szCs w:val="16"/>
        </w:rPr>
        <w:t xml:space="preserve"> investigations that</w:t>
      </w:r>
      <w:r w:rsidR="00D23D10" w:rsidRPr="00DF3006">
        <w:rPr>
          <w:color w:val="414042" w:themeColor="text1"/>
          <w:sz w:val="16"/>
          <w:szCs w:val="16"/>
        </w:rPr>
        <w:t>,</w:t>
      </w:r>
      <w:r w:rsidRPr="00DF3006">
        <w:rPr>
          <w:color w:val="414042" w:themeColor="text1"/>
          <w:sz w:val="16"/>
          <w:szCs w:val="16"/>
        </w:rPr>
        <w:t xml:space="preserve"> during feasibility phase</w:t>
      </w:r>
      <w:r w:rsidR="00D23D10" w:rsidRPr="00DF3006">
        <w:rPr>
          <w:color w:val="414042" w:themeColor="text1"/>
          <w:sz w:val="16"/>
          <w:szCs w:val="16"/>
        </w:rPr>
        <w:t>,</w:t>
      </w:r>
      <w:r w:rsidRPr="00DF3006">
        <w:rPr>
          <w:color w:val="414042" w:themeColor="text1"/>
          <w:sz w:val="16"/>
          <w:szCs w:val="16"/>
        </w:rPr>
        <w:t xml:space="preserve"> result in a decision to not continue</w:t>
      </w:r>
      <w:r w:rsidR="00D23D10" w:rsidRPr="00DF3006">
        <w:rPr>
          <w:color w:val="414042" w:themeColor="text1"/>
          <w:sz w:val="16"/>
          <w:szCs w:val="16"/>
        </w:rPr>
        <w:t xml:space="preserve"> into delivery</w:t>
      </w:r>
      <w:r w:rsidRPr="00DF3006">
        <w:rPr>
          <w:color w:val="414042" w:themeColor="text1"/>
          <w:sz w:val="16"/>
          <w:szCs w:val="16"/>
        </w:rPr>
        <w:t>.</w:t>
      </w:r>
    </w:p>
    <w:bookmarkEnd w:id="816"/>
    <w:p w14:paraId="4A7F3C65" w14:textId="77777777" w:rsidR="00B41577" w:rsidRPr="00DF3006" w:rsidRDefault="00B41577" w:rsidP="009F258F">
      <w:pPr>
        <w:numPr>
          <w:ilvl w:val="0"/>
          <w:numId w:val="3"/>
        </w:numPr>
        <w:suppressAutoHyphens/>
        <w:autoSpaceDE w:val="0"/>
        <w:autoSpaceDN w:val="0"/>
        <w:adjustRightInd w:val="0"/>
        <w:spacing w:after="0"/>
        <w:ind w:left="0" w:right="284" w:hanging="284"/>
        <w:textAlignment w:val="center"/>
        <w:rPr>
          <w:color w:val="414042" w:themeColor="text1"/>
          <w:sz w:val="16"/>
          <w:szCs w:val="16"/>
        </w:rPr>
      </w:pPr>
      <w:r w:rsidRPr="00DF3006">
        <w:rPr>
          <w:color w:val="414042" w:themeColor="text1"/>
          <w:sz w:val="16"/>
          <w:szCs w:val="16"/>
        </w:rPr>
        <w:t xml:space="preserve">This measure was introduced in 2019–20. As </w:t>
      </w:r>
      <w:proofErr w:type="gramStart"/>
      <w:r w:rsidRPr="00DF3006">
        <w:rPr>
          <w:color w:val="414042" w:themeColor="text1"/>
          <w:sz w:val="16"/>
          <w:szCs w:val="16"/>
        </w:rPr>
        <w:t>at</w:t>
      </w:r>
      <w:proofErr w:type="gramEnd"/>
      <w:r w:rsidRPr="00DF3006">
        <w:rPr>
          <w:color w:val="414042" w:themeColor="text1"/>
          <w:sz w:val="16"/>
          <w:szCs w:val="16"/>
        </w:rPr>
        <w:t xml:space="preserve"> 30 June 2023, three out of 30 referred crime investigations were deemed not to have added value (during quarter 1 and quarter 2). This was due to several factors associated with witnesses refusing to answer questions, being certified for contempt and in one the case QPS advised that the hearing would be no longer required.</w:t>
      </w:r>
    </w:p>
    <w:p w14:paraId="682A1964" w14:textId="65BC3D29" w:rsidR="00F844DE" w:rsidRPr="00DF3006" w:rsidRDefault="00F844DE" w:rsidP="009F258F">
      <w:pPr>
        <w:pStyle w:val="Notes"/>
        <w:numPr>
          <w:ilvl w:val="0"/>
          <w:numId w:val="3"/>
        </w:numPr>
        <w:ind w:left="0" w:right="284" w:hanging="284"/>
        <w:rPr>
          <w:spacing w:val="0"/>
        </w:rPr>
      </w:pPr>
      <w:r w:rsidRPr="00DF3006">
        <w:rPr>
          <w:spacing w:val="0"/>
        </w:rPr>
        <w:t xml:space="preserve">Fewer hearing days occurred in 2022–23 as several investigations required fewer witnesses to attend and therefore fewer hearing days. In addition, several witnesses appeared on the same day across </w:t>
      </w:r>
      <w:proofErr w:type="gramStart"/>
      <w:r w:rsidRPr="00DF3006">
        <w:rPr>
          <w:spacing w:val="0"/>
        </w:rPr>
        <w:t>a number of</w:t>
      </w:r>
      <w:proofErr w:type="gramEnd"/>
      <w:r w:rsidRPr="00DF3006">
        <w:rPr>
          <w:spacing w:val="0"/>
        </w:rPr>
        <w:t xml:space="preserve"> matters which reduced the overall hearing days required to be held.</w:t>
      </w:r>
    </w:p>
    <w:p w14:paraId="52F3AF9A" w14:textId="77777777" w:rsidR="003C6E08" w:rsidRPr="00DF3006" w:rsidRDefault="00F844DE" w:rsidP="009F258F">
      <w:pPr>
        <w:pStyle w:val="Notes"/>
        <w:numPr>
          <w:ilvl w:val="0"/>
          <w:numId w:val="3"/>
        </w:numPr>
        <w:ind w:left="0" w:right="284" w:hanging="284"/>
        <w:rPr>
          <w:spacing w:val="0"/>
        </w:rPr>
      </w:pPr>
      <w:r w:rsidRPr="00DF3006">
        <w:rPr>
          <w:spacing w:val="0"/>
        </w:rPr>
        <w:t>Fewer hearings were conducted in 2022–23 as the nature of investigations undertaken relied upon other investigative methodology such as voluntary and directed interviews and s.75 Notices to Discover.</w:t>
      </w:r>
    </w:p>
    <w:p w14:paraId="447F50F3" w14:textId="77777777" w:rsidR="00A24AC5" w:rsidRPr="00DF3006" w:rsidRDefault="00A24AC5" w:rsidP="00F3065A">
      <w:pPr>
        <w:pStyle w:val="Notes"/>
        <w:rPr>
          <w:spacing w:val="0"/>
          <w:highlight w:val="green"/>
        </w:rPr>
        <w:sectPr w:rsidR="00A24AC5" w:rsidRPr="00DF3006" w:rsidSect="009F258F">
          <w:headerReference w:type="even" r:id="rId120"/>
          <w:headerReference w:type="default" r:id="rId121"/>
          <w:footerReference w:type="default" r:id="rId122"/>
          <w:headerReference w:type="first" r:id="rId123"/>
          <w:type w:val="continuous"/>
          <w:pgSz w:w="11906" w:h="16838" w:code="9"/>
          <w:pgMar w:top="709" w:right="707" w:bottom="964" w:left="1134" w:header="720" w:footer="284" w:gutter="0"/>
          <w:cols w:space="567"/>
          <w:noEndnote/>
          <w:docGrid w:linePitch="272"/>
        </w:sectPr>
      </w:pPr>
    </w:p>
    <w:p w14:paraId="500A1F2E" w14:textId="77777777" w:rsidR="00A24AC5" w:rsidRPr="00DF3006" w:rsidRDefault="00A24AC5" w:rsidP="00A24AC5">
      <w:pPr>
        <w:pStyle w:val="Heading2"/>
      </w:pPr>
      <w:bookmarkStart w:id="817" w:name="financialsummary"/>
      <w:bookmarkStart w:id="818" w:name="_Key_achievements"/>
      <w:bookmarkStart w:id="819" w:name="_Toc102037867"/>
      <w:bookmarkStart w:id="820" w:name="_Toc102038229"/>
      <w:bookmarkStart w:id="821" w:name="_Toc102038590"/>
      <w:bookmarkStart w:id="822" w:name="_Toc102038950"/>
      <w:bookmarkStart w:id="823" w:name="_Toc102039302"/>
      <w:bookmarkStart w:id="824" w:name="_Toc102039657"/>
      <w:bookmarkStart w:id="825" w:name="_Toc102040014"/>
      <w:bookmarkStart w:id="826" w:name="_Toc102040339"/>
      <w:bookmarkStart w:id="827" w:name="_Toc102040673"/>
      <w:bookmarkStart w:id="828" w:name="_Toc102041001"/>
      <w:bookmarkStart w:id="829" w:name="_Toc102041331"/>
      <w:bookmarkStart w:id="830" w:name="_Toc102041663"/>
      <w:bookmarkStart w:id="831" w:name="_Toc102041990"/>
      <w:bookmarkStart w:id="832" w:name="_Toc102042319"/>
      <w:bookmarkStart w:id="833" w:name="_Toc102045449"/>
      <w:bookmarkStart w:id="834" w:name="ataglance"/>
      <w:bookmarkStart w:id="835" w:name="_Hlk74555048"/>
      <w:bookmarkStart w:id="836" w:name="_Toc102037891"/>
      <w:bookmarkStart w:id="837" w:name="_Toc102038252"/>
      <w:bookmarkStart w:id="838" w:name="_Toc102038613"/>
      <w:bookmarkStart w:id="839" w:name="_Toc102038965"/>
      <w:bookmarkStart w:id="840" w:name="_Toc102039317"/>
      <w:bookmarkStart w:id="841" w:name="_Toc102039679"/>
      <w:bookmarkStart w:id="842" w:name="_Toc102040036"/>
      <w:bookmarkStart w:id="843" w:name="_Toc102040364"/>
      <w:bookmarkStart w:id="844" w:name="_Toc102040698"/>
      <w:bookmarkStart w:id="845" w:name="_Toc102041026"/>
      <w:bookmarkStart w:id="846" w:name="_Toc102041355"/>
      <w:bookmarkStart w:id="847" w:name="_Toc102041687"/>
      <w:bookmarkStart w:id="848" w:name="_Toc102042014"/>
      <w:bookmarkStart w:id="849" w:name="_Toc102042344"/>
      <w:bookmarkStart w:id="850" w:name="_Toc102045474"/>
      <w:bookmarkStart w:id="851" w:name="_Hlk74302770"/>
      <w:bookmarkEnd w:id="817"/>
      <w:bookmarkEnd w:id="818"/>
      <w:r w:rsidRPr="00DF3006">
        <w:lastRenderedPageBreak/>
        <w:t>Key achievements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2F5B1854" w14:textId="2B7DF82F" w:rsidR="00A24AC5" w:rsidRPr="00DF3006" w:rsidRDefault="00A24AC5" w:rsidP="00E6066A">
      <w:pPr>
        <w:pStyle w:val="Heading3"/>
        <w:sectPr w:rsidR="00A24AC5" w:rsidRPr="00DF3006" w:rsidSect="00C77834">
          <w:headerReference w:type="even" r:id="rId124"/>
          <w:headerReference w:type="default" r:id="rId125"/>
          <w:headerReference w:type="first" r:id="rId126"/>
          <w:pgSz w:w="11906" w:h="16838" w:code="9"/>
          <w:pgMar w:top="2155" w:right="1134" w:bottom="964" w:left="1134" w:header="720" w:footer="284" w:gutter="0"/>
          <w:cols w:space="567"/>
          <w:noEndnote/>
          <w:docGrid w:linePitch="272"/>
        </w:sectPr>
      </w:pPr>
      <w:bookmarkStart w:id="852" w:name="_Toc102037868"/>
      <w:bookmarkStart w:id="853" w:name="_Toc102038230"/>
      <w:bookmarkStart w:id="854" w:name="_Toc102038591"/>
      <w:bookmarkStart w:id="855" w:name="_Toc102038951"/>
      <w:bookmarkStart w:id="856" w:name="_Toc102039303"/>
      <w:bookmarkStart w:id="857" w:name="_Toc102039658"/>
      <w:bookmarkStart w:id="858" w:name="_Toc102040015"/>
      <w:bookmarkStart w:id="859" w:name="_Toc102040340"/>
      <w:bookmarkStart w:id="860" w:name="_Toc102040674"/>
      <w:bookmarkStart w:id="861" w:name="_Toc102041002"/>
      <w:bookmarkStart w:id="862" w:name="_Toc102041332"/>
      <w:bookmarkStart w:id="863" w:name="_Toc102041664"/>
      <w:bookmarkStart w:id="864" w:name="_Toc102041991"/>
      <w:bookmarkStart w:id="865" w:name="_Toc102042320"/>
      <w:bookmarkStart w:id="866" w:name="_Toc102045450"/>
      <w:bookmarkStart w:id="867" w:name="_Hlk75431354"/>
      <w:bookmarkEnd w:id="834"/>
      <w:r w:rsidRPr="00DF3006">
        <w:t>OBJECTIVE: Reduce the incidence of major crime and corruption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DF3006">
        <w:t xml:space="preserve"> in Queenslan</w:t>
      </w:r>
      <w:bookmarkEnd w:id="866"/>
      <w:r w:rsidR="00B0231A" w:rsidRPr="00DF3006">
        <w:t>d</w:t>
      </w:r>
    </w:p>
    <w:p w14:paraId="113E9C58" w14:textId="105837DE" w:rsidR="00A24AC5" w:rsidRPr="00DF3006" w:rsidRDefault="00A24AC5" w:rsidP="00463FBB">
      <w:pPr>
        <w:pStyle w:val="Objectivesubs"/>
        <w:sectPr w:rsidR="00A24AC5" w:rsidRPr="00DF3006" w:rsidSect="00533BB5">
          <w:type w:val="continuous"/>
          <w:pgSz w:w="11906" w:h="16838" w:code="9"/>
          <w:pgMar w:top="2155" w:right="1134" w:bottom="964" w:left="1134" w:header="720" w:footer="284" w:gutter="0"/>
          <w:cols w:space="567"/>
          <w:noEndnote/>
          <w:docGrid w:linePitch="272"/>
        </w:sectPr>
      </w:pPr>
      <w:bookmarkStart w:id="868" w:name="_Toc102037869"/>
      <w:bookmarkStart w:id="869" w:name="_Toc102038231"/>
      <w:bookmarkStart w:id="870" w:name="_Toc102038592"/>
      <w:bookmarkStart w:id="871" w:name="_Toc102038952"/>
      <w:bookmarkStart w:id="872" w:name="_Toc102039304"/>
      <w:bookmarkStart w:id="873" w:name="_Toc102039659"/>
      <w:bookmarkStart w:id="874" w:name="_Toc102040016"/>
      <w:bookmarkStart w:id="875" w:name="_Toc102040341"/>
      <w:bookmarkStart w:id="876" w:name="_Toc102040675"/>
      <w:bookmarkStart w:id="877" w:name="_Toc102041003"/>
      <w:bookmarkStart w:id="878" w:name="_Toc102041333"/>
      <w:bookmarkStart w:id="879" w:name="_Toc102041665"/>
      <w:bookmarkStart w:id="880" w:name="_Toc102041992"/>
      <w:bookmarkStart w:id="881" w:name="_Toc102042321"/>
      <w:bookmarkStart w:id="882" w:name="_Toc102045451"/>
      <w:r w:rsidRPr="00DF3006">
        <w:t>Improved investigative outcomes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D4C6A43" w14:textId="77777777" w:rsidR="00B0231A" w:rsidRPr="00DF3006" w:rsidRDefault="00B0231A" w:rsidP="00B0231A">
      <w:pPr>
        <w:pStyle w:val="Bullets4"/>
        <w:ind w:left="227" w:hanging="227"/>
        <w:rPr>
          <w:color w:val="414042" w:themeColor="text1"/>
        </w:rPr>
      </w:pPr>
      <w:bookmarkStart w:id="883" w:name="_Hlk137539838"/>
      <w:r w:rsidRPr="00DF3006">
        <w:rPr>
          <w:color w:val="414042" w:themeColor="text1"/>
        </w:rPr>
        <w:t>Held nine days of corruption hearings, examining 14 witnesses.</w:t>
      </w:r>
    </w:p>
    <w:p w14:paraId="2A00A8FF" w14:textId="3442B66A" w:rsidR="00A24AC5" w:rsidRPr="00DF3006" w:rsidRDefault="00A24AC5" w:rsidP="00A24AC5">
      <w:pPr>
        <w:pStyle w:val="Bullets4"/>
        <w:ind w:left="227" w:hanging="227"/>
        <w:rPr>
          <w:color w:val="414042" w:themeColor="text1"/>
        </w:rPr>
      </w:pPr>
      <w:r w:rsidRPr="00DF3006">
        <w:rPr>
          <w:color w:val="414042" w:themeColor="text1"/>
        </w:rPr>
        <w:t>Finalised 39 corruption investigations</w:t>
      </w:r>
      <w:r w:rsidR="00FA6C32" w:rsidRPr="00DF3006">
        <w:rPr>
          <w:color w:val="414042" w:themeColor="text1"/>
        </w:rPr>
        <w:t>.</w:t>
      </w:r>
      <w:r w:rsidRPr="00DF3006">
        <w:rPr>
          <w:color w:val="414042" w:themeColor="text1"/>
        </w:rPr>
        <w:t xml:space="preserve"> </w:t>
      </w:r>
    </w:p>
    <w:p w14:paraId="76600DFC" w14:textId="12EA48D6" w:rsidR="00A24AC5" w:rsidRPr="00DF3006" w:rsidRDefault="00FA6C32" w:rsidP="00A24AC5">
      <w:pPr>
        <w:pStyle w:val="Bullets4"/>
        <w:ind w:left="227" w:hanging="227"/>
        <w:rPr>
          <w:color w:val="414042" w:themeColor="text1"/>
        </w:rPr>
      </w:pPr>
      <w:r w:rsidRPr="00DF3006">
        <w:rPr>
          <w:color w:val="414042" w:themeColor="text1"/>
        </w:rPr>
        <w:t>Finalised e</w:t>
      </w:r>
      <w:r w:rsidR="00A24AC5" w:rsidRPr="00DF3006">
        <w:rPr>
          <w:color w:val="414042" w:themeColor="text1"/>
        </w:rPr>
        <w:t xml:space="preserve">leven corruption matters in court, of which seven </w:t>
      </w:r>
      <w:r w:rsidRPr="00DF3006">
        <w:rPr>
          <w:color w:val="414042" w:themeColor="text1"/>
        </w:rPr>
        <w:t xml:space="preserve">resulted in </w:t>
      </w:r>
      <w:r w:rsidR="00A24AC5" w:rsidRPr="00DF3006">
        <w:rPr>
          <w:color w:val="414042" w:themeColor="text1"/>
        </w:rPr>
        <w:t xml:space="preserve">successful </w:t>
      </w:r>
      <w:r w:rsidRPr="00DF3006">
        <w:rPr>
          <w:color w:val="414042" w:themeColor="text1"/>
        </w:rPr>
        <w:t xml:space="preserve">outcomes including custodial sentences and fines (representing </w:t>
      </w:r>
      <w:r w:rsidR="00A24AC5" w:rsidRPr="00DF3006">
        <w:rPr>
          <w:color w:val="414042" w:themeColor="text1"/>
        </w:rPr>
        <w:t>a 64</w:t>
      </w:r>
      <w:r w:rsidRPr="00DF3006">
        <w:rPr>
          <w:color w:val="414042" w:themeColor="text1"/>
        </w:rPr>
        <w:t> </w:t>
      </w:r>
      <w:r w:rsidR="00A24AC5" w:rsidRPr="00DF3006">
        <w:rPr>
          <w:color w:val="414042" w:themeColor="text1"/>
        </w:rPr>
        <w:t>per</w:t>
      </w:r>
      <w:r w:rsidRPr="00DF3006">
        <w:rPr>
          <w:color w:val="414042" w:themeColor="text1"/>
        </w:rPr>
        <w:t> </w:t>
      </w:r>
      <w:r w:rsidR="00A24AC5" w:rsidRPr="00DF3006">
        <w:rPr>
          <w:color w:val="414042" w:themeColor="text1"/>
        </w:rPr>
        <w:t xml:space="preserve">cent success rate, which is consistent with </w:t>
      </w:r>
      <w:r w:rsidR="00C54E1D" w:rsidRPr="00DF3006">
        <w:rPr>
          <w:color w:val="414042" w:themeColor="text1"/>
        </w:rPr>
        <w:t>other</w:t>
      </w:r>
      <w:r w:rsidR="00A24AC5" w:rsidRPr="00DF3006">
        <w:rPr>
          <w:color w:val="414042" w:themeColor="text1"/>
        </w:rPr>
        <w:t xml:space="preserve"> outcomes achieved by the ODPP across the criminal justice sector</w:t>
      </w:r>
      <w:r w:rsidRPr="00DF3006">
        <w:rPr>
          <w:color w:val="414042" w:themeColor="text1"/>
        </w:rPr>
        <w:t>)</w:t>
      </w:r>
      <w:r w:rsidR="00A24AC5" w:rsidRPr="00DF3006">
        <w:rPr>
          <w:color w:val="414042" w:themeColor="text1"/>
        </w:rPr>
        <w:t>.</w:t>
      </w:r>
      <w:r w:rsidR="000C6A20" w:rsidRPr="00DF3006">
        <w:rPr>
          <w:rStyle w:val="FootnoteReference"/>
          <w:color w:val="414042" w:themeColor="text1"/>
        </w:rPr>
        <w:footnoteReference w:id="3"/>
      </w:r>
      <w:r w:rsidR="000C6A20" w:rsidRPr="00DF3006">
        <w:rPr>
          <w:color w:val="414042" w:themeColor="text1"/>
        </w:rPr>
        <w:t xml:space="preserve"> </w:t>
      </w:r>
    </w:p>
    <w:p w14:paraId="2A6C75EB" w14:textId="367CA7D8" w:rsidR="007D6FFE" w:rsidRPr="00DF3006" w:rsidRDefault="007D6FFE" w:rsidP="007D6FFE">
      <w:pPr>
        <w:pStyle w:val="Bullets4"/>
        <w:ind w:left="227" w:hanging="227"/>
        <w:rPr>
          <w:color w:val="414042" w:themeColor="text1"/>
        </w:rPr>
      </w:pPr>
      <w:r w:rsidRPr="00DF3006">
        <w:rPr>
          <w:color w:val="414042" w:themeColor="text1"/>
        </w:rPr>
        <w:t>Held 117 days of crime and intelligence hearings, examining 103 witnesses, in relation to 13 homicide investigations, seven child death, serious injury or child exploitation related investigations, eight investigations into organised crime offending, and to support three intelligence operations.</w:t>
      </w:r>
    </w:p>
    <w:p w14:paraId="44095D86" w14:textId="0B718756" w:rsidR="007D6FFE" w:rsidRPr="00DF3006" w:rsidRDefault="007D6FFE" w:rsidP="007D6FFE">
      <w:pPr>
        <w:pStyle w:val="Bullets4"/>
        <w:ind w:left="227" w:hanging="227"/>
        <w:rPr>
          <w:color w:val="414042" w:themeColor="text1"/>
        </w:rPr>
      </w:pPr>
      <w:r w:rsidRPr="00DF3006">
        <w:rPr>
          <w:color w:val="414042" w:themeColor="text1"/>
        </w:rPr>
        <w:t>Worked with the QPS to advance an investigation into organised criminal activity.</w:t>
      </w:r>
    </w:p>
    <w:p w14:paraId="0FDDEE20" w14:textId="2DB34932" w:rsidR="00A24AC5" w:rsidRPr="00DF3006" w:rsidRDefault="00FA6C32" w:rsidP="00A24AC5">
      <w:pPr>
        <w:pStyle w:val="Bullets4"/>
        <w:ind w:left="227" w:hanging="227"/>
        <w:rPr>
          <w:color w:val="414042" w:themeColor="text1"/>
        </w:rPr>
      </w:pPr>
      <w:r w:rsidRPr="00DF3006">
        <w:rPr>
          <w:color w:val="414042" w:themeColor="text1"/>
        </w:rPr>
        <w:t>F</w:t>
      </w:r>
      <w:r w:rsidR="00A24AC5" w:rsidRPr="00DF3006">
        <w:rPr>
          <w:color w:val="414042" w:themeColor="text1"/>
        </w:rPr>
        <w:t xml:space="preserve">inalised two organised crime investigations into money laundering, </w:t>
      </w:r>
      <w:proofErr w:type="gramStart"/>
      <w:r w:rsidR="00A24AC5" w:rsidRPr="00DF3006">
        <w:rPr>
          <w:color w:val="414042" w:themeColor="text1"/>
        </w:rPr>
        <w:t>fraud</w:t>
      </w:r>
      <w:proofErr w:type="gramEnd"/>
      <w:r w:rsidR="00A24AC5" w:rsidRPr="00DF3006">
        <w:rPr>
          <w:color w:val="414042" w:themeColor="text1"/>
        </w:rPr>
        <w:t xml:space="preserve"> and drug trafficking in South-East Queensland (see page </w:t>
      </w:r>
      <w:r w:rsidR="00D21B99" w:rsidRPr="00DF3006">
        <w:rPr>
          <w:color w:val="414042" w:themeColor="text1"/>
        </w:rPr>
        <w:t>31</w:t>
      </w:r>
      <w:r w:rsidR="00A24AC5" w:rsidRPr="00DF3006">
        <w:rPr>
          <w:color w:val="414042" w:themeColor="text1"/>
        </w:rPr>
        <w:t>)</w:t>
      </w:r>
      <w:r w:rsidRPr="00DF3006">
        <w:rPr>
          <w:color w:val="414042" w:themeColor="text1"/>
        </w:rPr>
        <w:t>.</w:t>
      </w:r>
    </w:p>
    <w:p w14:paraId="5004E956" w14:textId="3DDF7831" w:rsidR="00A24AC5" w:rsidRPr="00DF3006" w:rsidRDefault="00A24AC5" w:rsidP="00A24AC5">
      <w:pPr>
        <w:pStyle w:val="Bullets4"/>
        <w:ind w:left="227" w:hanging="227"/>
        <w:rPr>
          <w:color w:val="414042" w:themeColor="text1"/>
        </w:rPr>
      </w:pPr>
      <w:bookmarkStart w:id="884" w:name="_Toc102037870"/>
      <w:bookmarkStart w:id="885" w:name="_Toc102038232"/>
      <w:bookmarkStart w:id="886" w:name="_Toc102038593"/>
      <w:bookmarkStart w:id="887" w:name="_Toc102038953"/>
      <w:bookmarkStart w:id="888" w:name="_Toc102039305"/>
      <w:bookmarkStart w:id="889" w:name="_Toc102039660"/>
      <w:bookmarkStart w:id="890" w:name="_Toc102040017"/>
      <w:bookmarkStart w:id="891" w:name="_Toc102040342"/>
      <w:bookmarkStart w:id="892" w:name="_Toc102040676"/>
      <w:bookmarkStart w:id="893" w:name="_Toc102041004"/>
      <w:bookmarkStart w:id="894" w:name="_Toc102041334"/>
      <w:bookmarkStart w:id="895" w:name="_Toc102041666"/>
      <w:bookmarkStart w:id="896" w:name="_Toc102041993"/>
      <w:bookmarkStart w:id="897" w:name="_Toc102042322"/>
      <w:bookmarkStart w:id="898" w:name="_Toc102045452"/>
      <w:bookmarkEnd w:id="883"/>
      <w:r w:rsidRPr="00DF3006">
        <w:rPr>
          <w:color w:val="414042" w:themeColor="text1"/>
        </w:rPr>
        <w:t xml:space="preserve">Concluded three </w:t>
      </w:r>
      <w:r w:rsidR="007D6FFE" w:rsidRPr="00DF3006">
        <w:rPr>
          <w:color w:val="414042" w:themeColor="text1"/>
        </w:rPr>
        <w:t>i</w:t>
      </w:r>
      <w:r w:rsidRPr="00DF3006">
        <w:rPr>
          <w:color w:val="414042" w:themeColor="text1"/>
        </w:rPr>
        <w:t xml:space="preserve">ntelligence </w:t>
      </w:r>
      <w:r w:rsidR="007D6FFE" w:rsidRPr="00DF3006">
        <w:rPr>
          <w:color w:val="414042" w:themeColor="text1"/>
        </w:rPr>
        <w:t>o</w:t>
      </w:r>
      <w:r w:rsidRPr="00DF3006">
        <w:rPr>
          <w:color w:val="414042" w:themeColor="text1"/>
        </w:rPr>
        <w:t>perations focused on disrupting the systems and expertise that enable criminal networks to thrive</w:t>
      </w:r>
      <w:r w:rsidR="00FE7E80" w:rsidRPr="00DF3006">
        <w:rPr>
          <w:color w:val="414042" w:themeColor="text1"/>
        </w:rPr>
        <w:t xml:space="preserve"> (see page 32</w:t>
      </w:r>
      <w:r w:rsidRPr="00DF3006">
        <w:rPr>
          <w:color w:val="414042" w:themeColor="text1"/>
        </w:rPr>
        <w:t>. These include:</w:t>
      </w:r>
    </w:p>
    <w:p w14:paraId="2B9D83F8" w14:textId="23C8DF0F" w:rsidR="007D6FFE" w:rsidRPr="00DF3006" w:rsidRDefault="007D6FFE">
      <w:pPr>
        <w:pStyle w:val="Bullets2c"/>
        <w:spacing w:after="0"/>
        <w:rPr>
          <w:color w:val="414042" w:themeColor="text1"/>
        </w:rPr>
      </w:pPr>
      <w:r w:rsidRPr="00DF3006">
        <w:rPr>
          <w:color w:val="414042" w:themeColor="text1"/>
        </w:rPr>
        <w:t>an investigation into the facilitation of offences including money laundering and drug trafficking by persons associated with an outlaw motorcycle gang</w:t>
      </w:r>
      <w:r w:rsidR="00EA2C0F" w:rsidRPr="00DF3006">
        <w:rPr>
          <w:color w:val="414042" w:themeColor="text1"/>
        </w:rPr>
        <w:t xml:space="preserve"> (OMCG)</w:t>
      </w:r>
    </w:p>
    <w:p w14:paraId="11E43F75" w14:textId="76ADF2DC" w:rsidR="00A24AC5" w:rsidRPr="00DF3006" w:rsidRDefault="00A24AC5" w:rsidP="007D6FFE">
      <w:pPr>
        <w:pStyle w:val="Bullets2c"/>
        <w:spacing w:after="0"/>
        <w:rPr>
          <w:color w:val="414042" w:themeColor="text1"/>
        </w:rPr>
      </w:pPr>
      <w:r w:rsidRPr="00DF3006">
        <w:rPr>
          <w:color w:val="414042" w:themeColor="text1"/>
        </w:rPr>
        <w:t>an investigation into encrypted telecommunications distributors alleged to have facilitated drug trafficking and money laundering activities, and</w:t>
      </w:r>
    </w:p>
    <w:p w14:paraId="7C632545" w14:textId="3B73234F" w:rsidR="00A24AC5" w:rsidRPr="00DF3006" w:rsidRDefault="00A24AC5">
      <w:pPr>
        <w:pStyle w:val="Bullets2c"/>
        <w:rPr>
          <w:color w:val="414042" w:themeColor="text1"/>
        </w:rPr>
      </w:pPr>
      <w:r w:rsidRPr="00DF3006">
        <w:rPr>
          <w:color w:val="414042" w:themeColor="text1"/>
        </w:rPr>
        <w:t>an intelligence operation aimed to test and validate the business model of trade-based promotions as a potential money laundering risk</w:t>
      </w:r>
      <w:r w:rsidR="00FA6C32" w:rsidRPr="00DF3006">
        <w:rPr>
          <w:color w:val="414042" w:themeColor="text1"/>
        </w:rPr>
        <w:t>.</w:t>
      </w:r>
    </w:p>
    <w:p w14:paraId="60E6EDE9" w14:textId="7C48B8D8" w:rsidR="00A24AC5" w:rsidRPr="00DF3006" w:rsidRDefault="00A24AC5" w:rsidP="00A24AC5">
      <w:pPr>
        <w:pStyle w:val="Bullets4"/>
        <w:ind w:left="227" w:hanging="227"/>
        <w:rPr>
          <w:color w:val="414042" w:themeColor="text1"/>
        </w:rPr>
        <w:sectPr w:rsidR="00A24AC5" w:rsidRPr="00DF3006" w:rsidSect="00C77834">
          <w:type w:val="continuous"/>
          <w:pgSz w:w="11906" w:h="16838" w:code="9"/>
          <w:pgMar w:top="2155" w:right="1134" w:bottom="964" w:left="1134" w:header="720" w:footer="284" w:gutter="0"/>
          <w:cols w:num="2" w:space="567"/>
          <w:noEndnote/>
          <w:docGrid w:linePitch="272"/>
          <w15:footnoteColumns w:val="1"/>
        </w:sectPr>
      </w:pPr>
      <w:r w:rsidRPr="00DF3006">
        <w:rPr>
          <w:color w:val="414042" w:themeColor="text1"/>
        </w:rPr>
        <w:t>Restrained $5.223 million and secured court orders forfeiting $4.296 million in proceeds of crime</w:t>
      </w:r>
      <w:r w:rsidRPr="00DF3006">
        <w:rPr>
          <w:color w:val="414042" w:themeColor="text1"/>
        </w:rPr>
        <w:br/>
        <w:t xml:space="preserve">(see page </w:t>
      </w:r>
      <w:r w:rsidR="007D6FFE" w:rsidRPr="00DF3006">
        <w:rPr>
          <w:color w:val="414042" w:themeColor="text1"/>
        </w:rPr>
        <w:t>33</w:t>
      </w:r>
      <w:r w:rsidRPr="00DF3006">
        <w:rPr>
          <w:color w:val="414042" w:themeColor="text1"/>
        </w:rPr>
        <w:t>)</w:t>
      </w:r>
      <w:r w:rsidR="00FA6C32" w:rsidRPr="00DF3006">
        <w:rPr>
          <w:color w:val="414042" w:themeColor="text1"/>
        </w:rPr>
        <w:t>.</w:t>
      </w:r>
      <w:r w:rsidR="00DE4C8D" w:rsidRPr="00DF3006">
        <w:rPr>
          <w:color w:val="414042" w:themeColor="text1"/>
        </w:rPr>
        <w:br/>
      </w:r>
      <w:r w:rsidR="00DE4C8D" w:rsidRPr="00DF3006">
        <w:rPr>
          <w:color w:val="414042" w:themeColor="text1"/>
        </w:rPr>
        <w:br/>
      </w:r>
      <w:r w:rsidR="00DE4C8D" w:rsidRPr="00DF3006">
        <w:rPr>
          <w:color w:val="414042" w:themeColor="text1"/>
        </w:rPr>
        <w:br/>
      </w:r>
      <w:r w:rsidR="00DE4C8D" w:rsidRPr="00DF3006">
        <w:rPr>
          <w:color w:val="414042" w:themeColor="text1"/>
        </w:rPr>
        <w:br/>
      </w:r>
    </w:p>
    <w:p w14:paraId="7CEB2C64" w14:textId="77777777" w:rsidR="00A24AC5" w:rsidRPr="00DF3006" w:rsidRDefault="00A24AC5" w:rsidP="00463FBB">
      <w:pPr>
        <w:pStyle w:val="Objectivesubs"/>
        <w:sectPr w:rsidR="00A24AC5" w:rsidRPr="00DF3006" w:rsidSect="00C77834">
          <w:type w:val="continuous"/>
          <w:pgSz w:w="11906" w:h="16838" w:code="9"/>
          <w:pgMar w:top="2155" w:right="1134" w:bottom="964" w:left="1134" w:header="720" w:footer="284" w:gutter="0"/>
          <w:cols w:space="567"/>
          <w:noEndnote/>
          <w:docGrid w:linePitch="272"/>
        </w:sectPr>
      </w:pPr>
      <w:r w:rsidRPr="00DF3006">
        <w:t>Improved confidence in the work of the CCC</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5B4A825C" w14:textId="77777777" w:rsidR="00B0231A" w:rsidRPr="00DF3006" w:rsidRDefault="00B0231A" w:rsidP="00B0231A">
      <w:pPr>
        <w:pStyle w:val="Bullets4"/>
        <w:ind w:left="227" w:hanging="227"/>
        <w:rPr>
          <w:color w:val="414042" w:themeColor="text1"/>
        </w:rPr>
      </w:pPr>
      <w:r w:rsidRPr="00DF3006">
        <w:rPr>
          <w:color w:val="414042" w:themeColor="text1"/>
        </w:rPr>
        <w:t>Provided strategic intelligence assessments and insights to improve our operational effectiveness and responses and to identify crime prevention opportunities (see page 32).</w:t>
      </w:r>
    </w:p>
    <w:p w14:paraId="6AD01411" w14:textId="77777777" w:rsidR="00B0231A" w:rsidRPr="00DF3006" w:rsidRDefault="00B0231A" w:rsidP="00B0231A">
      <w:pPr>
        <w:pStyle w:val="Bullets4"/>
        <w:ind w:left="227" w:hanging="227"/>
        <w:rPr>
          <w:color w:val="414042" w:themeColor="text1"/>
        </w:rPr>
      </w:pPr>
      <w:r w:rsidRPr="00DF3006">
        <w:rPr>
          <w:color w:val="414042" w:themeColor="text1"/>
        </w:rPr>
        <w:t>Responded to emerging and strategic crime-related risks by:</w:t>
      </w:r>
    </w:p>
    <w:p w14:paraId="4B9EB9AD" w14:textId="77777777" w:rsidR="00B0231A" w:rsidRPr="00DF3006" w:rsidRDefault="00B0231A" w:rsidP="00B0231A">
      <w:pPr>
        <w:pStyle w:val="Bullets2c"/>
        <w:rPr>
          <w:color w:val="414042" w:themeColor="text1"/>
        </w:rPr>
      </w:pPr>
      <w:r w:rsidRPr="00DF3006">
        <w:rPr>
          <w:color w:val="414042" w:themeColor="text1"/>
        </w:rPr>
        <w:t>enhancing our capabilities for investigating cryptocurrency-enabled crime (see page 35)</w:t>
      </w:r>
    </w:p>
    <w:p w14:paraId="2345F219" w14:textId="77777777" w:rsidR="00B0231A" w:rsidRPr="00DF3006" w:rsidRDefault="00B0231A" w:rsidP="00B0231A">
      <w:pPr>
        <w:pStyle w:val="Bullets2c"/>
        <w:rPr>
          <w:color w:val="414042" w:themeColor="text1"/>
        </w:rPr>
      </w:pPr>
      <w:r w:rsidRPr="00DF3006">
        <w:rPr>
          <w:color w:val="414042" w:themeColor="text1"/>
        </w:rPr>
        <w:t xml:space="preserve">reviewing the </w:t>
      </w:r>
      <w:r w:rsidRPr="00DF3006">
        <w:rPr>
          <w:i/>
          <w:iCs/>
          <w:color w:val="414042" w:themeColor="text1"/>
        </w:rPr>
        <w:t>Child Protection (Offender Reporting and Offender Prohibition Order) Act 2004</w:t>
      </w:r>
      <w:r w:rsidRPr="00DF3006">
        <w:rPr>
          <w:color w:val="414042" w:themeColor="text1"/>
        </w:rPr>
        <w:t xml:space="preserve"> (Qld) (see page 39), and</w:t>
      </w:r>
    </w:p>
    <w:p w14:paraId="4D65712A" w14:textId="77777777" w:rsidR="00B0231A" w:rsidRPr="00DF3006" w:rsidRDefault="00B0231A" w:rsidP="00B0231A">
      <w:pPr>
        <w:pStyle w:val="Bullets2c"/>
        <w:rPr>
          <w:color w:val="414042" w:themeColor="text1"/>
        </w:rPr>
      </w:pPr>
      <w:r w:rsidRPr="00DF3006">
        <w:rPr>
          <w:color w:val="414042" w:themeColor="text1"/>
        </w:rPr>
        <w:t xml:space="preserve">engaging with the Attorney-General to improve the strength of Queensland’s proceeds of crime </w:t>
      </w:r>
      <w:proofErr w:type="gramStart"/>
      <w:r w:rsidRPr="00DF3006">
        <w:rPr>
          <w:color w:val="414042" w:themeColor="text1"/>
        </w:rPr>
        <w:t>schemes, and</w:t>
      </w:r>
      <w:proofErr w:type="gramEnd"/>
      <w:r w:rsidRPr="00DF3006">
        <w:rPr>
          <w:color w:val="414042" w:themeColor="text1"/>
        </w:rPr>
        <w:t xml:space="preserve"> advocating targeted policy and legislative reforms (see page 35).</w:t>
      </w:r>
    </w:p>
    <w:p w14:paraId="65130438" w14:textId="2973100C" w:rsidR="00A24AC5" w:rsidRPr="00DF3006" w:rsidRDefault="00A24AC5" w:rsidP="00A24AC5">
      <w:pPr>
        <w:pStyle w:val="Bullets4"/>
        <w:ind w:left="227" w:hanging="227"/>
        <w:rPr>
          <w:color w:val="414042" w:themeColor="text1"/>
        </w:rPr>
      </w:pPr>
      <w:r w:rsidRPr="00DF3006">
        <w:rPr>
          <w:color w:val="414042" w:themeColor="text1"/>
        </w:rPr>
        <w:t xml:space="preserve">Published a corruption prevention report summarising insights from its examination of influencing practices in Queensland’s public sector (see page </w:t>
      </w:r>
      <w:r w:rsidR="00FE7E80" w:rsidRPr="00DF3006">
        <w:rPr>
          <w:color w:val="414042" w:themeColor="text1"/>
        </w:rPr>
        <w:t>42</w:t>
      </w:r>
      <w:r w:rsidRPr="00DF3006">
        <w:rPr>
          <w:color w:val="414042" w:themeColor="text1"/>
        </w:rPr>
        <w:t>)</w:t>
      </w:r>
      <w:r w:rsidR="00FA6C32" w:rsidRPr="00DF3006">
        <w:rPr>
          <w:color w:val="414042" w:themeColor="text1"/>
        </w:rPr>
        <w:t>.</w:t>
      </w:r>
    </w:p>
    <w:p w14:paraId="7B997E77" w14:textId="3C7BE11F" w:rsidR="00A24AC5" w:rsidRPr="00DF3006" w:rsidRDefault="00A24AC5" w:rsidP="00A24AC5">
      <w:pPr>
        <w:pStyle w:val="Bullets4"/>
        <w:ind w:left="227" w:hanging="227"/>
        <w:rPr>
          <w:color w:val="414042" w:themeColor="text1"/>
        </w:rPr>
      </w:pPr>
      <w:r w:rsidRPr="00DF3006">
        <w:rPr>
          <w:color w:val="414042" w:themeColor="text1"/>
        </w:rPr>
        <w:t xml:space="preserve">Worked with a partner agency to develop and deliver specifically targeted corruption prevention training with defined impact measures (see page </w:t>
      </w:r>
      <w:r w:rsidR="00322245" w:rsidRPr="00DF3006">
        <w:rPr>
          <w:color w:val="414042" w:themeColor="text1"/>
        </w:rPr>
        <w:t>49</w:t>
      </w:r>
      <w:r w:rsidRPr="00DF3006">
        <w:rPr>
          <w:color w:val="414042" w:themeColor="text1"/>
        </w:rPr>
        <w:t>)</w:t>
      </w:r>
      <w:r w:rsidR="00FA6C32" w:rsidRPr="00DF3006">
        <w:rPr>
          <w:color w:val="414042" w:themeColor="text1"/>
        </w:rPr>
        <w:t>.</w:t>
      </w:r>
    </w:p>
    <w:p w14:paraId="1732F770" w14:textId="1D61AD7C" w:rsidR="00B0231A" w:rsidRPr="00DF3006" w:rsidRDefault="00A24AC5" w:rsidP="00B0231A">
      <w:pPr>
        <w:pStyle w:val="Bullets4"/>
        <w:ind w:left="227" w:hanging="227"/>
        <w:rPr>
          <w:color w:val="414042" w:themeColor="text1"/>
        </w:rPr>
      </w:pPr>
      <w:r w:rsidRPr="00DF3006">
        <w:rPr>
          <w:color w:val="414042" w:themeColor="text1"/>
        </w:rPr>
        <w:t xml:space="preserve">Further examined how our Aboriginal and Torres Strait Islander clients experience our complaints </w:t>
      </w:r>
      <w:proofErr w:type="gramStart"/>
      <w:r w:rsidRPr="00DF3006">
        <w:rPr>
          <w:color w:val="414042" w:themeColor="text1"/>
        </w:rPr>
        <w:t>process, and</w:t>
      </w:r>
      <w:proofErr w:type="gramEnd"/>
      <w:r w:rsidRPr="00DF3006">
        <w:rPr>
          <w:color w:val="414042" w:themeColor="text1"/>
        </w:rPr>
        <w:t xml:space="preserve"> will ensure that any improvements we make to the system are progressed in a culturally appropriate manner (see page </w:t>
      </w:r>
      <w:r w:rsidR="009A253B" w:rsidRPr="00DF3006">
        <w:rPr>
          <w:color w:val="414042" w:themeColor="text1"/>
        </w:rPr>
        <w:t>49</w:t>
      </w:r>
      <w:r w:rsidRPr="00DF3006">
        <w:rPr>
          <w:color w:val="414042" w:themeColor="text1"/>
        </w:rPr>
        <w:t>)</w:t>
      </w:r>
      <w:r w:rsidR="00FA6C32" w:rsidRPr="00DF3006">
        <w:rPr>
          <w:color w:val="414042" w:themeColor="text1"/>
        </w:rPr>
        <w:t>.</w:t>
      </w:r>
    </w:p>
    <w:p w14:paraId="316D70C6" w14:textId="77777777" w:rsidR="00B0231A" w:rsidRPr="00DF3006" w:rsidRDefault="00B0231A" w:rsidP="00B0231A">
      <w:pPr>
        <w:pStyle w:val="Bullets4"/>
        <w:ind w:left="227" w:hanging="227"/>
        <w:rPr>
          <w:color w:val="414042" w:themeColor="text1"/>
        </w:rPr>
      </w:pPr>
      <w:r w:rsidRPr="00DF3006">
        <w:rPr>
          <w:color w:val="414042" w:themeColor="text1"/>
        </w:rPr>
        <w:t xml:space="preserve">Developed and published the new </w:t>
      </w:r>
      <w:r w:rsidRPr="00DF3006">
        <w:rPr>
          <w:i/>
          <w:iCs/>
          <w:color w:val="414042" w:themeColor="text1"/>
        </w:rPr>
        <w:t>Corruption Strategy 2023–27</w:t>
      </w:r>
      <w:r w:rsidRPr="00DF3006">
        <w:rPr>
          <w:color w:val="414042" w:themeColor="text1"/>
        </w:rPr>
        <w:t xml:space="preserve"> which defines our vision and ambition for the future and outlines our objectives and strategies to focus our efforts to achieve this (see page 79).</w:t>
      </w:r>
    </w:p>
    <w:p w14:paraId="629AC1CC" w14:textId="5D584F2D" w:rsidR="00A24AC5" w:rsidRPr="00DF3006" w:rsidRDefault="00A24AC5" w:rsidP="007E7B4C">
      <w:pPr>
        <w:pStyle w:val="Bullets4"/>
        <w:ind w:left="227" w:hanging="227"/>
        <w:rPr>
          <w:color w:val="414042" w:themeColor="text1"/>
        </w:rPr>
        <w:sectPr w:rsidR="00A24AC5" w:rsidRPr="00DF3006" w:rsidSect="00C77834">
          <w:type w:val="continuous"/>
          <w:pgSz w:w="11906" w:h="16838" w:code="9"/>
          <w:pgMar w:top="2155" w:right="1134" w:bottom="964" w:left="1134" w:header="720" w:footer="284" w:gutter="0"/>
          <w:cols w:num="2" w:space="567"/>
          <w:noEndnote/>
          <w:docGrid w:linePitch="272"/>
        </w:sectPr>
      </w:pPr>
      <w:r w:rsidRPr="00DF3006">
        <w:rPr>
          <w:color w:val="414042" w:themeColor="text1"/>
        </w:rPr>
        <w:t>Achieved a gold standard for our Annual Report</w:t>
      </w:r>
      <w:r w:rsidRPr="00DF3006">
        <w:rPr>
          <w:color w:val="414042" w:themeColor="text1"/>
        </w:rPr>
        <w:br/>
        <w:t>2021–22 from the Australasian Reporting Awards</w:t>
      </w:r>
      <w:r w:rsidR="008C6674" w:rsidRPr="00DF3006">
        <w:rPr>
          <w:color w:val="414042" w:themeColor="text1"/>
        </w:rPr>
        <w:t xml:space="preserve">. </w:t>
      </w:r>
    </w:p>
    <w:p w14:paraId="1A051F5A" w14:textId="1677E4EA" w:rsidR="00A24AC5" w:rsidRPr="00DF3006" w:rsidRDefault="00A24AC5" w:rsidP="00E6066A">
      <w:pPr>
        <w:pStyle w:val="Heading3"/>
      </w:pPr>
      <w:bookmarkStart w:id="899" w:name="_Toc102037871"/>
      <w:bookmarkStart w:id="900" w:name="_Toc102038233"/>
      <w:bookmarkStart w:id="901" w:name="_Toc102038594"/>
      <w:bookmarkStart w:id="902" w:name="_Toc102038954"/>
      <w:bookmarkStart w:id="903" w:name="_Toc102039306"/>
      <w:bookmarkStart w:id="904" w:name="_Toc102039661"/>
      <w:bookmarkStart w:id="905" w:name="_Toc102040018"/>
      <w:bookmarkStart w:id="906" w:name="_Toc102040343"/>
      <w:bookmarkStart w:id="907" w:name="_Toc102040677"/>
      <w:bookmarkStart w:id="908" w:name="_Toc102041005"/>
      <w:bookmarkStart w:id="909" w:name="_Toc102041335"/>
      <w:bookmarkStart w:id="910" w:name="_Toc102041667"/>
      <w:bookmarkStart w:id="911" w:name="_Toc102041994"/>
      <w:bookmarkStart w:id="912" w:name="_Toc102042323"/>
      <w:bookmarkStart w:id="913" w:name="_Toc102045453"/>
      <w:bookmarkStart w:id="914" w:name="_Hlk74555057"/>
      <w:bookmarkEnd w:id="835"/>
      <w:bookmarkEnd w:id="867"/>
      <w:r w:rsidRPr="00DF3006">
        <w:lastRenderedPageBreak/>
        <w:t>OBJECTIVE: Build our organisational capability</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DF3006">
        <w:t xml:space="preserve"> </w:t>
      </w:r>
    </w:p>
    <w:p w14:paraId="519089B9" w14:textId="77777777" w:rsidR="00A24AC5" w:rsidRPr="00DF3006" w:rsidRDefault="00A24AC5" w:rsidP="00A24AC5">
      <w:pPr>
        <w:spacing w:after="0" w:line="260" w:lineRule="exact"/>
        <w:rPr>
          <w:color w:val="414042" w:themeColor="text1"/>
        </w:rPr>
        <w:sectPr w:rsidR="00A24AC5" w:rsidRPr="00DF3006" w:rsidSect="00C77834">
          <w:headerReference w:type="even" r:id="rId127"/>
          <w:headerReference w:type="default" r:id="rId128"/>
          <w:headerReference w:type="first" r:id="rId129"/>
          <w:type w:val="continuous"/>
          <w:pgSz w:w="11906" w:h="16838" w:code="9"/>
          <w:pgMar w:top="2155" w:right="1134" w:bottom="964" w:left="1134" w:header="720" w:footer="284" w:gutter="0"/>
          <w:cols w:space="567"/>
          <w:noEndnote/>
          <w:docGrid w:linePitch="272"/>
        </w:sectPr>
      </w:pPr>
    </w:p>
    <w:p w14:paraId="310069BB" w14:textId="77777777" w:rsidR="00A24AC5" w:rsidRPr="00DF3006" w:rsidRDefault="00A24AC5" w:rsidP="00463FBB">
      <w:pPr>
        <w:pStyle w:val="Objectivesubs"/>
      </w:pPr>
      <w:bookmarkStart w:id="915" w:name="_Toc102037872"/>
      <w:bookmarkStart w:id="916" w:name="_Toc102038234"/>
      <w:bookmarkStart w:id="917" w:name="_Toc102038595"/>
      <w:bookmarkStart w:id="918" w:name="_Toc102038955"/>
      <w:bookmarkStart w:id="919" w:name="_Toc102039307"/>
      <w:bookmarkStart w:id="920" w:name="_Toc102039662"/>
      <w:bookmarkStart w:id="921" w:name="_Toc102040019"/>
      <w:bookmarkStart w:id="922" w:name="_Toc102040344"/>
      <w:bookmarkStart w:id="923" w:name="_Toc102040678"/>
      <w:bookmarkStart w:id="924" w:name="_Toc102041006"/>
      <w:bookmarkStart w:id="925" w:name="_Toc102041336"/>
      <w:bookmarkStart w:id="926" w:name="_Toc102041668"/>
      <w:bookmarkStart w:id="927" w:name="_Toc102041995"/>
      <w:bookmarkStart w:id="928" w:name="_Toc102042324"/>
      <w:bookmarkStart w:id="929" w:name="_Toc102045454"/>
      <w:r w:rsidRPr="00DF3006">
        <w:t>Improved staff engagement and wellbeing</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7E4F782" w14:textId="77777777" w:rsidR="00A24AC5" w:rsidRPr="00DF3006" w:rsidRDefault="00A24AC5" w:rsidP="00A24AC5">
      <w:pPr>
        <w:rPr>
          <w:color w:val="414042" w:themeColor="text1"/>
        </w:rPr>
        <w:sectPr w:rsidR="00A24AC5" w:rsidRPr="00DF3006" w:rsidSect="00C77834">
          <w:type w:val="continuous"/>
          <w:pgSz w:w="11906" w:h="16838" w:code="9"/>
          <w:pgMar w:top="2155" w:right="1134" w:bottom="964" w:left="1134" w:header="720" w:footer="284" w:gutter="0"/>
          <w:cols w:space="567"/>
          <w:noEndnote/>
          <w:docGrid w:linePitch="272"/>
        </w:sectPr>
      </w:pPr>
    </w:p>
    <w:p w14:paraId="25F8287E" w14:textId="3DE5E7A3" w:rsidR="00A24AC5" w:rsidRPr="00DF3006" w:rsidRDefault="00A24AC5" w:rsidP="00A24AC5">
      <w:pPr>
        <w:pStyle w:val="Bullets4"/>
        <w:ind w:left="227" w:hanging="227"/>
        <w:rPr>
          <w:color w:val="414042" w:themeColor="text1"/>
          <w:spacing w:val="0"/>
        </w:rPr>
      </w:pPr>
      <w:bookmarkStart w:id="930" w:name="_Hlk78359457"/>
      <w:r w:rsidRPr="00DF3006">
        <w:rPr>
          <w:color w:val="414042" w:themeColor="text1"/>
          <w:spacing w:val="0"/>
        </w:rPr>
        <w:t>Connected with our people to understand real time employee experience via our digital platform (see page </w:t>
      </w:r>
      <w:r w:rsidR="009A253B" w:rsidRPr="00DF3006">
        <w:rPr>
          <w:color w:val="414042" w:themeColor="text1"/>
          <w:spacing w:val="0"/>
        </w:rPr>
        <w:t>52</w:t>
      </w:r>
      <w:r w:rsidRPr="00DF3006">
        <w:rPr>
          <w:color w:val="414042" w:themeColor="text1"/>
          <w:spacing w:val="0"/>
        </w:rPr>
        <w:t>)</w:t>
      </w:r>
      <w:r w:rsidR="000E3EE7" w:rsidRPr="00DF3006">
        <w:rPr>
          <w:color w:val="414042" w:themeColor="text1"/>
          <w:spacing w:val="0"/>
        </w:rPr>
        <w:t>.</w:t>
      </w:r>
    </w:p>
    <w:p w14:paraId="27E3FC54" w14:textId="77777777" w:rsidR="00AD72B5" w:rsidRPr="00DF3006" w:rsidRDefault="00AD72B5" w:rsidP="00AD72B5">
      <w:pPr>
        <w:pStyle w:val="Bullets4"/>
        <w:ind w:left="227" w:hanging="227"/>
        <w:rPr>
          <w:color w:val="414042" w:themeColor="text1"/>
          <w:spacing w:val="0"/>
        </w:rPr>
      </w:pPr>
      <w:r w:rsidRPr="00DF3006">
        <w:rPr>
          <w:color w:val="414042" w:themeColor="text1"/>
          <w:spacing w:val="0"/>
        </w:rPr>
        <w:t xml:space="preserve">Supported the professional development of our </w:t>
      </w:r>
      <w:r w:rsidRPr="00DF3006">
        <w:rPr>
          <w:color w:val="414042" w:themeColor="text1"/>
          <w:spacing w:val="0"/>
        </w:rPr>
        <w:br/>
        <w:t>people including through investing $309,682 in</w:t>
      </w:r>
      <w:r w:rsidRPr="00DF3006">
        <w:rPr>
          <w:color w:val="414042" w:themeColor="text1"/>
          <w:spacing w:val="0"/>
        </w:rPr>
        <w:br/>
        <w:t>training and development (see pages 53).</w:t>
      </w:r>
    </w:p>
    <w:p w14:paraId="7053E5F3" w14:textId="77777777" w:rsidR="00AD72B5" w:rsidRPr="00DF3006" w:rsidRDefault="00AD72B5" w:rsidP="00AD72B5">
      <w:pPr>
        <w:pStyle w:val="Bullets4"/>
        <w:ind w:left="227" w:hanging="227"/>
        <w:rPr>
          <w:color w:val="414042" w:themeColor="text1"/>
          <w:spacing w:val="0"/>
        </w:rPr>
      </w:pPr>
      <w:r w:rsidRPr="00DF3006">
        <w:rPr>
          <w:color w:val="414042" w:themeColor="text1"/>
          <w:spacing w:val="0"/>
        </w:rPr>
        <w:t>Supported nine employees to undertake tertiary education (see page 53).</w:t>
      </w:r>
    </w:p>
    <w:p w14:paraId="3C3643C3" w14:textId="77777777" w:rsidR="00A24AC5" w:rsidRPr="00DF3006" w:rsidRDefault="00A24AC5" w:rsidP="00A24AC5">
      <w:pPr>
        <w:pStyle w:val="Bullets4"/>
        <w:ind w:left="227" w:hanging="227"/>
        <w:rPr>
          <w:color w:val="414042" w:themeColor="text1"/>
          <w:spacing w:val="0"/>
        </w:rPr>
      </w:pPr>
      <w:r w:rsidRPr="00DF3006">
        <w:rPr>
          <w:color w:val="414042" w:themeColor="text1"/>
          <w:spacing w:val="0"/>
        </w:rPr>
        <w:t>Built a strong, inclusive culture which celebrates our key values, including by:</w:t>
      </w:r>
    </w:p>
    <w:p w14:paraId="161D40BE" w14:textId="2E53C1C4" w:rsidR="00BA05C1" w:rsidRPr="00DF3006" w:rsidRDefault="00BA05C1" w:rsidP="00BA05C1">
      <w:pPr>
        <w:pStyle w:val="Bullets2"/>
        <w:rPr>
          <w:color w:val="414042" w:themeColor="text1"/>
        </w:rPr>
      </w:pPr>
      <w:r w:rsidRPr="00DF3006">
        <w:rPr>
          <w:color w:val="414042" w:themeColor="text1"/>
        </w:rPr>
        <w:t xml:space="preserve">continued the development of our next </w:t>
      </w:r>
      <w:r w:rsidRPr="00DF3006">
        <w:rPr>
          <w:i/>
          <w:iCs/>
          <w:color w:val="414042" w:themeColor="text1"/>
        </w:rPr>
        <w:t>Innovate</w:t>
      </w:r>
      <w:r w:rsidRPr="00DF3006">
        <w:rPr>
          <w:color w:val="414042" w:themeColor="text1"/>
        </w:rPr>
        <w:t xml:space="preserve"> </w:t>
      </w:r>
      <w:r w:rsidRPr="00DF3006">
        <w:rPr>
          <w:i/>
          <w:iCs/>
          <w:color w:val="414042" w:themeColor="text1"/>
        </w:rPr>
        <w:t>Reconciliation Action Plan</w:t>
      </w:r>
      <w:r w:rsidRPr="00DF3006">
        <w:rPr>
          <w:color w:val="414042" w:themeColor="text1"/>
        </w:rPr>
        <w:t xml:space="preserve"> (see page 54), and</w:t>
      </w:r>
    </w:p>
    <w:p w14:paraId="08D26F74" w14:textId="3273659C" w:rsidR="00A24AC5" w:rsidRPr="00DF3006" w:rsidRDefault="00A24AC5" w:rsidP="007E7B4C">
      <w:pPr>
        <w:pStyle w:val="Bullets2"/>
        <w:rPr>
          <w:rStyle w:val="Hyperlink"/>
          <w:color w:val="414042" w:themeColor="text1"/>
          <w:spacing w:val="0"/>
          <w:u w:val="none"/>
        </w:rPr>
      </w:pPr>
      <w:r w:rsidRPr="00DF3006">
        <w:rPr>
          <w:color w:val="414042" w:themeColor="text1"/>
        </w:rPr>
        <w:t>celebrating our employees’ achievements (see page</w:t>
      </w:r>
      <w:r w:rsidR="009A253B" w:rsidRPr="00DF3006">
        <w:rPr>
          <w:color w:val="414042" w:themeColor="text1"/>
        </w:rPr>
        <w:t>s</w:t>
      </w:r>
      <w:r w:rsidRPr="00DF3006">
        <w:rPr>
          <w:color w:val="414042" w:themeColor="text1"/>
        </w:rPr>
        <w:t> </w:t>
      </w:r>
      <w:r w:rsidR="009A253B" w:rsidRPr="00DF3006">
        <w:rPr>
          <w:color w:val="414042" w:themeColor="text1"/>
        </w:rPr>
        <w:t>55–56</w:t>
      </w:r>
      <w:r w:rsidRPr="00DF3006">
        <w:rPr>
          <w:color w:val="414042" w:themeColor="text1"/>
        </w:rPr>
        <w:t>)</w:t>
      </w:r>
      <w:r w:rsidR="00BA05C1" w:rsidRPr="00DF3006">
        <w:rPr>
          <w:color w:val="414042" w:themeColor="text1"/>
        </w:rPr>
        <w:t>.</w:t>
      </w:r>
    </w:p>
    <w:p w14:paraId="050ED613" w14:textId="2CA17089" w:rsidR="00A24AC5" w:rsidRPr="00DF3006" w:rsidRDefault="00AD72B5" w:rsidP="00A24AC5">
      <w:pPr>
        <w:pStyle w:val="Bullets4"/>
        <w:ind w:left="227" w:hanging="227"/>
        <w:rPr>
          <w:color w:val="414042" w:themeColor="text1"/>
          <w:spacing w:val="0"/>
        </w:rPr>
      </w:pPr>
      <w:r w:rsidRPr="00DF3006">
        <w:rPr>
          <w:color w:val="414042" w:themeColor="text1"/>
          <w:spacing w:val="0"/>
        </w:rPr>
        <w:br w:type="column"/>
      </w:r>
      <w:r w:rsidR="00A24AC5" w:rsidRPr="00DF3006">
        <w:rPr>
          <w:color w:val="414042" w:themeColor="text1"/>
          <w:spacing w:val="0"/>
        </w:rPr>
        <w:t xml:space="preserve">Supported the health and wellbeing of our people through the Wellbeing Group (see page </w:t>
      </w:r>
      <w:r w:rsidR="00BA05C1" w:rsidRPr="00DF3006">
        <w:rPr>
          <w:color w:val="414042" w:themeColor="text1"/>
          <w:spacing w:val="0"/>
        </w:rPr>
        <w:t>55</w:t>
      </w:r>
      <w:r w:rsidR="00A24AC5" w:rsidRPr="00DF3006">
        <w:rPr>
          <w:color w:val="414042" w:themeColor="text1"/>
          <w:spacing w:val="0"/>
        </w:rPr>
        <w:t>)</w:t>
      </w:r>
      <w:r w:rsidR="000E3EE7" w:rsidRPr="00DF3006">
        <w:rPr>
          <w:color w:val="414042" w:themeColor="text1"/>
          <w:spacing w:val="0"/>
        </w:rPr>
        <w:t>.</w:t>
      </w:r>
    </w:p>
    <w:p w14:paraId="25375B9D" w14:textId="359B6D05" w:rsidR="00A24AC5" w:rsidRPr="00DF3006" w:rsidRDefault="00A24AC5" w:rsidP="00A24AC5">
      <w:pPr>
        <w:pStyle w:val="Bullets4"/>
        <w:ind w:left="227" w:hanging="227"/>
        <w:rPr>
          <w:color w:val="414042" w:themeColor="text1"/>
          <w:spacing w:val="0"/>
        </w:rPr>
      </w:pPr>
      <w:bookmarkStart w:id="931" w:name="_Hlk143512517"/>
      <w:r w:rsidRPr="00DF3006">
        <w:rPr>
          <w:color w:val="414042" w:themeColor="text1"/>
          <w:spacing w:val="0"/>
        </w:rPr>
        <w:t xml:space="preserve">Supported staff participation in Mental Health First Aid training sessions, with </w:t>
      </w:r>
      <w:r w:rsidR="000D44DD" w:rsidRPr="00DF3006">
        <w:rPr>
          <w:color w:val="414042" w:themeColor="text1"/>
          <w:spacing w:val="0"/>
        </w:rPr>
        <w:t>76</w:t>
      </w:r>
      <w:r w:rsidRPr="00DF3006">
        <w:rPr>
          <w:color w:val="414042" w:themeColor="text1"/>
          <w:spacing w:val="0"/>
        </w:rPr>
        <w:t xml:space="preserve"> staff now accredited as Mental Health First Aiders (see page </w:t>
      </w:r>
      <w:r w:rsidR="00AD72B5" w:rsidRPr="00DF3006">
        <w:rPr>
          <w:color w:val="414042" w:themeColor="text1"/>
          <w:spacing w:val="0"/>
        </w:rPr>
        <w:t>55</w:t>
      </w:r>
      <w:r w:rsidRPr="00DF3006">
        <w:rPr>
          <w:color w:val="414042" w:themeColor="text1"/>
          <w:spacing w:val="0"/>
        </w:rPr>
        <w:t>)</w:t>
      </w:r>
      <w:r w:rsidR="000E3EE7" w:rsidRPr="00DF3006">
        <w:rPr>
          <w:color w:val="414042" w:themeColor="text1"/>
          <w:spacing w:val="0"/>
        </w:rPr>
        <w:t>.</w:t>
      </w:r>
    </w:p>
    <w:bookmarkEnd w:id="931"/>
    <w:p w14:paraId="12E08622" w14:textId="17B59853" w:rsidR="00A24AC5" w:rsidRPr="00DF3006" w:rsidRDefault="00A24AC5" w:rsidP="00DA10B8">
      <w:pPr>
        <w:pStyle w:val="Bullets4"/>
        <w:ind w:left="227" w:hanging="227"/>
        <w:rPr>
          <w:color w:val="414042" w:themeColor="text1"/>
          <w:spacing w:val="0"/>
        </w:rPr>
      </w:pPr>
      <w:r w:rsidRPr="00DF3006">
        <w:rPr>
          <w:color w:val="414042" w:themeColor="text1"/>
          <w:spacing w:val="0"/>
        </w:rPr>
        <w:t xml:space="preserve">Participated in the 2022 </w:t>
      </w:r>
      <w:r w:rsidRPr="00DF3006">
        <w:rPr>
          <w:i/>
          <w:iCs/>
          <w:color w:val="414042" w:themeColor="text1"/>
          <w:spacing w:val="0"/>
        </w:rPr>
        <w:t>Working for Queensland Survey</w:t>
      </w:r>
      <w:r w:rsidRPr="00DF3006">
        <w:rPr>
          <w:color w:val="414042" w:themeColor="text1"/>
          <w:spacing w:val="0"/>
        </w:rPr>
        <w:t xml:space="preserve"> (see page </w:t>
      </w:r>
      <w:r w:rsidR="00AD72B5" w:rsidRPr="00DF3006">
        <w:rPr>
          <w:color w:val="414042" w:themeColor="text1"/>
          <w:spacing w:val="0"/>
        </w:rPr>
        <w:t>56</w:t>
      </w:r>
      <w:r w:rsidRPr="00DF3006">
        <w:rPr>
          <w:color w:val="414042" w:themeColor="text1"/>
          <w:spacing w:val="0"/>
        </w:rPr>
        <w:t>).</w:t>
      </w:r>
    </w:p>
    <w:p w14:paraId="4A868DC2" w14:textId="77777777" w:rsidR="00A24AC5" w:rsidRPr="00DF3006" w:rsidRDefault="00A24AC5" w:rsidP="007E7B4C">
      <w:pPr>
        <w:pStyle w:val="Bulletlist"/>
        <w:rPr>
          <w:color w:val="414042" w:themeColor="text1"/>
        </w:rPr>
      </w:pPr>
    </w:p>
    <w:p w14:paraId="26F9294A" w14:textId="5A0C1E1F" w:rsidR="00A24AC5" w:rsidRPr="00DF3006" w:rsidRDefault="00A24AC5" w:rsidP="007E7B4C">
      <w:pPr>
        <w:pStyle w:val="Bulletlist"/>
        <w:rPr>
          <w:color w:val="414042" w:themeColor="text1"/>
        </w:rPr>
      </w:pPr>
    </w:p>
    <w:p w14:paraId="1DEC701E" w14:textId="1295F51C" w:rsidR="00AD72B5" w:rsidRPr="00DF3006" w:rsidRDefault="00AD72B5" w:rsidP="007E7B4C">
      <w:pPr>
        <w:pStyle w:val="Bulletlist"/>
        <w:rPr>
          <w:color w:val="414042" w:themeColor="text1"/>
        </w:rPr>
      </w:pPr>
    </w:p>
    <w:p w14:paraId="1DE8EE38" w14:textId="0C0792EB" w:rsidR="00AD72B5" w:rsidRPr="00DF3006" w:rsidRDefault="00AD72B5" w:rsidP="007E7B4C">
      <w:pPr>
        <w:pStyle w:val="Bulletlist"/>
        <w:rPr>
          <w:color w:val="414042" w:themeColor="text1"/>
        </w:rPr>
      </w:pPr>
    </w:p>
    <w:p w14:paraId="79ABF361" w14:textId="77777777" w:rsidR="00A24AC5" w:rsidRPr="00DF3006" w:rsidRDefault="00A24AC5" w:rsidP="007E7B4C">
      <w:pPr>
        <w:pStyle w:val="Bulletlist"/>
        <w:rPr>
          <w:color w:val="414042" w:themeColor="text1"/>
        </w:rPr>
      </w:pPr>
    </w:p>
    <w:p w14:paraId="54A4D709" w14:textId="77777777" w:rsidR="00A24AC5" w:rsidRPr="00DF3006" w:rsidRDefault="00A24AC5" w:rsidP="007E7B4C">
      <w:pPr>
        <w:pStyle w:val="Bulletlist"/>
        <w:rPr>
          <w:color w:val="414042" w:themeColor="text1"/>
        </w:rPr>
      </w:pPr>
    </w:p>
    <w:p w14:paraId="52DA456B" w14:textId="77777777" w:rsidR="00A24AC5" w:rsidRPr="00DF3006" w:rsidRDefault="00A24AC5" w:rsidP="007E7B4C">
      <w:pPr>
        <w:pStyle w:val="Bulletlist"/>
        <w:rPr>
          <w:color w:val="414042" w:themeColor="text1"/>
        </w:rPr>
        <w:sectPr w:rsidR="00A24AC5" w:rsidRPr="00DF3006" w:rsidSect="00C77834">
          <w:type w:val="continuous"/>
          <w:pgSz w:w="11906" w:h="16838" w:code="9"/>
          <w:pgMar w:top="2155" w:right="1134" w:bottom="964" w:left="1134" w:header="720" w:footer="284" w:gutter="0"/>
          <w:cols w:num="2" w:space="567"/>
          <w:noEndnote/>
          <w:docGrid w:linePitch="272"/>
        </w:sectPr>
      </w:pPr>
    </w:p>
    <w:p w14:paraId="1AA5E8D9" w14:textId="77777777" w:rsidR="00A24AC5" w:rsidRPr="00DF3006" w:rsidRDefault="00A24AC5" w:rsidP="00463FBB">
      <w:pPr>
        <w:pStyle w:val="Objectivesubs"/>
      </w:pPr>
      <w:bookmarkStart w:id="932" w:name="_Toc102037873"/>
      <w:bookmarkStart w:id="933" w:name="_Toc102038235"/>
      <w:bookmarkStart w:id="934" w:name="_Toc102038596"/>
      <w:bookmarkStart w:id="935" w:name="_Toc102038956"/>
      <w:bookmarkStart w:id="936" w:name="_Toc102039308"/>
      <w:bookmarkStart w:id="937" w:name="_Toc102039663"/>
      <w:bookmarkStart w:id="938" w:name="_Toc102040020"/>
      <w:bookmarkStart w:id="939" w:name="_Toc102040345"/>
      <w:bookmarkStart w:id="940" w:name="_Toc102040679"/>
      <w:bookmarkStart w:id="941" w:name="_Toc102041007"/>
      <w:bookmarkStart w:id="942" w:name="_Toc102041337"/>
      <w:bookmarkStart w:id="943" w:name="_Toc102041669"/>
      <w:bookmarkStart w:id="944" w:name="_Toc102041996"/>
      <w:bookmarkStart w:id="945" w:name="_Toc102042325"/>
      <w:bookmarkStart w:id="946" w:name="_Toc102045455"/>
      <w:bookmarkEnd w:id="930"/>
      <w:r w:rsidRPr="00DF3006">
        <w:t xml:space="preserve"> </w:t>
      </w:r>
      <w:bookmarkStart w:id="947" w:name="_Hlk109717099"/>
      <w:r w:rsidRPr="00DF3006">
        <w:t>Improved systems and analytic capability</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9E2918A" w14:textId="77777777" w:rsidR="00A24AC5" w:rsidRPr="00DF3006" w:rsidRDefault="00A24AC5" w:rsidP="00A24AC5">
      <w:pPr>
        <w:rPr>
          <w:color w:val="414042" w:themeColor="text1"/>
        </w:rPr>
        <w:sectPr w:rsidR="00A24AC5" w:rsidRPr="00DF3006" w:rsidSect="00C77834">
          <w:type w:val="continuous"/>
          <w:pgSz w:w="11906" w:h="16838" w:code="9"/>
          <w:pgMar w:top="2155" w:right="1134" w:bottom="964" w:left="1134" w:header="720" w:footer="284" w:gutter="0"/>
          <w:cols w:space="567"/>
          <w:noEndnote/>
          <w:docGrid w:linePitch="272"/>
        </w:sectPr>
      </w:pPr>
    </w:p>
    <w:bookmarkEnd w:id="914"/>
    <w:bookmarkEnd w:id="947"/>
    <w:p w14:paraId="33F64AA1" w14:textId="4D9B921E" w:rsidR="00A24AC5" w:rsidRPr="00DF3006" w:rsidRDefault="00A24AC5" w:rsidP="00A24AC5">
      <w:pPr>
        <w:pStyle w:val="Bullets4"/>
        <w:rPr>
          <w:rFonts w:ascii="Calibri" w:hAnsi="Calibri"/>
          <w:color w:val="414042" w:themeColor="text1"/>
        </w:rPr>
      </w:pPr>
      <w:r w:rsidRPr="00DF3006">
        <w:rPr>
          <w:color w:val="414042" w:themeColor="text1"/>
        </w:rPr>
        <w:t xml:space="preserve">Continued to </w:t>
      </w:r>
      <w:r w:rsidRPr="00DF3006">
        <w:rPr>
          <w:color w:val="414042" w:themeColor="text1"/>
          <w:spacing w:val="0"/>
        </w:rPr>
        <w:t>develop</w:t>
      </w:r>
      <w:r w:rsidRPr="00DF3006">
        <w:rPr>
          <w:color w:val="414042" w:themeColor="text1"/>
        </w:rPr>
        <w:t xml:space="preserve"> our analytics capabilities to ensure we connect people, </w:t>
      </w:r>
      <w:proofErr w:type="gramStart"/>
      <w:r w:rsidRPr="00DF3006">
        <w:rPr>
          <w:color w:val="414042" w:themeColor="text1"/>
        </w:rPr>
        <w:t>insights</w:t>
      </w:r>
      <w:proofErr w:type="gramEnd"/>
      <w:r w:rsidRPr="00DF3006">
        <w:rPr>
          <w:color w:val="414042" w:themeColor="text1"/>
        </w:rPr>
        <w:t xml:space="preserve"> and technology to reduce major crime and improve the integrity of public institutions, including:</w:t>
      </w:r>
    </w:p>
    <w:p w14:paraId="5FE8BEE1" w14:textId="726392C8" w:rsidR="002B0185" w:rsidRPr="00DF3006" w:rsidRDefault="00C00607" w:rsidP="007E7B4C">
      <w:pPr>
        <w:pStyle w:val="Bullets2"/>
        <w:rPr>
          <w:color w:val="414042" w:themeColor="text1"/>
        </w:rPr>
      </w:pPr>
      <w:r w:rsidRPr="00DF3006">
        <w:rPr>
          <w:color w:val="414042" w:themeColor="text1"/>
        </w:rPr>
        <w:t>updat</w:t>
      </w:r>
      <w:r w:rsidR="0061490B" w:rsidRPr="00DF3006">
        <w:rPr>
          <w:color w:val="414042" w:themeColor="text1"/>
        </w:rPr>
        <w:t>ing</w:t>
      </w:r>
      <w:r w:rsidRPr="00DF3006">
        <w:rPr>
          <w:color w:val="414042" w:themeColor="text1"/>
        </w:rPr>
        <w:t xml:space="preserve"> </w:t>
      </w:r>
      <w:r w:rsidR="00A24AC5" w:rsidRPr="00DF3006">
        <w:rPr>
          <w:color w:val="414042" w:themeColor="text1"/>
        </w:rPr>
        <w:t xml:space="preserve">the </w:t>
      </w:r>
      <w:r w:rsidR="00A24AC5" w:rsidRPr="00DF3006">
        <w:rPr>
          <w:i/>
          <w:iCs/>
          <w:color w:val="414042" w:themeColor="text1"/>
        </w:rPr>
        <w:t>Corruption Allegations Data Dashboard</w:t>
      </w:r>
      <w:r w:rsidR="00A24AC5" w:rsidRPr="00DF3006">
        <w:rPr>
          <w:color w:val="414042" w:themeColor="text1"/>
        </w:rPr>
        <w:t xml:space="preserve"> (see page</w:t>
      </w:r>
      <w:r w:rsidR="00200352" w:rsidRPr="00DF3006">
        <w:rPr>
          <w:color w:val="414042" w:themeColor="text1"/>
        </w:rPr>
        <w:t xml:space="preserve"> 50</w:t>
      </w:r>
      <w:r w:rsidR="00A24AC5" w:rsidRPr="00DF3006">
        <w:rPr>
          <w:color w:val="414042" w:themeColor="text1"/>
        </w:rPr>
        <w:t>)</w:t>
      </w:r>
    </w:p>
    <w:p w14:paraId="43649FE3" w14:textId="084A9107" w:rsidR="002B0185" w:rsidRPr="00DF3006" w:rsidRDefault="002B0185" w:rsidP="002B0185">
      <w:pPr>
        <w:pStyle w:val="Bullets2"/>
        <w:rPr>
          <w:color w:val="414042" w:themeColor="text1"/>
        </w:rPr>
      </w:pPr>
      <w:r w:rsidRPr="00DF3006">
        <w:rPr>
          <w:color w:val="414042" w:themeColor="text1"/>
        </w:rPr>
        <w:t xml:space="preserve">continuing the development of our </w:t>
      </w:r>
      <w:r w:rsidRPr="00DF3006">
        <w:rPr>
          <w:i/>
          <w:iCs/>
          <w:color w:val="414042" w:themeColor="text1"/>
        </w:rPr>
        <w:t>Analytics Data Warehouse (</w:t>
      </w:r>
      <w:proofErr w:type="spellStart"/>
      <w:r w:rsidRPr="00DF3006">
        <w:rPr>
          <w:i/>
          <w:iCs/>
          <w:color w:val="414042" w:themeColor="text1"/>
        </w:rPr>
        <w:t>ADW</w:t>
      </w:r>
      <w:proofErr w:type="spellEnd"/>
      <w:r w:rsidRPr="00DF3006">
        <w:rPr>
          <w:i/>
          <w:iCs/>
          <w:color w:val="414042" w:themeColor="text1"/>
        </w:rPr>
        <w:t>)</w:t>
      </w:r>
      <w:r w:rsidRPr="00DF3006">
        <w:rPr>
          <w:color w:val="414042" w:themeColor="text1"/>
        </w:rPr>
        <w:t xml:space="preserve"> and improving business and operational intelligence capabilities with contemporary tools and platforms, and</w:t>
      </w:r>
    </w:p>
    <w:p w14:paraId="41C05710" w14:textId="53B5A5D4" w:rsidR="00A24AC5" w:rsidRPr="00DF3006" w:rsidRDefault="002B0185" w:rsidP="002B0185">
      <w:pPr>
        <w:pStyle w:val="Bullets2"/>
        <w:rPr>
          <w:color w:val="414042" w:themeColor="text1"/>
        </w:rPr>
      </w:pPr>
      <w:r w:rsidRPr="00DF3006">
        <w:rPr>
          <w:color w:val="414042" w:themeColor="text1"/>
        </w:rPr>
        <w:t xml:space="preserve">ingesting corruption data holdings into the </w:t>
      </w:r>
      <w:proofErr w:type="spellStart"/>
      <w:r w:rsidRPr="00DF3006">
        <w:rPr>
          <w:i/>
          <w:iCs/>
          <w:color w:val="414042" w:themeColor="text1"/>
        </w:rPr>
        <w:t>ADW</w:t>
      </w:r>
      <w:proofErr w:type="spellEnd"/>
      <w:r w:rsidRPr="00DF3006">
        <w:rPr>
          <w:color w:val="414042" w:themeColor="text1"/>
        </w:rPr>
        <w:t xml:space="preserve"> (see page</w:t>
      </w:r>
      <w:r w:rsidR="00076199" w:rsidRPr="00DF3006">
        <w:rPr>
          <w:color w:val="414042" w:themeColor="text1"/>
        </w:rPr>
        <w:t>s 57 and</w:t>
      </w:r>
      <w:r w:rsidRPr="00DF3006">
        <w:rPr>
          <w:color w:val="414042" w:themeColor="text1"/>
        </w:rPr>
        <w:t xml:space="preserve"> 80)</w:t>
      </w:r>
      <w:r w:rsidR="00A24AC5" w:rsidRPr="00DF3006">
        <w:rPr>
          <w:color w:val="414042" w:themeColor="text1"/>
        </w:rPr>
        <w:t>.</w:t>
      </w:r>
    </w:p>
    <w:p w14:paraId="0AD8DEA0" w14:textId="77777777" w:rsidR="00A24AC5" w:rsidRPr="00DF3006" w:rsidRDefault="00A24AC5" w:rsidP="00A24AC5">
      <w:pPr>
        <w:pStyle w:val="Bullets4"/>
        <w:rPr>
          <w:color w:val="414042" w:themeColor="text1"/>
        </w:rPr>
      </w:pPr>
      <w:r w:rsidRPr="00DF3006">
        <w:rPr>
          <w:color w:val="414042" w:themeColor="text1"/>
        </w:rPr>
        <w:br w:type="column"/>
      </w:r>
      <w:r w:rsidRPr="00DF3006">
        <w:rPr>
          <w:color w:val="414042" w:themeColor="text1"/>
        </w:rPr>
        <w:t>Continued the delivery of a rolling program of digital initiatives to further develop our digital maturity, including:</w:t>
      </w:r>
    </w:p>
    <w:p w14:paraId="3CE1637C" w14:textId="77777777" w:rsidR="00A24AC5" w:rsidRPr="00DF3006" w:rsidRDefault="00A24AC5">
      <w:pPr>
        <w:pStyle w:val="Bullets2c"/>
        <w:rPr>
          <w:color w:val="414042" w:themeColor="text1"/>
        </w:rPr>
      </w:pPr>
      <w:r w:rsidRPr="00DF3006">
        <w:rPr>
          <w:color w:val="414042" w:themeColor="text1"/>
        </w:rPr>
        <w:t xml:space="preserve">implementing a cloud-based forensic investigation system that allows investigators to review electronic evidence </w:t>
      </w:r>
      <w:proofErr w:type="gramStart"/>
      <w:r w:rsidRPr="00DF3006">
        <w:rPr>
          <w:color w:val="414042" w:themeColor="text1"/>
        </w:rPr>
        <w:t>collaboratively</w:t>
      </w:r>
      <w:proofErr w:type="gramEnd"/>
    </w:p>
    <w:p w14:paraId="2DB27134" w14:textId="77777777" w:rsidR="00A24AC5" w:rsidRPr="00DF3006" w:rsidRDefault="00A24AC5">
      <w:pPr>
        <w:pStyle w:val="Bullets2c"/>
        <w:rPr>
          <w:color w:val="414042" w:themeColor="text1"/>
        </w:rPr>
      </w:pPr>
      <w:r w:rsidRPr="00DF3006">
        <w:rPr>
          <w:color w:val="414042" w:themeColor="text1"/>
        </w:rPr>
        <w:t xml:space="preserve">upgrading our financial investigation data analysis tool that delivered business critical changes and addressed issues in reporting, security, effectiveness, </w:t>
      </w:r>
      <w:proofErr w:type="gramStart"/>
      <w:r w:rsidRPr="00DF3006">
        <w:rPr>
          <w:color w:val="414042" w:themeColor="text1"/>
        </w:rPr>
        <w:t>consistency</w:t>
      </w:r>
      <w:proofErr w:type="gramEnd"/>
      <w:r w:rsidRPr="00DF3006">
        <w:rPr>
          <w:color w:val="414042" w:themeColor="text1"/>
        </w:rPr>
        <w:t xml:space="preserve"> and analysis, and</w:t>
      </w:r>
    </w:p>
    <w:p w14:paraId="31AD939C" w14:textId="727917BB" w:rsidR="00A24AC5" w:rsidRPr="00DF3006" w:rsidRDefault="00A24AC5">
      <w:pPr>
        <w:pStyle w:val="Bullets2c"/>
        <w:rPr>
          <w:color w:val="414042" w:themeColor="text1"/>
        </w:rPr>
      </w:pPr>
      <w:r w:rsidRPr="00DF3006">
        <w:rPr>
          <w:color w:val="414042" w:themeColor="text1"/>
        </w:rPr>
        <w:t xml:space="preserve">planning for a new legal practice management system and a new </w:t>
      </w:r>
      <w:r w:rsidR="00AE3B05" w:rsidRPr="00DF3006">
        <w:rPr>
          <w:color w:val="414042" w:themeColor="text1"/>
        </w:rPr>
        <w:t>Corruption Investigations Case Management System</w:t>
      </w:r>
      <w:r w:rsidRPr="00DF3006">
        <w:rPr>
          <w:color w:val="414042" w:themeColor="text1"/>
        </w:rPr>
        <w:t>.</w:t>
      </w:r>
    </w:p>
    <w:p w14:paraId="264A7F4F" w14:textId="4F16914C" w:rsidR="0061490B" w:rsidRPr="00DF3006" w:rsidRDefault="0061490B" w:rsidP="0061490B">
      <w:pPr>
        <w:pStyle w:val="Bullets4"/>
        <w:rPr>
          <w:color w:val="414042" w:themeColor="text1"/>
        </w:rPr>
      </w:pPr>
      <w:bookmarkStart w:id="948" w:name="_Hlk143513243"/>
      <w:r w:rsidRPr="00DF3006">
        <w:rPr>
          <w:color w:val="414042" w:themeColor="text1"/>
        </w:rPr>
        <w:t>Developed a f</w:t>
      </w:r>
      <w:r w:rsidR="001537BD" w:rsidRPr="00DF3006">
        <w:rPr>
          <w:color w:val="414042" w:themeColor="text1"/>
        </w:rPr>
        <w:t>ive</w:t>
      </w:r>
      <w:r w:rsidRPr="00DF3006">
        <w:rPr>
          <w:color w:val="414042" w:themeColor="text1"/>
        </w:rPr>
        <w:t xml:space="preserve">-year </w:t>
      </w:r>
      <w:r w:rsidR="001537BD" w:rsidRPr="00DF3006">
        <w:rPr>
          <w:color w:val="414042" w:themeColor="text1"/>
        </w:rPr>
        <w:t xml:space="preserve">Applications Roadmap </w:t>
      </w:r>
      <w:r w:rsidRPr="00DF3006">
        <w:rPr>
          <w:color w:val="414042" w:themeColor="text1"/>
        </w:rPr>
        <w:t>t</w:t>
      </w:r>
      <w:r w:rsidR="002B0185" w:rsidRPr="00DF3006">
        <w:rPr>
          <w:color w:val="414042" w:themeColor="text1"/>
        </w:rPr>
        <w:t>o</w:t>
      </w:r>
      <w:r w:rsidRPr="00DF3006">
        <w:rPr>
          <w:color w:val="414042" w:themeColor="text1"/>
        </w:rPr>
        <w:t xml:space="preserve"> guide future planning and decision-making about potential system enhancements, replacements and decommissions</w:t>
      </w:r>
      <w:r w:rsidR="002B0185" w:rsidRPr="00DF3006">
        <w:rPr>
          <w:color w:val="414042" w:themeColor="text1"/>
        </w:rPr>
        <w:t xml:space="preserve"> (see page 57)</w:t>
      </w:r>
      <w:r w:rsidRPr="00DF3006">
        <w:rPr>
          <w:color w:val="414042" w:themeColor="text1"/>
        </w:rPr>
        <w:t>.</w:t>
      </w:r>
    </w:p>
    <w:bookmarkEnd w:id="948"/>
    <w:p w14:paraId="28C411C9" w14:textId="77777777" w:rsidR="00A24AC5" w:rsidRPr="00DF3006" w:rsidRDefault="00A24AC5" w:rsidP="00A24AC5">
      <w:pPr>
        <w:pStyle w:val="Bullets4"/>
        <w:numPr>
          <w:ilvl w:val="0"/>
          <w:numId w:val="0"/>
        </w:numPr>
        <w:ind w:left="502" w:hanging="360"/>
        <w:rPr>
          <w:color w:val="414042" w:themeColor="text1"/>
        </w:rPr>
        <w:sectPr w:rsidR="00A24AC5" w:rsidRPr="00DF3006" w:rsidSect="00C77834">
          <w:headerReference w:type="even" r:id="rId130"/>
          <w:headerReference w:type="default" r:id="rId131"/>
          <w:headerReference w:type="first" r:id="rId132"/>
          <w:type w:val="continuous"/>
          <w:pgSz w:w="11906" w:h="16838" w:code="9"/>
          <w:pgMar w:top="2155" w:right="1134" w:bottom="964" w:left="1134" w:header="720" w:footer="284" w:gutter="0"/>
          <w:cols w:num="2" w:space="567"/>
          <w:noEndnote/>
          <w:docGrid w:linePitch="272"/>
        </w:sectPr>
      </w:pPr>
    </w:p>
    <w:p w14:paraId="167EDBAC" w14:textId="59F57BEF" w:rsidR="00823A96" w:rsidRPr="00DF3006" w:rsidRDefault="00823A96" w:rsidP="00BB5386">
      <w:pPr>
        <w:pStyle w:val="Heading2"/>
        <w:tabs>
          <w:tab w:val="right" w:pos="9638"/>
        </w:tabs>
      </w:pPr>
      <w:bookmarkStart w:id="949" w:name="_Financial_summary"/>
      <w:bookmarkEnd w:id="949"/>
      <w:r w:rsidRPr="00DF3006">
        <w:lastRenderedPageBreak/>
        <w:t>Financial summary</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4CB82111" w14:textId="77777777" w:rsidR="00DF252A" w:rsidRPr="00DF3006" w:rsidRDefault="00DF252A" w:rsidP="000E3EE7">
      <w:pPr>
        <w:rPr>
          <w:rFonts w:ascii="Calibri" w:hAnsi="Calibri" w:cs="Calibri"/>
          <w:b/>
          <w:bCs/>
          <w:color w:val="414042" w:themeColor="text1"/>
          <w:spacing w:val="-6"/>
          <w:sz w:val="24"/>
          <w:szCs w:val="24"/>
          <w:lang w:val="en-US"/>
        </w:rPr>
      </w:pPr>
      <w:r w:rsidRPr="00DF3006">
        <w:rPr>
          <w:rFonts w:ascii="Calibri" w:hAnsi="Calibri" w:cs="Calibri"/>
          <w:b/>
          <w:bCs/>
          <w:color w:val="414042" w:themeColor="text1"/>
          <w:spacing w:val="-6"/>
          <w:sz w:val="24"/>
          <w:szCs w:val="24"/>
          <w:lang w:val="en-US"/>
        </w:rPr>
        <w:t>This financial summary provides an overview of our financial performance for 2022–23.</w:t>
      </w:r>
    </w:p>
    <w:p w14:paraId="0370B0DF" w14:textId="77777777" w:rsidR="000E3EE7" w:rsidRPr="00DF3006" w:rsidRDefault="000E3EE7" w:rsidP="000E3EE7">
      <w:pPr>
        <w:rPr>
          <w:color w:val="414042" w:themeColor="text1"/>
        </w:rPr>
      </w:pPr>
    </w:p>
    <w:p w14:paraId="3F039C8B" w14:textId="4ED95A79" w:rsidR="000E3EE7" w:rsidRPr="00DF3006" w:rsidRDefault="000E3EE7" w:rsidP="00DF252A">
      <w:pPr>
        <w:pStyle w:val="Openingparagraph"/>
        <w:spacing w:after="400"/>
        <w:ind w:right="-143"/>
        <w:rPr>
          <w:lang w:val="en-AU"/>
        </w:rPr>
        <w:sectPr w:rsidR="000E3EE7" w:rsidRPr="00DF3006" w:rsidSect="00C77834">
          <w:headerReference w:type="even" r:id="rId133"/>
          <w:headerReference w:type="default" r:id="rId134"/>
          <w:headerReference w:type="first" r:id="rId135"/>
          <w:type w:val="continuous"/>
          <w:pgSz w:w="11906" w:h="16838" w:code="9"/>
          <w:pgMar w:top="2155" w:right="1134" w:bottom="964" w:left="1134" w:header="720" w:footer="284" w:gutter="0"/>
          <w:cols w:space="567"/>
          <w:noEndnote/>
          <w:docGrid w:linePitch="272"/>
        </w:sectPr>
      </w:pPr>
    </w:p>
    <w:p w14:paraId="08996461" w14:textId="77777777" w:rsidR="00DF252A" w:rsidRPr="00DF3006" w:rsidRDefault="00DF252A" w:rsidP="00E6066A">
      <w:pPr>
        <w:pStyle w:val="Heading3"/>
      </w:pPr>
      <w:bookmarkStart w:id="950" w:name="_Toc102037892"/>
      <w:bookmarkStart w:id="951" w:name="_Toc102038253"/>
      <w:bookmarkStart w:id="952" w:name="_Toc102038614"/>
      <w:bookmarkStart w:id="953" w:name="_Toc102038966"/>
      <w:bookmarkStart w:id="954" w:name="_Toc102039318"/>
      <w:bookmarkStart w:id="955" w:name="_Toc102039680"/>
      <w:bookmarkStart w:id="956" w:name="_Toc102040037"/>
      <w:bookmarkStart w:id="957" w:name="_Toc102040365"/>
      <w:bookmarkStart w:id="958" w:name="_Toc102040699"/>
      <w:bookmarkStart w:id="959" w:name="_Toc102041027"/>
      <w:bookmarkStart w:id="960" w:name="_Toc102041356"/>
      <w:bookmarkStart w:id="961" w:name="_Toc102041688"/>
      <w:bookmarkStart w:id="962" w:name="_Toc102042015"/>
      <w:bookmarkStart w:id="963" w:name="_Toc102042345"/>
      <w:bookmarkStart w:id="964" w:name="_Toc102045475"/>
      <w:bookmarkStart w:id="965" w:name="_Hlk74302786"/>
      <w:r w:rsidRPr="00DF3006">
        <w:t>Overview</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7FAC9595" w14:textId="77777777" w:rsidR="00DF252A" w:rsidRPr="00DF3006" w:rsidRDefault="00DF252A" w:rsidP="000E3EE7">
      <w:pPr>
        <w:rPr>
          <w:color w:val="414042" w:themeColor="text1"/>
        </w:rPr>
      </w:pPr>
      <w:r w:rsidRPr="00DF3006">
        <w:rPr>
          <w:color w:val="414042" w:themeColor="text1"/>
        </w:rPr>
        <w:t>The CCC had a net operating surplus of $6,431,000 in 2022–23. This surplus is due to increased employee vacancies due to labour market pressures and reduced operating expenditure as result of capacity issues. The CCC intends to utilise this surplus in future years by investing in the development of new Investigation Case Management Systems for its crime and corruption functions.</w:t>
      </w:r>
    </w:p>
    <w:p w14:paraId="1AF365C0" w14:textId="77777777" w:rsidR="00DF252A" w:rsidRPr="00DF3006" w:rsidRDefault="00DF252A" w:rsidP="00E6066A">
      <w:pPr>
        <w:pStyle w:val="Heading3"/>
      </w:pPr>
      <w:bookmarkStart w:id="966" w:name="_Toc102037893"/>
      <w:bookmarkStart w:id="967" w:name="_Toc102038254"/>
      <w:bookmarkStart w:id="968" w:name="_Toc102038615"/>
      <w:bookmarkStart w:id="969" w:name="_Toc102038967"/>
      <w:bookmarkStart w:id="970" w:name="_Toc102039319"/>
      <w:bookmarkStart w:id="971" w:name="_Toc102039681"/>
      <w:bookmarkStart w:id="972" w:name="_Toc102040038"/>
      <w:bookmarkStart w:id="973" w:name="_Toc102040366"/>
      <w:bookmarkStart w:id="974" w:name="_Toc102040700"/>
      <w:bookmarkStart w:id="975" w:name="_Toc102041028"/>
      <w:bookmarkStart w:id="976" w:name="_Toc102041357"/>
      <w:bookmarkStart w:id="977" w:name="_Toc102041689"/>
      <w:bookmarkStart w:id="978" w:name="_Toc102042016"/>
      <w:bookmarkStart w:id="979" w:name="_Toc102042346"/>
      <w:bookmarkStart w:id="980" w:name="_Toc102045476"/>
      <w:r w:rsidRPr="00DF3006">
        <w:t>Revenue</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06932A87" w14:textId="3855B38F" w:rsidR="00DF252A" w:rsidRPr="00DF3006" w:rsidRDefault="00ED4243" w:rsidP="000E3EE7">
      <w:pPr>
        <w:rPr>
          <w:color w:val="414042" w:themeColor="text1"/>
        </w:rPr>
      </w:pPr>
      <w:bookmarkStart w:id="981" w:name="_Hlk74302826"/>
      <w:bookmarkEnd w:id="965"/>
      <w:r w:rsidRPr="00DF3006">
        <w:rPr>
          <w:color w:val="414042" w:themeColor="text1"/>
        </w:rPr>
        <w:t xml:space="preserve">Total revenue for 2022–23 was $69.563 million, increasing by 6.2 per cent or $4.084 million from </w:t>
      </w:r>
      <w:r w:rsidR="00A10623" w:rsidRPr="00DF3006">
        <w:rPr>
          <w:color w:val="414042" w:themeColor="text1"/>
        </w:rPr>
        <w:t xml:space="preserve">  </w:t>
      </w:r>
      <w:r w:rsidRPr="00DF3006">
        <w:rPr>
          <w:color w:val="414042" w:themeColor="text1"/>
        </w:rPr>
        <w:t>2021–22</w:t>
      </w:r>
      <w:r w:rsidR="00DF252A" w:rsidRPr="00DF3006">
        <w:rPr>
          <w:color w:val="414042" w:themeColor="text1"/>
        </w:rPr>
        <w:t>.</w:t>
      </w:r>
    </w:p>
    <w:p w14:paraId="56D34439" w14:textId="43C20245" w:rsidR="00DF252A" w:rsidRPr="00DF3006" w:rsidRDefault="00DF252A" w:rsidP="000E3EE7">
      <w:pPr>
        <w:rPr>
          <w:color w:val="414042" w:themeColor="text1"/>
        </w:rPr>
      </w:pPr>
      <w:r w:rsidRPr="00DF3006">
        <w:rPr>
          <w:color w:val="414042" w:themeColor="text1"/>
        </w:rPr>
        <w:t>The State Government grant funds account for 96.4</w:t>
      </w:r>
      <w:r w:rsidR="000E3EE7" w:rsidRPr="00DF3006">
        <w:rPr>
          <w:color w:val="414042" w:themeColor="text1"/>
        </w:rPr>
        <w:t> </w:t>
      </w:r>
      <w:r w:rsidRPr="00DF3006">
        <w:rPr>
          <w:color w:val="414042" w:themeColor="text1"/>
        </w:rPr>
        <w:t>per</w:t>
      </w:r>
      <w:r w:rsidR="000E3EE7" w:rsidRPr="00DF3006">
        <w:rPr>
          <w:color w:val="414042" w:themeColor="text1"/>
        </w:rPr>
        <w:t> </w:t>
      </w:r>
      <w:r w:rsidRPr="00DF3006">
        <w:rPr>
          <w:color w:val="414042" w:themeColor="text1"/>
        </w:rPr>
        <w:t xml:space="preserve">cent of our total revenue. This revenue is supplemented by interest earnings on cash reserves and other general revenue receipts including employee car parking income and gains on sale of plant and equipment. </w:t>
      </w:r>
      <w:r w:rsidR="000C6A20" w:rsidRPr="00DF3006">
        <w:rPr>
          <w:color w:val="414042" w:themeColor="text1"/>
        </w:rPr>
        <w:br w:type="column"/>
      </w:r>
      <w:r w:rsidRPr="00DF3006">
        <w:rPr>
          <w:color w:val="414042" w:themeColor="text1"/>
        </w:rPr>
        <w:t xml:space="preserve">The CCC also receives non-cash contributions for services from the QPS in relation to provision of police operational support and from Queensland State Archives </w:t>
      </w:r>
      <w:r w:rsidR="00076199" w:rsidRPr="00DF3006">
        <w:rPr>
          <w:color w:val="414042" w:themeColor="text1"/>
        </w:rPr>
        <w:t>(</w:t>
      </w:r>
      <w:proofErr w:type="spellStart"/>
      <w:r w:rsidR="00076199" w:rsidRPr="00DF3006">
        <w:rPr>
          <w:color w:val="414042" w:themeColor="text1"/>
        </w:rPr>
        <w:t>QSA</w:t>
      </w:r>
      <w:proofErr w:type="spellEnd"/>
      <w:r w:rsidR="00076199" w:rsidRPr="00DF3006">
        <w:rPr>
          <w:color w:val="414042" w:themeColor="text1"/>
        </w:rPr>
        <w:t xml:space="preserve">) </w:t>
      </w:r>
      <w:r w:rsidRPr="00DF3006">
        <w:rPr>
          <w:color w:val="414042" w:themeColor="text1"/>
        </w:rPr>
        <w:t>in relation to archival services.</w:t>
      </w:r>
    </w:p>
    <w:p w14:paraId="01ED2DFB" w14:textId="77777777" w:rsidR="00DF252A" w:rsidRPr="00DF3006" w:rsidRDefault="00DF252A" w:rsidP="000E3EE7">
      <w:pPr>
        <w:rPr>
          <w:color w:val="414042" w:themeColor="text1"/>
        </w:rPr>
      </w:pPr>
      <w:r w:rsidRPr="00DF3006">
        <w:rPr>
          <w:color w:val="414042" w:themeColor="text1"/>
        </w:rPr>
        <w:t>In accordance with government policy, we recognise these services both as revenue and expenditure only if the services would have been purchased, had they not been donated, and if their fair value can be measured reliably.</w:t>
      </w:r>
    </w:p>
    <w:p w14:paraId="03099F8C" w14:textId="77777777" w:rsidR="00DF252A" w:rsidRPr="00DF3006" w:rsidRDefault="00DF252A" w:rsidP="00463FBB">
      <w:pPr>
        <w:pStyle w:val="Heading4"/>
      </w:pPr>
      <w:bookmarkStart w:id="982" w:name="_Toc102037894"/>
      <w:bookmarkStart w:id="983" w:name="_Toc102038255"/>
      <w:bookmarkStart w:id="984" w:name="_Toc102038616"/>
      <w:bookmarkStart w:id="985" w:name="_Toc102038968"/>
      <w:bookmarkStart w:id="986" w:name="_Toc102039320"/>
      <w:bookmarkStart w:id="987" w:name="_Toc102039682"/>
      <w:bookmarkStart w:id="988" w:name="_Toc102040039"/>
      <w:bookmarkStart w:id="989" w:name="_Toc102040367"/>
      <w:bookmarkStart w:id="990" w:name="_Toc102040701"/>
      <w:bookmarkStart w:id="991" w:name="_Toc102041029"/>
      <w:bookmarkStart w:id="992" w:name="_Toc102041358"/>
      <w:bookmarkStart w:id="993" w:name="_Toc102041690"/>
      <w:bookmarkStart w:id="994" w:name="_Toc102042017"/>
      <w:bookmarkStart w:id="995" w:name="_Toc102042347"/>
      <w:bookmarkStart w:id="996" w:name="_Toc102045477"/>
      <w:r w:rsidRPr="00DF3006">
        <w:t>Additional funding</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bookmarkEnd w:id="981"/>
    <w:p w14:paraId="6B1C4EB4" w14:textId="1E5190A8" w:rsidR="000E3EE7" w:rsidRPr="00DF3006" w:rsidRDefault="00DF252A" w:rsidP="000E3EE7">
      <w:pPr>
        <w:rPr>
          <w:color w:val="414042" w:themeColor="text1"/>
        </w:rPr>
      </w:pPr>
      <w:r w:rsidRPr="00DF3006">
        <w:rPr>
          <w:color w:val="414042" w:themeColor="text1"/>
        </w:rPr>
        <w:t>During 2022–23, the CCC received ongoing funding for enterprise bargaining adjustments, to continue crime hearings, to significantly enhance the processing of digital evidence and intelligence analysis and provide for a contemporary information security platform. The CCC also received $950,000 in new funding to</w:t>
      </w:r>
      <w:r w:rsidR="00A221BE" w:rsidRPr="00DF3006">
        <w:rPr>
          <w:color w:val="414042" w:themeColor="text1"/>
        </w:rPr>
        <w:t xml:space="preserve"> assist in</w:t>
      </w:r>
      <w:r w:rsidRPr="00DF3006">
        <w:rPr>
          <w:color w:val="414042" w:themeColor="text1"/>
        </w:rPr>
        <w:t xml:space="preserve"> implement</w:t>
      </w:r>
      <w:r w:rsidR="00A221BE" w:rsidRPr="00DF3006">
        <w:rPr>
          <w:color w:val="414042" w:themeColor="text1"/>
        </w:rPr>
        <w:t>ing</w:t>
      </w:r>
      <w:r w:rsidRPr="00DF3006">
        <w:rPr>
          <w:color w:val="414042" w:themeColor="text1"/>
        </w:rPr>
        <w:t xml:space="preserve"> the recommendations from the </w:t>
      </w:r>
      <w:r w:rsidRPr="00DF3006">
        <w:rPr>
          <w:i/>
          <w:iCs/>
          <w:color w:val="414042" w:themeColor="text1"/>
        </w:rPr>
        <w:t>Fitzgerald/Wilson Inquiry</w:t>
      </w:r>
      <w:r w:rsidRPr="00DF3006">
        <w:rPr>
          <w:color w:val="414042" w:themeColor="text1"/>
        </w:rPr>
        <w:t>.</w:t>
      </w:r>
      <w:bookmarkStart w:id="997" w:name="_Toc102037895"/>
      <w:bookmarkStart w:id="998" w:name="_Toc102038256"/>
      <w:bookmarkStart w:id="999" w:name="_Toc102038617"/>
      <w:bookmarkStart w:id="1000" w:name="_Toc102038969"/>
      <w:bookmarkStart w:id="1001" w:name="_Toc102039321"/>
      <w:bookmarkStart w:id="1002" w:name="_Toc102039683"/>
      <w:bookmarkStart w:id="1003" w:name="_Toc102040040"/>
      <w:bookmarkStart w:id="1004" w:name="_Toc102040368"/>
      <w:bookmarkStart w:id="1005" w:name="_Toc102040702"/>
      <w:bookmarkStart w:id="1006" w:name="_Toc102041030"/>
      <w:bookmarkStart w:id="1007" w:name="_Toc102041359"/>
      <w:bookmarkStart w:id="1008" w:name="_Toc102041691"/>
      <w:bookmarkStart w:id="1009" w:name="_Toc102042018"/>
      <w:bookmarkStart w:id="1010" w:name="_Toc102042348"/>
      <w:bookmarkStart w:id="1011" w:name="_Toc102045478"/>
      <w:bookmarkStart w:id="1012" w:name="_Hlk74302855"/>
    </w:p>
    <w:p w14:paraId="233A7B88" w14:textId="02304555" w:rsidR="000E3EE7" w:rsidRPr="00DF3006" w:rsidRDefault="000E3EE7" w:rsidP="000C6A20">
      <w:pPr>
        <w:spacing w:before="240"/>
        <w:rPr>
          <w:i/>
          <w:color w:val="414042" w:themeColor="text1"/>
          <w:szCs w:val="20"/>
        </w:rPr>
        <w:sectPr w:rsidR="000E3EE7" w:rsidRPr="00DF3006" w:rsidSect="00C77834">
          <w:type w:val="continuous"/>
          <w:pgSz w:w="11906" w:h="16838" w:code="9"/>
          <w:pgMar w:top="2155" w:right="1134" w:bottom="964" w:left="1134" w:header="720" w:footer="284" w:gutter="0"/>
          <w:cols w:num="2" w:space="567"/>
          <w:noEndnote/>
          <w:docGrid w:linePitch="272"/>
        </w:sectPr>
      </w:pPr>
      <w:r w:rsidRPr="00DF3006">
        <w:rPr>
          <w:i/>
          <w:color w:val="414042" w:themeColor="text1"/>
          <w:szCs w:val="20"/>
        </w:rPr>
        <w:t xml:space="preserve">A detailed view of our financial performance is provided in the Financial Statements (see page </w:t>
      </w:r>
      <w:r w:rsidR="0054315C" w:rsidRPr="00DF3006">
        <w:rPr>
          <w:i/>
          <w:color w:val="414042" w:themeColor="text1"/>
          <w:szCs w:val="20"/>
        </w:rPr>
        <w:t>81–116</w:t>
      </w:r>
      <w:r w:rsidRPr="00DF3006">
        <w:rPr>
          <w:i/>
          <w:color w:val="414042" w:themeColor="text1"/>
          <w:szCs w:val="20"/>
        </w:rPr>
        <w:t>).</w:t>
      </w:r>
    </w:p>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14:paraId="3DB40997" w14:textId="77777777" w:rsidR="000E3EE7" w:rsidRPr="00DF3006" w:rsidRDefault="000E3EE7" w:rsidP="000E3EE7">
      <w:pPr>
        <w:rPr>
          <w:color w:val="414042" w:themeColor="text1"/>
          <w:sz w:val="16"/>
          <w:szCs w:val="18"/>
        </w:rPr>
      </w:pPr>
    </w:p>
    <w:p w14:paraId="15A1C754" w14:textId="569507A4" w:rsidR="00DF252A" w:rsidRPr="00DF3006" w:rsidRDefault="00DF252A" w:rsidP="00463FBB">
      <w:pPr>
        <w:pStyle w:val="Heading4b"/>
      </w:pPr>
      <w:r w:rsidRPr="00DF3006">
        <w:t>Figure 16: Financial results 201</w:t>
      </w:r>
      <w:r w:rsidR="00EA095E" w:rsidRPr="00DF3006">
        <w:t>8</w:t>
      </w:r>
      <w:r w:rsidRPr="00DF3006">
        <w:t>–1</w:t>
      </w:r>
      <w:r w:rsidR="00EA095E" w:rsidRPr="00DF3006">
        <w:t>9</w:t>
      </w:r>
      <w:r w:rsidRPr="00DF3006">
        <w:t xml:space="preserve"> to 2022–23 ($ million)</w:t>
      </w:r>
    </w:p>
    <w:p w14:paraId="7A6892D1" w14:textId="5C1594D2" w:rsidR="00DF252A" w:rsidRPr="00DF3006" w:rsidRDefault="00801E36" w:rsidP="00801E36">
      <w:pPr>
        <w:rPr>
          <w:color w:val="414042" w:themeColor="text1"/>
        </w:rPr>
      </w:pPr>
      <w:r w:rsidRPr="00DF3006">
        <w:rPr>
          <w:noProof/>
          <w:color w:val="414042" w:themeColor="text1"/>
        </w:rPr>
        <w:drawing>
          <wp:inline distT="0" distB="0" distL="0" distR="0" wp14:anchorId="3EBE3E61" wp14:editId="656F35E0">
            <wp:extent cx="6189785" cy="2971800"/>
            <wp:effectExtent l="0" t="0" r="0" b="0"/>
            <wp:docPr id="1" name="Chart 1">
              <a:extLst xmlns:a="http://schemas.openxmlformats.org/drawingml/2006/main">
                <a:ext uri="{FF2B5EF4-FFF2-40B4-BE49-F238E27FC236}">
                  <a16:creationId xmlns:a16="http://schemas.microsoft.com/office/drawing/2014/main" id="{217217F5-4CFE-4CF0-84D3-B653D8959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bookmarkEnd w:id="1012"/>
    <w:p w14:paraId="49790F8D" w14:textId="77777777" w:rsidR="00DF252A" w:rsidRPr="00DF3006" w:rsidRDefault="00DF252A" w:rsidP="00DF252A">
      <w:pPr>
        <w:rPr>
          <w:color w:val="414042" w:themeColor="text1"/>
          <w:lang w:eastAsia="en-AU"/>
        </w:rPr>
        <w:sectPr w:rsidR="00DF252A" w:rsidRPr="00DF3006" w:rsidSect="00C77834">
          <w:type w:val="continuous"/>
          <w:pgSz w:w="11906" w:h="16838" w:code="9"/>
          <w:pgMar w:top="2155" w:right="1134" w:bottom="964" w:left="1134" w:header="720" w:footer="284" w:gutter="0"/>
          <w:cols w:space="567"/>
          <w:noEndnote/>
          <w:docGrid w:linePitch="272"/>
        </w:sectPr>
      </w:pPr>
    </w:p>
    <w:p w14:paraId="40762841" w14:textId="6D0B3934" w:rsidR="00DF252A" w:rsidRPr="00DF3006" w:rsidRDefault="00DF252A" w:rsidP="00E6066A">
      <w:pPr>
        <w:pStyle w:val="Heading3"/>
      </w:pPr>
      <w:bookmarkStart w:id="1013" w:name="_Toc102037896"/>
      <w:bookmarkStart w:id="1014" w:name="_Toc102038257"/>
      <w:bookmarkStart w:id="1015" w:name="_Toc102038618"/>
      <w:bookmarkStart w:id="1016" w:name="_Toc102038970"/>
      <w:bookmarkStart w:id="1017" w:name="_Toc102039322"/>
      <w:bookmarkStart w:id="1018" w:name="_Toc102039684"/>
      <w:bookmarkStart w:id="1019" w:name="_Toc102040041"/>
      <w:bookmarkStart w:id="1020" w:name="_Toc102040369"/>
      <w:bookmarkStart w:id="1021" w:name="_Toc102040703"/>
      <w:bookmarkStart w:id="1022" w:name="_Toc102041031"/>
      <w:bookmarkStart w:id="1023" w:name="_Toc102041360"/>
      <w:bookmarkStart w:id="1024" w:name="_Toc102041692"/>
      <w:bookmarkStart w:id="1025" w:name="_Toc102042019"/>
      <w:bookmarkStart w:id="1026" w:name="_Toc102042349"/>
      <w:bookmarkStart w:id="1027" w:name="_Toc102045479"/>
      <w:r w:rsidRPr="00DF3006">
        <w:lastRenderedPageBreak/>
        <w:t>Expenditure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0FF32813" w14:textId="313D365E" w:rsidR="00DF252A" w:rsidRPr="00DF3006" w:rsidRDefault="00DF252A" w:rsidP="00DF252A">
      <w:pPr>
        <w:rPr>
          <w:color w:val="414042" w:themeColor="text1"/>
        </w:rPr>
      </w:pPr>
      <w:r w:rsidRPr="00DF3006">
        <w:rPr>
          <w:color w:val="414042" w:themeColor="text1"/>
        </w:rPr>
        <w:t xml:space="preserve">Total expenditure for 2022–23 was $63.132 million, a decrease of 4.40 per cent or $2.898 million from the 2021–22 financial year. This is mainly due to increased employee vacancies due to labour market pressures and reduced operating expenditure as result of capacity issues. </w:t>
      </w:r>
      <w:r w:rsidR="0078187A" w:rsidRPr="00DF3006">
        <w:rPr>
          <w:color w:val="414042" w:themeColor="text1"/>
        </w:rPr>
        <w:t>Employee expenditure decreased by 1.0 per cent or $0.476 million over the previous year due to increased employee vacancies.</w:t>
      </w:r>
    </w:p>
    <w:p w14:paraId="7E5507F0" w14:textId="22F33331" w:rsidR="00DF252A" w:rsidRPr="00DF3006" w:rsidRDefault="00DF252A" w:rsidP="00DF252A">
      <w:pPr>
        <w:rPr>
          <w:color w:val="414042" w:themeColor="text1"/>
        </w:rPr>
      </w:pPr>
      <w:r w:rsidRPr="00DF3006">
        <w:rPr>
          <w:color w:val="414042" w:themeColor="text1"/>
        </w:rPr>
        <w:t>The CCC spent $14.209 million for supplies and services expenditure in 2022–23, compared to $14.482 million in 2021–22. This is a decrease of 1.9 per cent or $0.273 million from the previous year and is mainly due to lower expenditure incurred on specialist contractor services utilised to deliver the digital projects, including cloud infrastructure transition.</w:t>
      </w:r>
    </w:p>
    <w:p w14:paraId="65A721CF" w14:textId="09473C30" w:rsidR="00D914EB" w:rsidRPr="00DF3006" w:rsidRDefault="00D914EB" w:rsidP="00D914EB">
      <w:pPr>
        <w:rPr>
          <w:color w:val="414042" w:themeColor="text1"/>
        </w:rPr>
      </w:pPr>
      <w:r w:rsidRPr="00DF3006">
        <w:rPr>
          <w:color w:val="414042" w:themeColor="text1"/>
        </w:rPr>
        <w:t xml:space="preserve">Payments for office accommodation are the highest category of supplies and services expenditure at </w:t>
      </w:r>
      <w:r w:rsidRPr="00DF3006">
        <w:rPr>
          <w:color w:val="414042" w:themeColor="text1"/>
        </w:rPr>
        <w:br/>
        <w:t xml:space="preserve">$3.517 million or 24.8 per cent of total supplies </w:t>
      </w:r>
      <w:r w:rsidRPr="00DF3006">
        <w:rPr>
          <w:color w:val="414042" w:themeColor="text1"/>
        </w:rPr>
        <w:br/>
        <w:t>and services expenditure. Consultant and contractor costs at $2.212 million or 15.6 per cent for various services are the second highest category of expenditure. Information technology hardware and software maintenance at $1.964 million or 13.8 per cent</w:t>
      </w:r>
      <w:r w:rsidRPr="00DF3006" w:rsidDel="00FF4970">
        <w:rPr>
          <w:color w:val="414042" w:themeColor="text1"/>
        </w:rPr>
        <w:t xml:space="preserve"> </w:t>
      </w:r>
      <w:r w:rsidRPr="00DF3006">
        <w:rPr>
          <w:color w:val="414042" w:themeColor="text1"/>
        </w:rPr>
        <w:t>for various services are the third highest category of expenditure, followed by telecommunications and access costs at $1.668 million or 11.7 per cent.</w:t>
      </w:r>
    </w:p>
    <w:p w14:paraId="6E63802E" w14:textId="66FFAE73" w:rsidR="00DF252A" w:rsidRPr="00DF3006" w:rsidRDefault="00DF252A" w:rsidP="00DF252A">
      <w:pPr>
        <w:rPr>
          <w:b/>
          <w:bCs/>
          <w:color w:val="414042" w:themeColor="text1"/>
        </w:rPr>
      </w:pPr>
      <w:r w:rsidRPr="00DF3006">
        <w:rPr>
          <w:color w:val="414042" w:themeColor="text1"/>
        </w:rPr>
        <w:t>All other expenditure remained relatively consistent with the previous financial year.</w:t>
      </w:r>
    </w:p>
    <w:p w14:paraId="7A3967D5" w14:textId="28F8F817" w:rsidR="00DF252A" w:rsidRPr="00DF3006" w:rsidRDefault="0052444E" w:rsidP="00E6066A">
      <w:pPr>
        <w:pStyle w:val="Heading3"/>
      </w:pPr>
      <w:bookmarkStart w:id="1028" w:name="_Toc102037897"/>
      <w:bookmarkStart w:id="1029" w:name="_Toc102038258"/>
      <w:bookmarkStart w:id="1030" w:name="_Toc102038619"/>
      <w:bookmarkStart w:id="1031" w:name="_Toc102038971"/>
      <w:bookmarkStart w:id="1032" w:name="_Toc102039323"/>
      <w:bookmarkStart w:id="1033" w:name="_Toc102039685"/>
      <w:bookmarkStart w:id="1034" w:name="_Toc102040042"/>
      <w:bookmarkStart w:id="1035" w:name="_Toc102040370"/>
      <w:bookmarkStart w:id="1036" w:name="_Toc102040704"/>
      <w:bookmarkStart w:id="1037" w:name="_Toc102041032"/>
      <w:bookmarkStart w:id="1038" w:name="_Toc102041361"/>
      <w:bookmarkStart w:id="1039" w:name="_Toc102041693"/>
      <w:bookmarkStart w:id="1040" w:name="_Toc102042020"/>
      <w:bookmarkStart w:id="1041" w:name="_Toc102042350"/>
      <w:bookmarkStart w:id="1042" w:name="_Toc102045480"/>
      <w:r w:rsidRPr="00DF3006">
        <w:rPr>
          <w:rStyle w:val="Heading4Char"/>
        </w:rPr>
        <w:drawing>
          <wp:anchor distT="0" distB="0" distL="114300" distR="114300" simplePos="0" relativeHeight="252362752" behindDoc="0" locked="0" layoutInCell="1" allowOverlap="1" wp14:anchorId="3364B20A" wp14:editId="10A7E325">
            <wp:simplePos x="0" y="0"/>
            <wp:positionH relativeFrom="margin">
              <wp:posOffset>2799080</wp:posOffset>
            </wp:positionH>
            <wp:positionV relativeFrom="paragraph">
              <wp:posOffset>252095</wp:posOffset>
            </wp:positionV>
            <wp:extent cx="3867150" cy="2659380"/>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r w:rsidR="00DF252A" w:rsidRPr="00DF3006">
        <w:t>Financial position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075151CA" w14:textId="1E9DDB76" w:rsidR="00DF252A" w:rsidRPr="00DF3006" w:rsidRDefault="00DF252A" w:rsidP="00463FBB">
      <w:pPr>
        <w:pStyle w:val="Heading4"/>
      </w:pPr>
      <w:bookmarkStart w:id="1043" w:name="_Toc102037898"/>
      <w:bookmarkStart w:id="1044" w:name="_Toc102038259"/>
      <w:bookmarkStart w:id="1045" w:name="_Toc102038620"/>
      <w:bookmarkStart w:id="1046" w:name="_Toc102038972"/>
      <w:bookmarkStart w:id="1047" w:name="_Toc102039324"/>
      <w:bookmarkStart w:id="1048" w:name="_Toc102039686"/>
      <w:bookmarkStart w:id="1049" w:name="_Toc102040043"/>
      <w:bookmarkStart w:id="1050" w:name="_Toc102040371"/>
      <w:bookmarkStart w:id="1051" w:name="_Toc102040705"/>
      <w:bookmarkStart w:id="1052" w:name="_Toc102041033"/>
      <w:bookmarkStart w:id="1053" w:name="_Toc102041362"/>
      <w:bookmarkStart w:id="1054" w:name="_Toc102041694"/>
      <w:bookmarkStart w:id="1055" w:name="_Toc102042021"/>
      <w:bookmarkStart w:id="1056" w:name="_Toc102042351"/>
      <w:bookmarkStart w:id="1057" w:name="_Toc102045481"/>
      <w:r w:rsidRPr="00DF3006">
        <w:t xml:space="preserve">Capital </w:t>
      </w:r>
      <w:proofErr w:type="gramStart"/>
      <w:r w:rsidRPr="00DF3006">
        <w:t>acquisitions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roofErr w:type="gramEnd"/>
    </w:p>
    <w:p w14:paraId="52306FD9" w14:textId="4E0B8927" w:rsidR="003323CF" w:rsidRPr="00DF3006" w:rsidRDefault="003323CF" w:rsidP="003323CF">
      <w:pPr>
        <w:rPr>
          <w:rFonts w:ascii="Times New Roman" w:hAnsi="Times New Roman" w:cs="Times New Roman"/>
          <w:color w:val="414042" w:themeColor="text1"/>
          <w:sz w:val="24"/>
          <w:szCs w:val="24"/>
          <w:lang w:eastAsia="zh-CN"/>
        </w:rPr>
      </w:pPr>
      <w:r w:rsidRPr="00DF3006">
        <w:rPr>
          <w:noProof/>
          <w:color w:val="414042" w:themeColor="text1"/>
        </w:rPr>
        <w:t>The CCC invested $1.750 million on capital acquisitions strategy during the financial year compared to $2.120 million in 2020</w:t>
      </w:r>
      <w:r w:rsidRPr="00DF3006">
        <w:rPr>
          <w:color w:val="414042" w:themeColor="text1"/>
        </w:rPr>
        <w:t>–</w:t>
      </w:r>
      <w:r w:rsidRPr="00DF3006">
        <w:rPr>
          <w:noProof/>
          <w:color w:val="414042" w:themeColor="text1"/>
        </w:rPr>
        <w:t xml:space="preserve">21, mainly as part of the ongoing asset replacement and maintenance program in accordance with our </w:t>
      </w:r>
      <w:r w:rsidRPr="00DF3006">
        <w:rPr>
          <w:i/>
          <w:iCs/>
          <w:noProof/>
          <w:color w:val="414042" w:themeColor="text1"/>
        </w:rPr>
        <w:t>Asset Strategic Plan</w:t>
      </w:r>
      <w:r w:rsidRPr="00DF3006">
        <w:rPr>
          <w:noProof/>
          <w:color w:val="414042" w:themeColor="text1"/>
        </w:rPr>
        <w:t>.</w:t>
      </w:r>
      <w:r w:rsidRPr="00DF3006">
        <w:rPr>
          <w:rFonts w:ascii="Times New Roman" w:hAnsi="Times New Roman" w:cs="Times New Roman"/>
          <w:color w:val="414042" w:themeColor="text1"/>
          <w:sz w:val="24"/>
          <w:szCs w:val="24"/>
          <w:lang w:eastAsia="zh-CN"/>
        </w:rPr>
        <w:t xml:space="preserve"> </w:t>
      </w:r>
    </w:p>
    <w:p w14:paraId="1230EFBC" w14:textId="77777777" w:rsidR="00DF252A" w:rsidRPr="00DF3006" w:rsidRDefault="00DF252A" w:rsidP="00463FBB">
      <w:pPr>
        <w:pStyle w:val="Heading4"/>
      </w:pPr>
      <w:r w:rsidRPr="00DF3006">
        <w:t>Assets</w:t>
      </w:r>
    </w:p>
    <w:p w14:paraId="0B557325" w14:textId="4EACCF84" w:rsidR="00F906C1" w:rsidRPr="00DF3006" w:rsidRDefault="00DF252A" w:rsidP="00DF252A">
      <w:pPr>
        <w:rPr>
          <w:color w:val="414042" w:themeColor="text1"/>
        </w:rPr>
      </w:pPr>
      <w:r w:rsidRPr="00DF3006">
        <w:rPr>
          <w:color w:val="414042" w:themeColor="text1"/>
        </w:rPr>
        <w:t xml:space="preserve">As </w:t>
      </w:r>
      <w:proofErr w:type="gramStart"/>
      <w:r w:rsidRPr="00DF3006">
        <w:rPr>
          <w:color w:val="414042" w:themeColor="text1"/>
        </w:rPr>
        <w:t>at</w:t>
      </w:r>
      <w:proofErr w:type="gramEnd"/>
      <w:r w:rsidRPr="00DF3006">
        <w:rPr>
          <w:color w:val="414042" w:themeColor="text1"/>
        </w:rPr>
        <w:t xml:space="preserve"> 30 June 2023, CCC total assets were valued at $34.551 million compared to $28.481 million in </w:t>
      </w:r>
      <w:r w:rsidRPr="00DF3006">
        <w:rPr>
          <w:color w:val="414042" w:themeColor="text1"/>
        </w:rPr>
        <w:br/>
        <w:t>2020–21, a</w:t>
      </w:r>
      <w:r w:rsidR="0042092A" w:rsidRPr="00DF3006">
        <w:rPr>
          <w:color w:val="414042" w:themeColor="text1"/>
        </w:rPr>
        <w:t>n</w:t>
      </w:r>
      <w:r w:rsidRPr="00DF3006">
        <w:rPr>
          <w:color w:val="414042" w:themeColor="text1"/>
        </w:rPr>
        <w:t xml:space="preserve"> increase of $6.070 million from the previous year. The increase is mainly due to the surplus caused by </w:t>
      </w:r>
      <w:r w:rsidR="0038503E" w:rsidRPr="00DF3006">
        <w:rPr>
          <w:color w:val="414042" w:themeColor="text1"/>
        </w:rPr>
        <w:t>the decreased</w:t>
      </w:r>
      <w:r w:rsidRPr="00DF3006">
        <w:rPr>
          <w:color w:val="414042" w:themeColor="text1"/>
        </w:rPr>
        <w:t xml:space="preserve"> expenditure due to staff vacancies resulting in increased cash held. </w:t>
      </w:r>
    </w:p>
    <w:p w14:paraId="7A69B16C" w14:textId="03C72EA7" w:rsidR="00DF252A" w:rsidRPr="00DF3006" w:rsidRDefault="00DF252A" w:rsidP="00DF252A">
      <w:pPr>
        <w:rPr>
          <w:color w:val="414042" w:themeColor="text1"/>
        </w:rPr>
      </w:pPr>
      <w:r w:rsidRPr="00DF3006">
        <w:rPr>
          <w:color w:val="414042" w:themeColor="text1"/>
        </w:rPr>
        <w:br w:type="column"/>
      </w:r>
    </w:p>
    <w:p w14:paraId="43C869EE" w14:textId="77777777" w:rsidR="00DF252A" w:rsidRPr="00DF3006" w:rsidRDefault="00DF252A" w:rsidP="00463FBB">
      <w:pPr>
        <w:pStyle w:val="Heading4"/>
      </w:pPr>
      <w:bookmarkStart w:id="1058" w:name="_Toc102037900"/>
      <w:bookmarkStart w:id="1059" w:name="_Toc102038261"/>
      <w:bookmarkStart w:id="1060" w:name="_Toc102038622"/>
      <w:bookmarkStart w:id="1061" w:name="_Toc102038974"/>
      <w:bookmarkStart w:id="1062" w:name="_Toc102039326"/>
      <w:bookmarkStart w:id="1063" w:name="_Toc102039688"/>
      <w:bookmarkStart w:id="1064" w:name="_Toc102040045"/>
      <w:bookmarkStart w:id="1065" w:name="_Toc102040373"/>
      <w:bookmarkStart w:id="1066" w:name="_Toc102040707"/>
      <w:bookmarkStart w:id="1067" w:name="_Toc102041035"/>
      <w:bookmarkStart w:id="1068" w:name="_Toc102041364"/>
      <w:bookmarkStart w:id="1069" w:name="_Toc102041696"/>
      <w:bookmarkStart w:id="1070" w:name="_Toc102042023"/>
      <w:bookmarkStart w:id="1071" w:name="_Toc102042353"/>
      <w:bookmarkStart w:id="1072" w:name="_Toc102045483"/>
      <w:r w:rsidRPr="00DF3006">
        <w:t>Liabilities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7A94A64D" w14:textId="77777777" w:rsidR="00DF252A" w:rsidRPr="00DF3006" w:rsidRDefault="00DF252A" w:rsidP="00DF252A">
      <w:pPr>
        <w:rPr>
          <w:b/>
          <w:bCs/>
          <w:color w:val="414042" w:themeColor="text1"/>
          <w:spacing w:val="-4"/>
        </w:rPr>
      </w:pPr>
      <w:r w:rsidRPr="00DF3006">
        <w:rPr>
          <w:color w:val="414042" w:themeColor="text1"/>
          <w:spacing w:val="-4"/>
        </w:rPr>
        <w:t xml:space="preserve">As </w:t>
      </w:r>
      <w:proofErr w:type="gramStart"/>
      <w:r w:rsidRPr="00DF3006">
        <w:rPr>
          <w:color w:val="414042" w:themeColor="text1"/>
          <w:spacing w:val="-4"/>
        </w:rPr>
        <w:t>at</w:t>
      </w:r>
      <w:proofErr w:type="gramEnd"/>
      <w:r w:rsidRPr="00DF3006">
        <w:rPr>
          <w:color w:val="414042" w:themeColor="text1"/>
          <w:spacing w:val="-4"/>
        </w:rPr>
        <w:t xml:space="preserve"> 30 June 2023, the CCC’s liabilities were valued at $4.540 million compared to $4.659 million in the previous year. This decrease of $0.119 million relates to payables and accrued employee benefits offset by increased lease liabilities due to a lease extension.</w:t>
      </w:r>
    </w:p>
    <w:p w14:paraId="33BCC5D2" w14:textId="77777777" w:rsidR="00DF252A" w:rsidRPr="00DF3006" w:rsidRDefault="00DF252A" w:rsidP="00463FBB">
      <w:pPr>
        <w:pStyle w:val="Heading4"/>
      </w:pPr>
      <w:bookmarkStart w:id="1073" w:name="_Toc102037901"/>
      <w:bookmarkStart w:id="1074" w:name="_Toc102038262"/>
      <w:bookmarkStart w:id="1075" w:name="_Toc102038623"/>
      <w:bookmarkStart w:id="1076" w:name="_Toc102038975"/>
      <w:bookmarkStart w:id="1077" w:name="_Toc102039327"/>
      <w:bookmarkStart w:id="1078" w:name="_Toc102039689"/>
      <w:bookmarkStart w:id="1079" w:name="_Toc102040046"/>
      <w:bookmarkStart w:id="1080" w:name="_Toc102040374"/>
      <w:bookmarkStart w:id="1081" w:name="_Toc102040708"/>
      <w:bookmarkStart w:id="1082" w:name="_Toc102041036"/>
      <w:bookmarkStart w:id="1083" w:name="_Toc102041365"/>
      <w:bookmarkStart w:id="1084" w:name="_Toc102041697"/>
      <w:bookmarkStart w:id="1085" w:name="_Toc102042024"/>
      <w:bookmarkStart w:id="1086" w:name="_Toc102042354"/>
      <w:bookmarkStart w:id="1087" w:name="_Toc102045484"/>
      <w:r w:rsidRPr="00DF3006">
        <w:t>Net equity</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BFDC7DA" w14:textId="7C98A357" w:rsidR="00DF252A" w:rsidRPr="00DF3006" w:rsidRDefault="00DF252A" w:rsidP="00DF252A">
      <w:pPr>
        <w:rPr>
          <w:b/>
          <w:bCs/>
          <w:color w:val="414042" w:themeColor="text1"/>
        </w:rPr>
      </w:pPr>
      <w:r w:rsidRPr="00DF3006">
        <w:rPr>
          <w:color w:val="414042" w:themeColor="text1"/>
        </w:rPr>
        <w:t xml:space="preserve">As </w:t>
      </w:r>
      <w:proofErr w:type="gramStart"/>
      <w:r w:rsidRPr="00DF3006">
        <w:rPr>
          <w:color w:val="414042" w:themeColor="text1"/>
        </w:rPr>
        <w:t>at</w:t>
      </w:r>
      <w:proofErr w:type="gramEnd"/>
      <w:r w:rsidRPr="00DF3006">
        <w:rPr>
          <w:color w:val="414042" w:themeColor="text1"/>
        </w:rPr>
        <w:t xml:space="preserve"> 30 June 2023, our equity was valued at $30.011 million. This is a</w:t>
      </w:r>
      <w:r w:rsidR="0042092A" w:rsidRPr="00DF3006">
        <w:rPr>
          <w:color w:val="414042" w:themeColor="text1"/>
        </w:rPr>
        <w:t>n</w:t>
      </w:r>
      <w:r w:rsidRPr="00DF3006">
        <w:rPr>
          <w:color w:val="414042" w:themeColor="text1"/>
        </w:rPr>
        <w:t xml:space="preserve"> increase of $6.341 million or 26.90 per cent, due to the surplus from 2022–23.</w:t>
      </w:r>
    </w:p>
    <w:p w14:paraId="01E8E9BD" w14:textId="77777777" w:rsidR="00DF252A" w:rsidRPr="00DF3006" w:rsidRDefault="00DF252A" w:rsidP="00463FBB">
      <w:pPr>
        <w:pStyle w:val="Heading4"/>
      </w:pPr>
      <w:bookmarkStart w:id="1088" w:name="_Toc102037902"/>
      <w:bookmarkStart w:id="1089" w:name="_Toc102038263"/>
      <w:bookmarkStart w:id="1090" w:name="_Toc102038624"/>
      <w:bookmarkStart w:id="1091" w:name="_Toc102038976"/>
      <w:bookmarkStart w:id="1092" w:name="_Toc102039328"/>
      <w:bookmarkStart w:id="1093" w:name="_Toc102039690"/>
      <w:bookmarkStart w:id="1094" w:name="_Toc102040047"/>
      <w:bookmarkStart w:id="1095" w:name="_Toc102040375"/>
      <w:bookmarkStart w:id="1096" w:name="_Toc102040709"/>
      <w:bookmarkStart w:id="1097" w:name="_Toc102041037"/>
      <w:bookmarkStart w:id="1098" w:name="_Toc102041366"/>
      <w:bookmarkStart w:id="1099" w:name="_Toc102041698"/>
      <w:bookmarkStart w:id="1100" w:name="_Toc102042025"/>
      <w:bookmarkStart w:id="1101" w:name="_Toc102042355"/>
      <w:bookmarkStart w:id="1102" w:name="_Toc102045485"/>
      <w:r w:rsidRPr="00DF3006">
        <w:t>Current ratio</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5F5BAEBB" w14:textId="796C139E" w:rsidR="00DF252A" w:rsidRPr="00DF3006" w:rsidRDefault="00DF252A" w:rsidP="00DF252A">
      <w:pPr>
        <w:rPr>
          <w:color w:val="414042" w:themeColor="text1"/>
        </w:rPr>
      </w:pPr>
      <w:r w:rsidRPr="00DF3006">
        <w:rPr>
          <w:color w:val="414042" w:themeColor="text1"/>
        </w:rPr>
        <w:t xml:space="preserve">As </w:t>
      </w:r>
      <w:proofErr w:type="gramStart"/>
      <w:r w:rsidRPr="00DF3006">
        <w:rPr>
          <w:color w:val="414042" w:themeColor="text1"/>
        </w:rPr>
        <w:t>at</w:t>
      </w:r>
      <w:proofErr w:type="gramEnd"/>
      <w:r w:rsidRPr="00DF3006">
        <w:rPr>
          <w:color w:val="414042" w:themeColor="text1"/>
        </w:rPr>
        <w:t xml:space="preserve"> 30 June 2023, the CCC’s current ratio is 7.62 (against a minimum benchmark of 1.0). Current ratio indicates the financial health of an entity — its ability to meet short-term debts.</w:t>
      </w:r>
    </w:p>
    <w:p w14:paraId="2F4D64F4" w14:textId="56BF96AB" w:rsidR="00B9178A" w:rsidRPr="00DF3006" w:rsidRDefault="00B9178A" w:rsidP="00463FBB">
      <w:pPr>
        <w:pStyle w:val="Heading4b"/>
      </w:pPr>
      <w:r w:rsidRPr="00DF3006">
        <w:t>Figure 17: Revenue and Expenditure</w:t>
      </w:r>
    </w:p>
    <w:p w14:paraId="2FBA7C28" w14:textId="192C2A5D" w:rsidR="00B9178A" w:rsidRPr="00DF3006" w:rsidRDefault="00B9178A" w:rsidP="00DF252A">
      <w:pPr>
        <w:rPr>
          <w:color w:val="414042" w:themeColor="text1"/>
        </w:rPr>
      </w:pPr>
      <w:r w:rsidRPr="00DF3006">
        <w:rPr>
          <w:rStyle w:val="Heading4Char"/>
          <w:noProof/>
        </w:rPr>
        <w:drawing>
          <wp:anchor distT="0" distB="0" distL="114300" distR="114300" simplePos="0" relativeHeight="252361728" behindDoc="0" locked="0" layoutInCell="1" allowOverlap="1" wp14:anchorId="24456D51" wp14:editId="0EE1A3C3">
            <wp:simplePos x="0" y="0"/>
            <wp:positionH relativeFrom="margin">
              <wp:posOffset>3209925</wp:posOffset>
            </wp:positionH>
            <wp:positionV relativeFrom="paragraph">
              <wp:posOffset>63500</wp:posOffset>
            </wp:positionV>
            <wp:extent cx="3005924" cy="2235200"/>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14:paraId="68117A21" w14:textId="47269F4F" w:rsidR="00B9178A" w:rsidRPr="00DF3006" w:rsidRDefault="00B9178A" w:rsidP="00DF252A">
      <w:pPr>
        <w:rPr>
          <w:color w:val="414042" w:themeColor="text1"/>
        </w:rPr>
        <w:sectPr w:rsidR="00B9178A" w:rsidRPr="00DF3006" w:rsidSect="00C77834">
          <w:headerReference w:type="even" r:id="rId139"/>
          <w:headerReference w:type="default" r:id="rId140"/>
          <w:headerReference w:type="first" r:id="rId141"/>
          <w:type w:val="continuous"/>
          <w:pgSz w:w="11906" w:h="16838" w:code="9"/>
          <w:pgMar w:top="2155" w:right="1134" w:bottom="964" w:left="1134" w:header="720" w:footer="284" w:gutter="0"/>
          <w:cols w:num="2" w:space="567"/>
          <w:noEndnote/>
          <w:docGrid w:linePitch="272"/>
        </w:sectPr>
      </w:pPr>
    </w:p>
    <w:p w14:paraId="1F2759BB" w14:textId="77777777" w:rsidR="00B9178A" w:rsidRPr="00DF3006" w:rsidRDefault="00B9178A" w:rsidP="00E06CEA">
      <w:pPr>
        <w:pStyle w:val="Heading2"/>
        <w:tabs>
          <w:tab w:val="right" w:pos="9638"/>
        </w:tabs>
      </w:pPr>
      <w:bookmarkStart w:id="1103" w:name="_External_inquiries_and_1"/>
      <w:bookmarkStart w:id="1104" w:name="_Toc102037904"/>
      <w:bookmarkStart w:id="1105" w:name="_Toc102038265"/>
      <w:bookmarkStart w:id="1106" w:name="_Toc102038626"/>
      <w:bookmarkStart w:id="1107" w:name="_Toc102038978"/>
      <w:bookmarkStart w:id="1108" w:name="_Toc102039330"/>
      <w:bookmarkStart w:id="1109" w:name="_Toc102039692"/>
      <w:bookmarkStart w:id="1110" w:name="_Toc102040049"/>
      <w:bookmarkStart w:id="1111" w:name="_Toc102040377"/>
      <w:bookmarkStart w:id="1112" w:name="_Toc102040711"/>
      <w:bookmarkStart w:id="1113" w:name="_Toc102041039"/>
      <w:bookmarkStart w:id="1114" w:name="_Toc102041368"/>
      <w:bookmarkStart w:id="1115" w:name="_Toc102041700"/>
      <w:bookmarkStart w:id="1116" w:name="_Toc102042027"/>
      <w:bookmarkStart w:id="1117" w:name="_Toc102042357"/>
      <w:bookmarkStart w:id="1118" w:name="_Toc102045487"/>
      <w:bookmarkEnd w:id="851"/>
      <w:bookmarkEnd w:id="1103"/>
      <w:r w:rsidRPr="00DF3006">
        <w:lastRenderedPageBreak/>
        <w:t xml:space="preserve">External inquiries and reviews – ensuring accountability and </w:t>
      </w:r>
      <w:proofErr w:type="gramStart"/>
      <w:r w:rsidRPr="00DF3006">
        <w:t>transparency</w:t>
      </w:r>
      <w:proofErr w:type="gramEnd"/>
    </w:p>
    <w:p w14:paraId="2B52D951" w14:textId="33BAAB77" w:rsidR="00A9030D" w:rsidRPr="00DF3006" w:rsidRDefault="00064AD4" w:rsidP="00B9178A">
      <w:pPr>
        <w:rPr>
          <w:rFonts w:ascii="Calibri" w:eastAsia="Calibri" w:hAnsi="Calibri" w:cs="Calibri"/>
          <w:b/>
          <w:bCs/>
          <w:color w:val="414042" w:themeColor="text1"/>
          <w:spacing w:val="-6"/>
          <w:sz w:val="24"/>
          <w:szCs w:val="24"/>
          <w:lang w:val="en-US"/>
        </w:rPr>
      </w:pPr>
      <w:r w:rsidRPr="00DF3006">
        <w:rPr>
          <w:rFonts w:ascii="Calibri" w:eastAsia="Calibri" w:hAnsi="Calibri" w:cs="Calibri"/>
          <w:b/>
          <w:bCs/>
          <w:color w:val="414042" w:themeColor="text1"/>
          <w:spacing w:val="-6"/>
          <w:sz w:val="24"/>
          <w:szCs w:val="24"/>
          <w:lang w:val="en-US"/>
        </w:rPr>
        <w:t xml:space="preserve">We report on </w:t>
      </w:r>
      <w:r w:rsidR="008E0FA7" w:rsidRPr="00DF3006">
        <w:rPr>
          <w:rFonts w:ascii="Calibri" w:eastAsia="Calibri" w:hAnsi="Calibri" w:cs="Calibri"/>
          <w:b/>
          <w:bCs/>
          <w:color w:val="414042" w:themeColor="text1"/>
          <w:spacing w:val="-6"/>
          <w:sz w:val="24"/>
          <w:szCs w:val="24"/>
          <w:lang w:val="en-US"/>
        </w:rPr>
        <w:t xml:space="preserve">these </w:t>
      </w:r>
      <w:r w:rsidRPr="00DF3006">
        <w:rPr>
          <w:rFonts w:ascii="Calibri" w:eastAsia="Calibri" w:hAnsi="Calibri" w:cs="Calibri"/>
          <w:b/>
          <w:bCs/>
          <w:color w:val="414042" w:themeColor="text1"/>
          <w:spacing w:val="-6"/>
          <w:sz w:val="24"/>
          <w:szCs w:val="24"/>
          <w:lang w:val="en-US"/>
        </w:rPr>
        <w:t xml:space="preserve">as transparently as we can to demonstrate our accountability to the public. </w:t>
      </w:r>
    </w:p>
    <w:p w14:paraId="3AC63D6D" w14:textId="77777777" w:rsidR="00BB5386" w:rsidRPr="00DF3006" w:rsidRDefault="00BB5386" w:rsidP="00BB5386">
      <w:pPr>
        <w:rPr>
          <w:color w:val="414042" w:themeColor="text1"/>
        </w:rPr>
      </w:pPr>
    </w:p>
    <w:p w14:paraId="43AA2CC1" w14:textId="7B59B01D" w:rsidR="00BB5386" w:rsidRPr="00DF3006" w:rsidRDefault="00BB5386" w:rsidP="00B9178A">
      <w:pPr>
        <w:rPr>
          <w:color w:val="414042" w:themeColor="text1"/>
          <w:u w:color="E6E7E8" w:themeColor="background2"/>
        </w:rPr>
        <w:sectPr w:rsidR="00BB5386" w:rsidRPr="00DF3006" w:rsidSect="00C77834">
          <w:headerReference w:type="even" r:id="rId142"/>
          <w:headerReference w:type="default" r:id="rId143"/>
          <w:headerReference w:type="first" r:id="rId144"/>
          <w:type w:val="continuous"/>
          <w:pgSz w:w="11906" w:h="16838" w:code="9"/>
          <w:pgMar w:top="2155" w:right="1134" w:bottom="964" w:left="1134" w:header="720" w:footer="284" w:gutter="0"/>
          <w:cols w:space="567"/>
          <w:noEndnote/>
          <w:docGrid w:linePitch="272"/>
        </w:sectPr>
      </w:pPr>
    </w:p>
    <w:p w14:paraId="6D237B83" w14:textId="6E1B6C11" w:rsidR="0070429D" w:rsidRPr="00DF3006" w:rsidRDefault="0095713D" w:rsidP="0070429D">
      <w:pPr>
        <w:rPr>
          <w:bCs/>
          <w:color w:val="414042" w:themeColor="text1"/>
          <w:u w:color="E6E7E8" w:themeColor="background2"/>
        </w:rPr>
      </w:pPr>
      <w:r w:rsidRPr="00DF3006">
        <w:rPr>
          <w:rFonts w:eastAsia="Calibri" w:cs="Arial"/>
          <w:color w:val="414042" w:themeColor="text1"/>
        </w:rPr>
        <w:t xml:space="preserve">Public inquiries and reviews are an important </w:t>
      </w:r>
      <w:r w:rsidR="0070429D" w:rsidRPr="00DF3006">
        <w:rPr>
          <w:bCs/>
          <w:color w:val="414042" w:themeColor="text1"/>
          <w:u w:color="E6E7E8" w:themeColor="background2"/>
        </w:rPr>
        <w:t>avenue for independently oversighting our operations and identifying opportunities to improve them. The public expect us to implement these recommendations and publicly report on our progress.</w:t>
      </w:r>
    </w:p>
    <w:p w14:paraId="38576FB3" w14:textId="177BF7CB" w:rsidR="0070429D" w:rsidRPr="00DF3006" w:rsidRDefault="00A9030D" w:rsidP="00A9030D">
      <w:pPr>
        <w:rPr>
          <w:rFonts w:eastAsia="Calibri" w:cs="Arial"/>
          <w:color w:val="414042" w:themeColor="text1"/>
        </w:rPr>
      </w:pPr>
      <w:r w:rsidRPr="00DF3006">
        <w:rPr>
          <w:rFonts w:eastAsia="Calibri" w:cs="Arial"/>
          <w:color w:val="414042" w:themeColor="text1"/>
        </w:rPr>
        <w:t xml:space="preserve">Over the last 12 months, multiple </w:t>
      </w:r>
      <w:proofErr w:type="gramStart"/>
      <w:r w:rsidRPr="00DF3006">
        <w:rPr>
          <w:rFonts w:eastAsia="Calibri" w:cs="Arial"/>
          <w:color w:val="414042" w:themeColor="text1"/>
        </w:rPr>
        <w:t>inquiries</w:t>
      </w:r>
      <w:proofErr w:type="gramEnd"/>
      <w:r w:rsidRPr="00DF3006">
        <w:rPr>
          <w:rFonts w:eastAsia="Calibri" w:cs="Arial"/>
          <w:color w:val="414042" w:themeColor="text1"/>
        </w:rPr>
        <w:t xml:space="preserve"> and reviews with direct relevance to the CCC have commenced or been finalised. </w:t>
      </w:r>
      <w:r w:rsidR="0070429D" w:rsidRPr="00DF3006">
        <w:rPr>
          <w:bCs/>
          <w:color w:val="414042" w:themeColor="text1"/>
          <w:u w:color="E6E7E8" w:themeColor="background2"/>
        </w:rPr>
        <w:t xml:space="preserve">We have carefully considered the recommendations made by inquiries and external </w:t>
      </w:r>
      <w:r w:rsidR="0038503E" w:rsidRPr="00DF3006">
        <w:rPr>
          <w:bCs/>
          <w:color w:val="414042" w:themeColor="text1"/>
          <w:u w:color="E6E7E8" w:themeColor="background2"/>
        </w:rPr>
        <w:t>reviews,</w:t>
      </w:r>
      <w:r w:rsidR="0070429D" w:rsidRPr="00DF3006">
        <w:rPr>
          <w:bCs/>
          <w:color w:val="414042" w:themeColor="text1"/>
          <w:u w:color="E6E7E8" w:themeColor="background2"/>
        </w:rPr>
        <w:t xml:space="preserve"> both those focused on the operation of the CCC directly and those relating to parts of the integrity system that the CCC intersects with. While the reviews have largely focused on our corruption function, we will leverage the benefits of these reforms in our other functions, where appropriate.</w:t>
      </w:r>
    </w:p>
    <w:p w14:paraId="0FC1A3AA" w14:textId="44F33928" w:rsidR="00A9030D" w:rsidRPr="00DF3006" w:rsidRDefault="00A9030D" w:rsidP="00A9030D">
      <w:pPr>
        <w:rPr>
          <w:rFonts w:eastAsia="Calibri" w:cs="Arial"/>
          <w:color w:val="414042" w:themeColor="text1"/>
        </w:rPr>
      </w:pPr>
      <w:r w:rsidRPr="00DF3006">
        <w:rPr>
          <w:rFonts w:eastAsia="Calibri" w:cs="Arial"/>
          <w:color w:val="414042" w:themeColor="text1"/>
        </w:rPr>
        <w:t>This section provides an overview of our progress (as at the end of the reporting period) against recommendation</w:t>
      </w:r>
      <w:r w:rsidR="00491DE8" w:rsidRPr="00DF3006">
        <w:rPr>
          <w:rFonts w:eastAsia="Calibri" w:cs="Arial"/>
          <w:color w:val="414042" w:themeColor="text1"/>
        </w:rPr>
        <w:t>s</w:t>
      </w:r>
      <w:r w:rsidRPr="00DF3006">
        <w:rPr>
          <w:rFonts w:eastAsia="Calibri" w:cs="Arial"/>
          <w:color w:val="414042" w:themeColor="text1"/>
        </w:rPr>
        <w:t xml:space="preserve"> for which we have responsibility</w:t>
      </w:r>
      <w:r w:rsidR="00580FC7" w:rsidRPr="00DF3006">
        <w:rPr>
          <w:rFonts w:eastAsia="Calibri" w:cs="Arial"/>
          <w:color w:val="414042" w:themeColor="text1"/>
        </w:rPr>
        <w:t xml:space="preserve"> and</w:t>
      </w:r>
      <w:r w:rsidR="00580FC7" w:rsidRPr="00DF3006">
        <w:rPr>
          <w:color w:val="414042" w:themeColor="text1"/>
        </w:rPr>
        <w:t xml:space="preserve"> </w:t>
      </w:r>
      <w:r w:rsidR="00580FC7" w:rsidRPr="00DF3006">
        <w:rPr>
          <w:rFonts w:eastAsia="Calibri" w:cs="Arial"/>
          <w:color w:val="414042" w:themeColor="text1"/>
        </w:rPr>
        <w:t>a consolidated view of advancements we are making to create a better CCC.</w:t>
      </w:r>
    </w:p>
    <w:p w14:paraId="117F4177" w14:textId="44EF6356" w:rsidR="00527210" w:rsidRPr="00DF3006" w:rsidRDefault="00B9178A" w:rsidP="00E6066A">
      <w:pPr>
        <w:pStyle w:val="Heading3"/>
        <w:rPr>
          <w:rFonts w:eastAsia="Calibri" w:cs="Arial"/>
        </w:rPr>
      </w:pPr>
      <w:bookmarkStart w:id="1119" w:name="_External_inquiries_and"/>
      <w:bookmarkEnd w:id="1119"/>
      <w:r w:rsidRPr="00DF3006">
        <w:t xml:space="preserve">External inquiries and reviews of </w:t>
      </w:r>
      <w:r w:rsidR="00527210" w:rsidRPr="00DF3006">
        <w:t xml:space="preserve">direct relevance to </w:t>
      </w:r>
      <w:r w:rsidRPr="00DF3006">
        <w:t>the CCC</w:t>
      </w:r>
    </w:p>
    <w:p w14:paraId="75924FE8" w14:textId="6D29F027" w:rsidR="00527210" w:rsidRPr="00DF3006" w:rsidRDefault="00527210" w:rsidP="00527210">
      <w:pPr>
        <w:rPr>
          <w:rFonts w:eastAsia="Calibri" w:cs="Arial"/>
          <w:color w:val="414042" w:themeColor="text1"/>
        </w:rPr>
      </w:pPr>
      <w:r w:rsidRPr="00DF3006">
        <w:rPr>
          <w:rFonts w:eastAsia="Calibri" w:cs="Arial"/>
          <w:color w:val="414042" w:themeColor="text1"/>
        </w:rPr>
        <w:t>External inquiries and reviews with direct relevance to our activities in 2022–23 include:</w:t>
      </w:r>
    </w:p>
    <w:p w14:paraId="09107EAE" w14:textId="77777777" w:rsidR="00527210" w:rsidRPr="00DF3006" w:rsidRDefault="00527210" w:rsidP="00527210">
      <w:pPr>
        <w:pStyle w:val="Bullets"/>
        <w:rPr>
          <w:bCs/>
          <w:color w:val="414042" w:themeColor="text1"/>
          <w:u w:color="E6E7E8" w:themeColor="background2"/>
        </w:rPr>
      </w:pPr>
      <w:r w:rsidRPr="00DF3006">
        <w:rPr>
          <w:bCs/>
          <w:i/>
          <w:iCs/>
          <w:color w:val="414042" w:themeColor="text1"/>
          <w:u w:color="E6E7E8" w:themeColor="background2"/>
        </w:rPr>
        <w:t xml:space="preserve">The </w:t>
      </w:r>
      <w:r w:rsidRPr="00DF3006">
        <w:rPr>
          <w:i/>
          <w:iCs/>
          <w:color w:val="414042" w:themeColor="text1"/>
        </w:rPr>
        <w:t>Commission</w:t>
      </w:r>
      <w:r w:rsidRPr="00DF3006">
        <w:rPr>
          <w:bCs/>
          <w:i/>
          <w:iCs/>
          <w:color w:val="414042" w:themeColor="text1"/>
          <w:u w:color="E6E7E8" w:themeColor="background2"/>
        </w:rPr>
        <w:t xml:space="preserve"> of Inquiry relating to the Crime and Corruption Commission</w:t>
      </w:r>
      <w:r w:rsidRPr="00DF3006">
        <w:rPr>
          <w:bCs/>
          <w:color w:val="414042" w:themeColor="text1"/>
          <w:u w:color="E6E7E8" w:themeColor="background2"/>
        </w:rPr>
        <w:t xml:space="preserve"> (</w:t>
      </w:r>
      <w:r w:rsidRPr="00DF3006">
        <w:rPr>
          <w:bCs/>
          <w:i/>
          <w:iCs/>
          <w:color w:val="414042" w:themeColor="text1"/>
          <w:u w:color="E6E7E8" w:themeColor="background2"/>
        </w:rPr>
        <w:t>Fitzgerald/Wilson Inquiry</w:t>
      </w:r>
      <w:r w:rsidRPr="00DF3006">
        <w:rPr>
          <w:bCs/>
          <w:color w:val="414042" w:themeColor="text1"/>
          <w:u w:color="E6E7E8" w:themeColor="background2"/>
        </w:rPr>
        <w:t>)</w:t>
      </w:r>
    </w:p>
    <w:p w14:paraId="33C5274B" w14:textId="77777777" w:rsidR="007C7F53" w:rsidRPr="00DF3006" w:rsidRDefault="007C7F53" w:rsidP="00527210">
      <w:pPr>
        <w:pStyle w:val="Bullets"/>
        <w:rPr>
          <w:rFonts w:eastAsia="Calibri" w:cs="Arial"/>
          <w:color w:val="414042" w:themeColor="text1"/>
        </w:rPr>
      </w:pPr>
      <w:r w:rsidRPr="00DF3006">
        <w:rPr>
          <w:i/>
          <w:iCs/>
          <w:color w:val="414042" w:themeColor="text1"/>
        </w:rPr>
        <w:t>Report</w:t>
      </w:r>
      <w:r w:rsidRPr="00DF3006">
        <w:rPr>
          <w:rFonts w:eastAsia="Calibri" w:cs="Arial"/>
          <w:i/>
          <w:iCs/>
          <w:color w:val="414042" w:themeColor="text1"/>
        </w:rPr>
        <w:t xml:space="preserve"> no. 106, 57</w:t>
      </w:r>
      <w:r w:rsidRPr="00DF3006">
        <w:rPr>
          <w:rFonts w:eastAsia="Calibri" w:cs="Arial"/>
          <w:i/>
          <w:iCs/>
          <w:color w:val="414042" w:themeColor="text1"/>
          <w:vertAlign w:val="superscript"/>
        </w:rPr>
        <w:t>th</w:t>
      </w:r>
      <w:r w:rsidRPr="00DF3006">
        <w:rPr>
          <w:rFonts w:eastAsia="Calibri" w:cs="Arial"/>
          <w:i/>
          <w:iCs/>
          <w:color w:val="414042" w:themeColor="text1"/>
        </w:rPr>
        <w:t xml:space="preserve"> Parliament PCCC: Review of the Crime and Corruption Commission’s activities</w:t>
      </w:r>
      <w:r w:rsidRPr="00DF3006">
        <w:rPr>
          <w:rFonts w:eastAsia="Calibri" w:cs="Arial"/>
          <w:color w:val="414042" w:themeColor="text1"/>
        </w:rPr>
        <w:t xml:space="preserve"> (</w:t>
      </w:r>
      <w:r w:rsidRPr="00DF3006">
        <w:rPr>
          <w:rFonts w:eastAsia="Calibri" w:cs="Arial"/>
          <w:i/>
          <w:iCs/>
          <w:color w:val="414042" w:themeColor="text1"/>
        </w:rPr>
        <w:t>Five-Year Review 2021</w:t>
      </w:r>
      <w:r w:rsidRPr="00DF3006">
        <w:rPr>
          <w:rFonts w:eastAsia="Calibri" w:cs="Arial"/>
          <w:color w:val="414042" w:themeColor="text1"/>
        </w:rPr>
        <w:t>), and</w:t>
      </w:r>
    </w:p>
    <w:p w14:paraId="07E77E9C" w14:textId="3365C28C" w:rsidR="00527210" w:rsidRPr="00DF3006" w:rsidRDefault="00527210" w:rsidP="007C7F53">
      <w:pPr>
        <w:pStyle w:val="Bullets"/>
        <w:rPr>
          <w:rFonts w:eastAsia="Calibri" w:cs="Arial"/>
          <w:color w:val="414042" w:themeColor="text1"/>
        </w:rPr>
      </w:pPr>
      <w:r w:rsidRPr="00DF3006">
        <w:rPr>
          <w:bCs/>
          <w:i/>
          <w:iCs/>
          <w:color w:val="414042" w:themeColor="text1"/>
          <w:u w:color="E6E7E8" w:themeColor="background2"/>
        </w:rPr>
        <w:t xml:space="preserve">A call for </w:t>
      </w:r>
      <w:r w:rsidRPr="00DF3006">
        <w:rPr>
          <w:i/>
          <w:iCs/>
          <w:color w:val="414042" w:themeColor="text1"/>
        </w:rPr>
        <w:t>change</w:t>
      </w:r>
      <w:r w:rsidRPr="00DF3006">
        <w:rPr>
          <w:bCs/>
          <w:i/>
          <w:iCs/>
          <w:color w:val="414042" w:themeColor="text1"/>
          <w:u w:color="E6E7E8" w:themeColor="background2"/>
        </w:rPr>
        <w:t>: Independent Commission of Inquiry into Queensland Police Service responses to domestic and family violence</w:t>
      </w:r>
      <w:r w:rsidRPr="00DF3006">
        <w:rPr>
          <w:bCs/>
          <w:color w:val="414042" w:themeColor="text1"/>
          <w:u w:color="E6E7E8" w:themeColor="background2"/>
        </w:rPr>
        <w:t xml:space="preserve"> (</w:t>
      </w:r>
      <w:r w:rsidRPr="00DF3006">
        <w:rPr>
          <w:bCs/>
          <w:i/>
          <w:iCs/>
          <w:color w:val="414042" w:themeColor="text1"/>
          <w:u w:color="E6E7E8" w:themeColor="background2"/>
        </w:rPr>
        <w:t>DFV Inquiry</w:t>
      </w:r>
      <w:r w:rsidRPr="00DF3006">
        <w:rPr>
          <w:bCs/>
          <w:color w:val="414042" w:themeColor="text1"/>
          <w:u w:color="E6E7E8" w:themeColor="background2"/>
        </w:rPr>
        <w:t>)</w:t>
      </w:r>
      <w:r w:rsidRPr="00DF3006">
        <w:rPr>
          <w:rFonts w:eastAsia="Calibri" w:cs="Arial"/>
          <w:color w:val="414042" w:themeColor="text1"/>
        </w:rPr>
        <w:t>.</w:t>
      </w:r>
    </w:p>
    <w:p w14:paraId="76E26B24" w14:textId="6735330B" w:rsidR="00463155" w:rsidRPr="00DF3006" w:rsidRDefault="00527210" w:rsidP="00527210">
      <w:pPr>
        <w:rPr>
          <w:rFonts w:eastAsia="Calibri" w:cs="Arial"/>
          <w:color w:val="414042" w:themeColor="text1"/>
        </w:rPr>
      </w:pPr>
      <w:r w:rsidRPr="00DF3006">
        <w:rPr>
          <w:rFonts w:eastAsia="Calibri" w:cs="Arial"/>
          <w:color w:val="414042" w:themeColor="text1"/>
        </w:rPr>
        <w:t>A total of 40 recommendations were made by these inquiries and reviews.</w:t>
      </w:r>
    </w:p>
    <w:p w14:paraId="10A211D2" w14:textId="457469C7" w:rsidR="00527210" w:rsidRPr="00DF3006" w:rsidRDefault="0061490B" w:rsidP="00527210">
      <w:pPr>
        <w:rPr>
          <w:rFonts w:eastAsia="Calibri" w:cs="Arial"/>
          <w:color w:val="414042" w:themeColor="text1"/>
        </w:rPr>
      </w:pPr>
      <w:r w:rsidRPr="00DF3006">
        <w:rPr>
          <w:rFonts w:eastAsia="Calibri" w:cs="Arial"/>
          <w:color w:val="414042" w:themeColor="text1"/>
        </w:rPr>
        <w:t>Wherever possible, we responded quickly to implement the recommendations. Other recommendations are more complex and required more time to consider their implications and undertake detailed planning.</w:t>
      </w:r>
    </w:p>
    <w:tbl>
      <w:tblPr>
        <w:tblStyle w:val="Annualreport2020-21"/>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535"/>
      </w:tblGrid>
      <w:tr w:rsidR="00DF3006" w:rsidRPr="00DF3006" w14:paraId="2FDCB2CC" w14:textId="77777777" w:rsidTr="00F070A4">
        <w:trPr>
          <w:cnfStyle w:val="100000000000" w:firstRow="1" w:lastRow="0" w:firstColumn="0" w:lastColumn="0" w:oddVBand="0" w:evenVBand="0" w:oddHBand="0" w:evenHBand="0" w:firstRowFirstColumn="0" w:firstRowLastColumn="0" w:lastRowFirstColumn="0" w:lastRowLastColumn="0"/>
          <w:trHeight w:val="907"/>
        </w:trPr>
        <w:tc>
          <w:tcPr>
            <w:tcW w:w="4535" w:type="dxa"/>
          </w:tcPr>
          <w:p w14:paraId="4D6B7E64" w14:textId="6B664833" w:rsidR="00B9178A" w:rsidRPr="00DF3006" w:rsidRDefault="00527210" w:rsidP="00463FBB">
            <w:pPr>
              <w:pStyle w:val="Heading4"/>
            </w:pPr>
            <w:r w:rsidRPr="00DF3006">
              <w:rPr>
                <w:rFonts w:eastAsia="Calibri" w:cs="Arial"/>
              </w:rPr>
              <w:br w:type="column"/>
            </w:r>
            <w:r w:rsidR="00B9178A" w:rsidRPr="00DF3006">
              <w:rPr>
                <w:b/>
                <w:noProof/>
                <w:lang w:eastAsia="en-AU"/>
              </w:rPr>
              <w:t xml:space="preserve">Commission of inquiry relating to the Crime and Corruption Commission </w:t>
            </w:r>
            <w:r w:rsidR="00B9178A" w:rsidRPr="00DF3006">
              <w:rPr>
                <w:b/>
                <w:i/>
                <w:iCs/>
                <w:noProof/>
                <w:lang w:eastAsia="en-AU"/>
              </w:rPr>
              <w:t>(Fitzgerald/Wilson Inquiry</w:t>
            </w:r>
            <w:r w:rsidR="00B9178A" w:rsidRPr="00DF3006">
              <w:rPr>
                <w:b/>
                <w:noProof/>
                <w:lang w:eastAsia="en-AU"/>
              </w:rPr>
              <w:t>)</w:t>
            </w:r>
            <w:r w:rsidR="00B9178A" w:rsidRPr="00DF3006">
              <w:rPr>
                <w:b/>
                <w:noProof/>
                <w:lang w:eastAsia="en-AU"/>
              </w:rPr>
              <w:br/>
            </w:r>
            <w:r w:rsidR="00B9178A" w:rsidRPr="00DF3006">
              <w:rPr>
                <w:rFonts w:asciiTheme="majorHAnsi" w:hAnsiTheme="majorHAnsi" w:cstheme="majorHAnsi"/>
                <w:u w:color="E6E7E8" w:themeColor="background2"/>
              </w:rPr>
              <w:t>7 February 2022</w:t>
            </w:r>
            <w:r w:rsidR="00B9178A" w:rsidRPr="00DF3006">
              <w:rPr>
                <w:rFonts w:asciiTheme="majorHAnsi" w:hAnsiTheme="majorHAnsi" w:cstheme="majorHAnsi"/>
              </w:rPr>
              <w:t xml:space="preserve"> to 9 August 2022</w:t>
            </w:r>
          </w:p>
        </w:tc>
      </w:tr>
    </w:tbl>
    <w:p w14:paraId="40C4083D" w14:textId="4C0DDCAA" w:rsidR="00B9178A" w:rsidRPr="00DF3006" w:rsidRDefault="002932D2" w:rsidP="0042092A">
      <w:pPr>
        <w:spacing w:before="240"/>
        <w:rPr>
          <w:bCs/>
          <w:color w:val="414042" w:themeColor="text1"/>
          <w:u w:color="E6E7E8" w:themeColor="background2"/>
        </w:rPr>
      </w:pPr>
      <w:r w:rsidRPr="00DF3006">
        <w:rPr>
          <w:bCs/>
          <w:color w:val="414042" w:themeColor="text1"/>
          <w:u w:color="E6E7E8" w:themeColor="background2"/>
        </w:rPr>
        <w:t>In February 2022, t</w:t>
      </w:r>
      <w:r w:rsidR="00B9178A" w:rsidRPr="00DF3006">
        <w:rPr>
          <w:bCs/>
          <w:color w:val="414042" w:themeColor="text1"/>
          <w:u w:color="E6E7E8" w:themeColor="background2"/>
        </w:rPr>
        <w:t xml:space="preserve">he Honourable Gerald Edward (Tony) Fitzgerald AC, </w:t>
      </w:r>
      <w:proofErr w:type="gramStart"/>
      <w:r w:rsidR="00B9178A" w:rsidRPr="00DF3006">
        <w:rPr>
          <w:bCs/>
          <w:color w:val="414042" w:themeColor="text1"/>
          <w:u w:color="E6E7E8" w:themeColor="background2"/>
        </w:rPr>
        <w:t>KC</w:t>
      </w:r>
      <w:proofErr w:type="gramEnd"/>
      <w:r w:rsidR="00B9178A" w:rsidRPr="00DF3006">
        <w:rPr>
          <w:bCs/>
          <w:color w:val="414042" w:themeColor="text1"/>
          <w:u w:color="E6E7E8" w:themeColor="background2"/>
        </w:rPr>
        <w:t xml:space="preserve"> and the Honourable Alan Wilson KC, </w:t>
      </w:r>
      <w:r w:rsidRPr="00DF3006">
        <w:rPr>
          <w:bCs/>
          <w:color w:val="414042" w:themeColor="text1"/>
          <w:u w:color="E6E7E8" w:themeColor="background2"/>
        </w:rPr>
        <w:t xml:space="preserve">were appointed </w:t>
      </w:r>
      <w:r w:rsidR="00B9178A" w:rsidRPr="00DF3006">
        <w:rPr>
          <w:bCs/>
          <w:color w:val="414042" w:themeColor="text1"/>
          <w:u w:color="E6E7E8" w:themeColor="background2"/>
        </w:rPr>
        <w:t>to publicly</w:t>
      </w:r>
      <w:r w:rsidR="00B9178A" w:rsidRPr="00DF3006">
        <w:rPr>
          <w:color w:val="414042" w:themeColor="text1"/>
        </w:rPr>
        <w:t xml:space="preserve"> inquire into and report on </w:t>
      </w:r>
      <w:r w:rsidR="00B9178A" w:rsidRPr="00DF3006">
        <w:rPr>
          <w:bCs/>
          <w:color w:val="414042" w:themeColor="text1"/>
          <w:u w:color="E6E7E8" w:themeColor="background2"/>
        </w:rPr>
        <w:t>the adequacy and appropriateness of</w:t>
      </w:r>
      <w:r w:rsidR="00B9178A" w:rsidRPr="00DF3006">
        <w:rPr>
          <w:color w:val="414042" w:themeColor="text1"/>
        </w:rPr>
        <w:t>:</w:t>
      </w:r>
    </w:p>
    <w:p w14:paraId="3B7CD49E" w14:textId="77777777" w:rsidR="00B9178A" w:rsidRPr="00DF3006" w:rsidRDefault="00B9178A" w:rsidP="00527210">
      <w:pPr>
        <w:pStyle w:val="Bullets"/>
        <w:rPr>
          <w:bCs/>
          <w:i/>
          <w:iCs/>
          <w:color w:val="414042" w:themeColor="text1"/>
          <w:u w:color="E6E7E8" w:themeColor="background2"/>
        </w:rPr>
      </w:pPr>
      <w:r w:rsidRPr="00DF3006">
        <w:rPr>
          <w:bCs/>
          <w:color w:val="414042" w:themeColor="text1"/>
          <w:u w:color="E6E7E8" w:themeColor="background2"/>
        </w:rPr>
        <w:t xml:space="preserve">the </w:t>
      </w:r>
      <w:r w:rsidRPr="00DF3006">
        <w:rPr>
          <w:color w:val="414042" w:themeColor="text1"/>
        </w:rPr>
        <w:t>structure</w:t>
      </w:r>
      <w:r w:rsidRPr="00DF3006">
        <w:rPr>
          <w:bCs/>
          <w:color w:val="414042" w:themeColor="text1"/>
          <w:u w:color="E6E7E8" w:themeColor="background2"/>
        </w:rPr>
        <w:t xml:space="preserve"> of the CCC in relation to use of seconded police officers </w:t>
      </w:r>
      <w:r w:rsidRPr="00DF3006">
        <w:rPr>
          <w:bCs/>
          <w:i/>
          <w:iCs/>
          <w:color w:val="414042" w:themeColor="text1"/>
          <w:u w:color="E6E7E8" w:themeColor="background2"/>
        </w:rPr>
        <w:t>[in connection with its corruption jurisdiction]</w:t>
      </w:r>
    </w:p>
    <w:p w14:paraId="3EF57DAD" w14:textId="3B4A9AE4" w:rsidR="00B9178A" w:rsidRPr="00DF3006" w:rsidRDefault="00B9178A" w:rsidP="00527210">
      <w:pPr>
        <w:pStyle w:val="Bullets"/>
        <w:rPr>
          <w:bCs/>
          <w:color w:val="414042" w:themeColor="text1"/>
          <w:u w:color="E6E7E8" w:themeColor="background2"/>
        </w:rPr>
      </w:pPr>
      <w:r w:rsidRPr="00DF3006">
        <w:rPr>
          <w:color w:val="414042" w:themeColor="text1"/>
        </w:rPr>
        <w:t>legislation</w:t>
      </w:r>
      <w:r w:rsidRPr="00DF3006">
        <w:rPr>
          <w:bCs/>
          <w:color w:val="414042" w:themeColor="text1"/>
          <w:u w:color="E6E7E8" w:themeColor="background2"/>
        </w:rPr>
        <w:t xml:space="preserve">, procedures, </w:t>
      </w:r>
      <w:proofErr w:type="gramStart"/>
      <w:r w:rsidRPr="00DF3006">
        <w:rPr>
          <w:bCs/>
          <w:color w:val="414042" w:themeColor="text1"/>
          <w:u w:color="E6E7E8" w:themeColor="background2"/>
        </w:rPr>
        <w:t>practices</w:t>
      </w:r>
      <w:proofErr w:type="gramEnd"/>
      <w:r w:rsidRPr="00DF3006">
        <w:rPr>
          <w:bCs/>
          <w:color w:val="414042" w:themeColor="text1"/>
          <w:u w:color="E6E7E8" w:themeColor="background2"/>
        </w:rPr>
        <w:t xml:space="preserve"> and processes relating to the charging and prosecution of criminal offences for serious crime and corruption in the context of CCC investigations</w:t>
      </w:r>
      <w:r w:rsidR="00AC1691" w:rsidRPr="00DF3006">
        <w:rPr>
          <w:bCs/>
          <w:color w:val="414042" w:themeColor="text1"/>
          <w:u w:color="E6E7E8" w:themeColor="background2"/>
        </w:rPr>
        <w:t>,</w:t>
      </w:r>
      <w:r w:rsidRPr="00DF3006">
        <w:rPr>
          <w:bCs/>
          <w:color w:val="414042" w:themeColor="text1"/>
          <w:u w:color="E6E7E8" w:themeColor="background2"/>
        </w:rPr>
        <w:t xml:space="preserve"> and</w:t>
      </w:r>
    </w:p>
    <w:p w14:paraId="6AE32C3D" w14:textId="77777777" w:rsidR="00B9178A" w:rsidRPr="00DF3006" w:rsidRDefault="00B9178A" w:rsidP="00527210">
      <w:pPr>
        <w:pStyle w:val="Bullets"/>
        <w:rPr>
          <w:color w:val="414042" w:themeColor="text1"/>
          <w:u w:color="E6E7E8" w:themeColor="background2"/>
        </w:rPr>
      </w:pPr>
      <w:r w:rsidRPr="00DF3006">
        <w:rPr>
          <w:color w:val="414042" w:themeColor="text1"/>
        </w:rPr>
        <w:t>section</w:t>
      </w:r>
      <w:r w:rsidRPr="00DF3006">
        <w:rPr>
          <w:color w:val="414042" w:themeColor="text1"/>
          <w:u w:color="E6E7E8" w:themeColor="background2"/>
        </w:rPr>
        <w:t xml:space="preserve"> 49 of the </w:t>
      </w:r>
      <w:r w:rsidRPr="00DF3006">
        <w:rPr>
          <w:i/>
          <w:iCs/>
          <w:color w:val="414042" w:themeColor="text1"/>
          <w:u w:color="E6E7E8" w:themeColor="background2"/>
        </w:rPr>
        <w:t>Crime and Corruption Act 2001</w:t>
      </w:r>
      <w:r w:rsidRPr="00DF3006">
        <w:rPr>
          <w:color w:val="414042" w:themeColor="text1"/>
          <w:u w:color="E6E7E8" w:themeColor="background2"/>
        </w:rPr>
        <w:t>.</w:t>
      </w:r>
    </w:p>
    <w:p w14:paraId="28250A8F" w14:textId="77777777" w:rsidR="00B9178A" w:rsidRPr="00DF3006" w:rsidRDefault="00B9178A" w:rsidP="00B9178A">
      <w:pPr>
        <w:rPr>
          <w:bCs/>
          <w:color w:val="414042" w:themeColor="text1"/>
          <w:u w:color="E6E7E8" w:themeColor="background2"/>
        </w:rPr>
      </w:pPr>
      <w:r w:rsidRPr="00DF3006">
        <w:rPr>
          <w:bCs/>
          <w:color w:val="414042" w:themeColor="text1"/>
          <w:u w:color="E6E7E8" w:themeColor="background2"/>
        </w:rPr>
        <w:t>The final report was provided to the Queensland Government on 9 August 2022 and made 32 recommendations</w:t>
      </w:r>
      <w:r w:rsidRPr="00DF3006">
        <w:rPr>
          <w:color w:val="414042" w:themeColor="text1"/>
        </w:rPr>
        <w:t xml:space="preserve"> </w:t>
      </w:r>
      <w:r w:rsidRPr="00DF3006">
        <w:rPr>
          <w:bCs/>
          <w:color w:val="414042" w:themeColor="text1"/>
          <w:u w:color="E6E7E8" w:themeColor="background2"/>
        </w:rPr>
        <w:t>for change, of which 29 are the direct responsibility of the CCC to implement.</w:t>
      </w:r>
    </w:p>
    <w:p w14:paraId="32E9B1FD" w14:textId="77777777" w:rsidR="005D67C6" w:rsidRPr="00DF3006" w:rsidRDefault="008F4FCB" w:rsidP="00B9178A">
      <w:pPr>
        <w:rPr>
          <w:bCs/>
          <w:color w:val="414042" w:themeColor="text1"/>
          <w:u w:color="E6E7E8" w:themeColor="background2"/>
        </w:rPr>
      </w:pPr>
      <w:r w:rsidRPr="00DF3006">
        <w:rPr>
          <w:bCs/>
          <w:color w:val="414042" w:themeColor="text1"/>
          <w:u w:color="E6E7E8" w:themeColor="background2"/>
        </w:rPr>
        <w:t xml:space="preserve">In response, the CCC developed a five-year road map to deliver on the recommendations, to ensure sustained transformation and enhanced public confidence in the CCC. In recognition of the considerable effort required to undertake organisational reform, the Government has invested $20.849 million from 2022–23 to 2027–28 to develop and manage the </w:t>
      </w:r>
      <w:proofErr w:type="gramStart"/>
      <w:r w:rsidRPr="00DF3006">
        <w:rPr>
          <w:bCs/>
          <w:color w:val="414042" w:themeColor="text1"/>
          <w:u w:color="E6E7E8" w:themeColor="background2"/>
        </w:rPr>
        <w:t>program, and</w:t>
      </w:r>
      <w:proofErr w:type="gramEnd"/>
      <w:r w:rsidRPr="00DF3006">
        <w:rPr>
          <w:bCs/>
          <w:color w:val="414042" w:themeColor="text1"/>
          <w:u w:color="E6E7E8" w:themeColor="background2"/>
        </w:rPr>
        <w:t xml:space="preserve"> implement specific recommendations.</w:t>
      </w:r>
    </w:p>
    <w:p w14:paraId="603840B5" w14:textId="3B8E213C" w:rsidR="00B9178A" w:rsidRPr="00DF3006" w:rsidRDefault="004E7753" w:rsidP="00BD0C90">
      <w:pPr>
        <w:spacing w:before="120" w:after="0" w:line="260" w:lineRule="exact"/>
        <w:rPr>
          <w:bCs/>
          <w:color w:val="414042" w:themeColor="text1"/>
          <w:u w:color="E6E7E8" w:themeColor="background2"/>
        </w:rPr>
      </w:pPr>
      <w:r w:rsidRPr="00DF3006">
        <w:rPr>
          <w:bCs/>
          <w:color w:val="414042" w:themeColor="text1"/>
          <w:u w:color="E6E7E8" w:themeColor="background2"/>
        </w:rPr>
        <w:br w:type="page"/>
      </w:r>
      <w:r w:rsidR="00B9178A" w:rsidRPr="00DF3006">
        <w:rPr>
          <w:bCs/>
          <w:color w:val="414042" w:themeColor="text1"/>
          <w:u w:color="E6E7E8" w:themeColor="background2"/>
        </w:rPr>
        <w:lastRenderedPageBreak/>
        <w:t xml:space="preserve">As </w:t>
      </w:r>
      <w:proofErr w:type="gramStart"/>
      <w:r w:rsidR="00B9178A" w:rsidRPr="00DF3006">
        <w:rPr>
          <w:bCs/>
          <w:color w:val="414042" w:themeColor="text1"/>
          <w:u w:color="E6E7E8" w:themeColor="background2"/>
        </w:rPr>
        <w:t>at</w:t>
      </w:r>
      <w:proofErr w:type="gramEnd"/>
      <w:r w:rsidR="00B9178A" w:rsidRPr="00DF3006">
        <w:rPr>
          <w:bCs/>
          <w:color w:val="414042" w:themeColor="text1"/>
          <w:u w:color="E6E7E8" w:themeColor="background2"/>
        </w:rPr>
        <w:t xml:space="preserve"> 30 June, the CCC has completed 10 recommendations in full. These include:</w:t>
      </w:r>
    </w:p>
    <w:p w14:paraId="69175A69" w14:textId="77777777" w:rsidR="00B9178A" w:rsidRPr="00DF3006" w:rsidRDefault="00B9178A" w:rsidP="00B9178A">
      <w:pPr>
        <w:pStyle w:val="Bullets"/>
        <w:rPr>
          <w:color w:val="414042" w:themeColor="text1"/>
        </w:rPr>
      </w:pPr>
      <w:r w:rsidRPr="00DF3006">
        <w:rPr>
          <w:color w:val="414042" w:themeColor="text1"/>
        </w:rPr>
        <w:t>transitioning a key role to a civilian position (</w:t>
      </w:r>
      <w:r w:rsidRPr="00DF3006">
        <w:rPr>
          <w:b/>
          <w:bCs/>
          <w:color w:val="414042" w:themeColor="text1"/>
        </w:rPr>
        <w:t>Recommendation 8</w:t>
      </w:r>
      <w:r w:rsidRPr="00DF3006">
        <w:rPr>
          <w:color w:val="414042" w:themeColor="text1"/>
        </w:rPr>
        <w:t>)</w:t>
      </w:r>
    </w:p>
    <w:p w14:paraId="3FF4553F" w14:textId="77777777" w:rsidR="00B9178A" w:rsidRPr="00DF3006" w:rsidRDefault="00B9178A" w:rsidP="00B9178A">
      <w:pPr>
        <w:pStyle w:val="Bullets"/>
        <w:rPr>
          <w:color w:val="414042" w:themeColor="text1"/>
        </w:rPr>
      </w:pPr>
      <w:r w:rsidRPr="00DF3006">
        <w:rPr>
          <w:color w:val="414042" w:themeColor="text1"/>
        </w:rPr>
        <w:t>modifying the organisational structure (</w:t>
      </w:r>
      <w:r w:rsidRPr="00DF3006">
        <w:rPr>
          <w:b/>
          <w:bCs/>
          <w:color w:val="414042" w:themeColor="text1"/>
        </w:rPr>
        <w:t>Recommendation 15</w:t>
      </w:r>
      <w:r w:rsidRPr="00DF3006">
        <w:rPr>
          <w:color w:val="414042" w:themeColor="text1"/>
        </w:rPr>
        <w:t>)</w:t>
      </w:r>
    </w:p>
    <w:p w14:paraId="1B772955" w14:textId="77777777" w:rsidR="00B9178A" w:rsidRPr="00DF3006" w:rsidRDefault="00B9178A" w:rsidP="00B9178A">
      <w:pPr>
        <w:pStyle w:val="Bullets"/>
        <w:rPr>
          <w:color w:val="414042" w:themeColor="text1"/>
        </w:rPr>
      </w:pPr>
      <w:r w:rsidRPr="00DF3006">
        <w:rPr>
          <w:color w:val="414042" w:themeColor="text1"/>
        </w:rPr>
        <w:t>establishing and recruiting into new positions (</w:t>
      </w:r>
      <w:r w:rsidRPr="00DF3006">
        <w:rPr>
          <w:b/>
          <w:bCs/>
          <w:color w:val="414042" w:themeColor="text1"/>
        </w:rPr>
        <w:t>Recommendations 12</w:t>
      </w:r>
      <w:r w:rsidRPr="00DF3006">
        <w:rPr>
          <w:color w:val="414042" w:themeColor="text1"/>
        </w:rPr>
        <w:t xml:space="preserve">, </w:t>
      </w:r>
      <w:r w:rsidRPr="00DF3006">
        <w:rPr>
          <w:b/>
          <w:bCs/>
          <w:color w:val="414042" w:themeColor="text1"/>
        </w:rPr>
        <w:t>14</w:t>
      </w:r>
      <w:r w:rsidRPr="00DF3006">
        <w:rPr>
          <w:color w:val="414042" w:themeColor="text1"/>
        </w:rPr>
        <w:t xml:space="preserve">, </w:t>
      </w:r>
      <w:r w:rsidRPr="00DF3006">
        <w:rPr>
          <w:b/>
          <w:bCs/>
          <w:color w:val="414042" w:themeColor="text1"/>
        </w:rPr>
        <w:t>17</w:t>
      </w:r>
      <w:r w:rsidRPr="00DF3006">
        <w:rPr>
          <w:color w:val="414042" w:themeColor="text1"/>
        </w:rPr>
        <w:t xml:space="preserve">, </w:t>
      </w:r>
      <w:r w:rsidRPr="00DF3006">
        <w:rPr>
          <w:b/>
          <w:bCs/>
          <w:color w:val="414042" w:themeColor="text1"/>
        </w:rPr>
        <w:t>22</w:t>
      </w:r>
      <w:r w:rsidRPr="00DF3006">
        <w:rPr>
          <w:color w:val="414042" w:themeColor="text1"/>
        </w:rPr>
        <w:t xml:space="preserve"> and </w:t>
      </w:r>
      <w:r w:rsidRPr="00DF3006">
        <w:rPr>
          <w:b/>
          <w:bCs/>
          <w:color w:val="414042" w:themeColor="text1"/>
        </w:rPr>
        <w:t>23</w:t>
      </w:r>
      <w:r w:rsidRPr="00DF3006">
        <w:rPr>
          <w:color w:val="414042" w:themeColor="text1"/>
        </w:rPr>
        <w:t xml:space="preserve">), </w:t>
      </w:r>
    </w:p>
    <w:p w14:paraId="45795461" w14:textId="77777777" w:rsidR="00B9178A" w:rsidRPr="00DF3006" w:rsidRDefault="00B9178A" w:rsidP="00B9178A">
      <w:pPr>
        <w:pStyle w:val="Bullets"/>
        <w:rPr>
          <w:color w:val="414042" w:themeColor="text1"/>
        </w:rPr>
      </w:pPr>
      <w:r w:rsidRPr="00DF3006">
        <w:rPr>
          <w:color w:val="414042" w:themeColor="text1"/>
        </w:rPr>
        <w:t>ensuring adequate funding to establish the new Corruption Strategy and Prevention unit (</w:t>
      </w:r>
      <w:r w:rsidRPr="00DF3006">
        <w:rPr>
          <w:b/>
          <w:bCs/>
          <w:color w:val="414042" w:themeColor="text1"/>
        </w:rPr>
        <w:t>Recommendation 18</w:t>
      </w:r>
      <w:r w:rsidRPr="00DF3006">
        <w:rPr>
          <w:color w:val="414042" w:themeColor="text1"/>
        </w:rPr>
        <w:t>), and</w:t>
      </w:r>
    </w:p>
    <w:p w14:paraId="5AA6F769" w14:textId="77777777" w:rsidR="00B9178A" w:rsidRPr="00DF3006" w:rsidRDefault="00B9178A" w:rsidP="00B9178A">
      <w:pPr>
        <w:pStyle w:val="Bullets"/>
        <w:rPr>
          <w:color w:val="414042" w:themeColor="text1"/>
        </w:rPr>
      </w:pPr>
      <w:r w:rsidRPr="00DF3006">
        <w:rPr>
          <w:color w:val="414042" w:themeColor="text1"/>
        </w:rPr>
        <w:t>establishing two new governance groups to oversee corruption investigations (</w:t>
      </w:r>
      <w:r w:rsidRPr="00DF3006">
        <w:rPr>
          <w:b/>
          <w:bCs/>
          <w:color w:val="414042" w:themeColor="text1"/>
        </w:rPr>
        <w:t>Recommendations 19</w:t>
      </w:r>
      <w:r w:rsidRPr="00DF3006">
        <w:rPr>
          <w:color w:val="414042" w:themeColor="text1"/>
        </w:rPr>
        <w:t xml:space="preserve"> and </w:t>
      </w:r>
      <w:r w:rsidRPr="00DF3006">
        <w:rPr>
          <w:b/>
          <w:bCs/>
          <w:color w:val="414042" w:themeColor="text1"/>
        </w:rPr>
        <w:t>20</w:t>
      </w:r>
      <w:r w:rsidRPr="00DF3006">
        <w:rPr>
          <w:color w:val="414042" w:themeColor="text1"/>
        </w:rPr>
        <w:t>).</w:t>
      </w:r>
    </w:p>
    <w:p w14:paraId="3AE3ECB0" w14:textId="152FBAB5" w:rsidR="005D67C6" w:rsidRPr="00DF3006" w:rsidRDefault="005D67C6" w:rsidP="005D67C6">
      <w:pPr>
        <w:spacing w:before="240"/>
        <w:rPr>
          <w:color w:val="414042" w:themeColor="text1"/>
        </w:rPr>
      </w:pPr>
      <w:r w:rsidRPr="00DF3006">
        <w:rPr>
          <w:color w:val="414042" w:themeColor="text1"/>
        </w:rPr>
        <w:t>We have also made material progress on 15 other recommendations: Of these, two are worthy of mention</w:t>
      </w:r>
      <w:r w:rsidR="004E7753" w:rsidRPr="00DF3006">
        <w:rPr>
          <w:color w:val="414042" w:themeColor="text1"/>
        </w:rPr>
        <w:t>:</w:t>
      </w:r>
    </w:p>
    <w:p w14:paraId="54FBEF1B" w14:textId="22C1A98A" w:rsidR="005D67C6" w:rsidRPr="00DF3006" w:rsidRDefault="005D67C6" w:rsidP="004E7753">
      <w:pPr>
        <w:pStyle w:val="Bullets"/>
        <w:rPr>
          <w:color w:val="414042" w:themeColor="text1"/>
        </w:rPr>
      </w:pPr>
      <w:r w:rsidRPr="00DF3006">
        <w:rPr>
          <w:b/>
          <w:bCs/>
          <w:color w:val="414042" w:themeColor="text1"/>
        </w:rPr>
        <w:t>Recommendation 25</w:t>
      </w:r>
      <w:r w:rsidRPr="00DF3006">
        <w:rPr>
          <w:color w:val="414042" w:themeColor="text1"/>
        </w:rPr>
        <w:t xml:space="preserve"> (to require the Director of Public Prosecutions’ advice before charging) necessitates an amendment to the </w:t>
      </w:r>
      <w:r w:rsidRPr="00DF3006">
        <w:rPr>
          <w:i/>
          <w:iCs/>
          <w:color w:val="414042" w:themeColor="text1"/>
        </w:rPr>
        <w:t>Crime and Corruption Act 2001</w:t>
      </w:r>
      <w:r w:rsidRPr="00DF3006">
        <w:rPr>
          <w:color w:val="414042" w:themeColor="text1"/>
        </w:rPr>
        <w:t>. The CCC has consulted with the</w:t>
      </w:r>
      <w:r w:rsidR="008D1425" w:rsidRPr="00DF3006">
        <w:rPr>
          <w:color w:val="414042" w:themeColor="text1"/>
        </w:rPr>
        <w:t xml:space="preserve"> Department of Justice and Attorney-General (</w:t>
      </w:r>
      <w:proofErr w:type="spellStart"/>
      <w:r w:rsidR="008D1425" w:rsidRPr="00DF3006">
        <w:rPr>
          <w:color w:val="414042" w:themeColor="text1"/>
        </w:rPr>
        <w:t>DJAG</w:t>
      </w:r>
      <w:proofErr w:type="spellEnd"/>
      <w:r w:rsidR="008D1425" w:rsidRPr="00DF3006">
        <w:rPr>
          <w:color w:val="414042" w:themeColor="text1"/>
        </w:rPr>
        <w:t>)</w:t>
      </w:r>
      <w:r w:rsidRPr="00DF3006">
        <w:rPr>
          <w:color w:val="414042" w:themeColor="text1"/>
        </w:rPr>
        <w:t>, QPS and ODPP to reach an agreed position on how to give effect to the recommendations.</w:t>
      </w:r>
    </w:p>
    <w:p w14:paraId="63F20FF5" w14:textId="77777777" w:rsidR="00BF3018" w:rsidRPr="00DF3006" w:rsidRDefault="005D67C6" w:rsidP="004E7753">
      <w:pPr>
        <w:pStyle w:val="Bullets"/>
        <w:rPr>
          <w:color w:val="414042" w:themeColor="text1"/>
          <w:u w:color="E6E7E8"/>
        </w:rPr>
      </w:pPr>
      <w:r w:rsidRPr="00DF3006">
        <w:rPr>
          <w:b/>
          <w:color w:val="414042" w:themeColor="text1"/>
        </w:rPr>
        <w:t>Recommendation</w:t>
      </w:r>
      <w:r w:rsidRPr="00DF3006">
        <w:rPr>
          <w:b/>
          <w:color w:val="414042" w:themeColor="text1"/>
          <w:u w:color="E6E7E8"/>
        </w:rPr>
        <w:t xml:space="preserve"> 6</w:t>
      </w:r>
      <w:r w:rsidRPr="00DF3006">
        <w:rPr>
          <w:color w:val="414042" w:themeColor="text1"/>
          <w:u w:color="E6E7E8"/>
        </w:rPr>
        <w:t xml:space="preserve"> recommended that the CCC consider the adequacy of our current organisational culture in safeguarding against the risk of institutional capture. In response to this, i</w:t>
      </w:r>
      <w:r w:rsidRPr="00DF3006">
        <w:rPr>
          <w:color w:val="414042" w:themeColor="text1"/>
          <w:u w:color="E6E7E8" w:themeColor="background2"/>
        </w:rPr>
        <w:t xml:space="preserve">n February 2023, we implemented a revised CCC corruption intake and assessment operating model to provide an improved customer-centric approach and stronger focus on serious and systemic corruption or matters of strategic importance to the CCC. </w:t>
      </w:r>
    </w:p>
    <w:p w14:paraId="5540D2FC" w14:textId="0F7AB662" w:rsidR="00BF3018" w:rsidRPr="00DF3006" w:rsidRDefault="005D67C6" w:rsidP="00BF3018">
      <w:pPr>
        <w:pStyle w:val="Bullets"/>
        <w:numPr>
          <w:ilvl w:val="0"/>
          <w:numId w:val="0"/>
        </w:numPr>
        <w:ind w:left="502"/>
        <w:rPr>
          <w:color w:val="414042" w:themeColor="text1"/>
          <w:u w:color="E6E7E8" w:themeColor="background2"/>
        </w:rPr>
      </w:pPr>
      <w:r w:rsidRPr="00DF3006">
        <w:rPr>
          <w:color w:val="414042" w:themeColor="text1"/>
          <w:u w:color="E6E7E8" w:themeColor="background2"/>
        </w:rPr>
        <w:t>The new model is being closely monitored to ensure it meets our objectives.</w:t>
      </w:r>
      <w:r w:rsidRPr="00DF3006">
        <w:rPr>
          <w:color w:val="414042" w:themeColor="text1"/>
          <w:u w:color="E6E7E8"/>
        </w:rPr>
        <w:t xml:space="preserve"> </w:t>
      </w:r>
      <w:r w:rsidRPr="00DF3006">
        <w:rPr>
          <w:color w:val="414042" w:themeColor="text1"/>
          <w:u w:color="E6E7E8" w:themeColor="background2"/>
        </w:rPr>
        <w:t xml:space="preserve">The new model is supported by a new decision‐making tool that sharpens our focus on serious and systemic corruption, new </w:t>
      </w:r>
      <w:r w:rsidR="0099734F" w:rsidRPr="00DF3006">
        <w:rPr>
          <w:color w:val="414042" w:themeColor="text1"/>
          <w:u w:color="E6E7E8" w:themeColor="background2"/>
        </w:rPr>
        <w:t xml:space="preserve">unit </w:t>
      </w:r>
      <w:r w:rsidRPr="00DF3006">
        <w:rPr>
          <w:color w:val="414042" w:themeColor="text1"/>
          <w:u w:color="E6E7E8" w:themeColor="background2"/>
        </w:rPr>
        <w:t xml:space="preserve">structure, improved policies and work instructions, and additional training for our people. </w:t>
      </w:r>
    </w:p>
    <w:p w14:paraId="6010D079" w14:textId="153576D4" w:rsidR="005D67C6" w:rsidRPr="00DF3006" w:rsidRDefault="005D67C6" w:rsidP="00BF3018">
      <w:pPr>
        <w:pStyle w:val="Bullets"/>
        <w:numPr>
          <w:ilvl w:val="0"/>
          <w:numId w:val="0"/>
        </w:numPr>
        <w:ind w:left="502"/>
        <w:rPr>
          <w:color w:val="414042" w:themeColor="text1"/>
          <w:u w:color="E6E7E8"/>
        </w:rPr>
      </w:pPr>
      <w:r w:rsidRPr="00DF3006">
        <w:rPr>
          <w:color w:val="414042" w:themeColor="text1"/>
          <w:u w:color="E6E7E8" w:themeColor="background2"/>
        </w:rPr>
        <w:t xml:space="preserve">In June 2023, we also implemented a new operating model for our monitoring function. It provides for greater engagement with </w:t>
      </w:r>
      <w:r w:rsidR="0099734F" w:rsidRPr="00DF3006">
        <w:rPr>
          <w:color w:val="414042" w:themeColor="text1"/>
          <w:u w:color="E6E7E8" w:themeColor="background2"/>
        </w:rPr>
        <w:t xml:space="preserve">a </w:t>
      </w:r>
      <w:r w:rsidRPr="00DF3006">
        <w:rPr>
          <w:color w:val="414042" w:themeColor="text1"/>
          <w:u w:color="E6E7E8" w:themeColor="background2"/>
        </w:rPr>
        <w:t>UPA, places more tension on investigation timelines, and focuses on both investigative quality and implications</w:t>
      </w:r>
      <w:r w:rsidRPr="00DF3006">
        <w:rPr>
          <w:color w:val="414042" w:themeColor="text1"/>
        </w:rPr>
        <w:t xml:space="preserve"> for corruption prevention.</w:t>
      </w:r>
    </w:p>
    <w:p w14:paraId="267C8C1E" w14:textId="345014E3" w:rsidR="00071A81" w:rsidRPr="00DF3006" w:rsidRDefault="00B9178A" w:rsidP="00B9178A">
      <w:pPr>
        <w:rPr>
          <w:bCs/>
          <w:color w:val="414042" w:themeColor="text1"/>
          <w:u w:color="E6E7E8" w:themeColor="background2"/>
        </w:rPr>
      </w:pPr>
      <w:r w:rsidRPr="00DF3006">
        <w:rPr>
          <w:bCs/>
          <w:color w:val="414042" w:themeColor="text1"/>
          <w:u w:color="E6E7E8" w:themeColor="background2"/>
        </w:rPr>
        <w:t xml:space="preserve">We provide monthly reports on the implementation and delivery of recommendations to the Minister, PCCC and </w:t>
      </w:r>
      <w:r w:rsidRPr="00DF3006">
        <w:rPr>
          <w:bCs/>
          <w:color w:val="414042" w:themeColor="text1"/>
          <w:u w:color="E6E7E8" w:themeColor="background2"/>
        </w:rPr>
        <w:t xml:space="preserve">the Parliamentary Crime and Corruption Commissioner (in line with </w:t>
      </w:r>
      <w:r w:rsidRPr="00DF3006">
        <w:rPr>
          <w:b/>
          <w:color w:val="414042" w:themeColor="text1"/>
          <w:u w:color="E6E7E8" w:themeColor="background2"/>
        </w:rPr>
        <w:t>Recommendations 31</w:t>
      </w:r>
      <w:r w:rsidRPr="00DF3006">
        <w:rPr>
          <w:bCs/>
          <w:color w:val="414042" w:themeColor="text1"/>
          <w:u w:color="E6E7E8" w:themeColor="background2"/>
        </w:rPr>
        <w:t xml:space="preserve"> and </w:t>
      </w:r>
      <w:r w:rsidRPr="00DF3006">
        <w:rPr>
          <w:b/>
          <w:color w:val="414042" w:themeColor="text1"/>
          <w:u w:color="E6E7E8" w:themeColor="background2"/>
        </w:rPr>
        <w:t>32</w:t>
      </w:r>
      <w:r w:rsidRPr="00DF3006">
        <w:rPr>
          <w:bCs/>
          <w:color w:val="414042" w:themeColor="text1"/>
          <w:u w:color="E6E7E8" w:themeColor="background2"/>
        </w:rPr>
        <w:t>).</w:t>
      </w:r>
    </w:p>
    <w:p w14:paraId="71A65CF4" w14:textId="7213963E" w:rsidR="00565446" w:rsidRPr="00DF3006" w:rsidRDefault="00B9178A" w:rsidP="00B9178A">
      <w:pPr>
        <w:rPr>
          <w:bCs/>
          <w:color w:val="414042" w:themeColor="text1"/>
          <w:u w:color="E6E7E8" w:themeColor="background2"/>
        </w:rPr>
      </w:pPr>
      <w:r w:rsidRPr="00DF3006">
        <w:rPr>
          <w:bCs/>
          <w:color w:val="414042" w:themeColor="text1"/>
          <w:u w:color="E6E7E8" w:themeColor="background2"/>
        </w:rPr>
        <w:t>Recognising the significant public interest in the delivery of the recommendations, we release quarterly progress reports on our website.</w:t>
      </w:r>
    </w:p>
    <w:tbl>
      <w:tblPr>
        <w:tblStyle w:val="Annualreport2020-21"/>
        <w:tblW w:w="0" w:type="auto"/>
        <w:tblLook w:val="04A0" w:firstRow="1" w:lastRow="0" w:firstColumn="1" w:lastColumn="0" w:noHBand="0" w:noVBand="1"/>
      </w:tblPr>
      <w:tblGrid>
        <w:gridCol w:w="4535"/>
      </w:tblGrid>
      <w:tr w:rsidR="00DF3006" w:rsidRPr="00DF3006" w14:paraId="55A5AEF8" w14:textId="77777777" w:rsidTr="00F070A4">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tcPr>
          <w:p w14:paraId="524C56AB" w14:textId="51241F79" w:rsidR="00B9178A" w:rsidRPr="00DF3006" w:rsidRDefault="00B9178A" w:rsidP="00463FBB">
            <w:pPr>
              <w:pStyle w:val="Heading4"/>
              <w:rPr>
                <w:noProof/>
                <w:lang w:eastAsia="en-AU"/>
              </w:rPr>
            </w:pPr>
            <w:r w:rsidRPr="00DF3006">
              <w:rPr>
                <w:b/>
                <w:noProof/>
                <w:lang w:eastAsia="en-AU"/>
              </w:rPr>
              <w:t>Report no. 106, 57</w:t>
            </w:r>
            <w:r w:rsidRPr="00DF3006">
              <w:rPr>
                <w:b/>
                <w:noProof/>
                <w:vertAlign w:val="superscript"/>
                <w:lang w:eastAsia="en-AU"/>
              </w:rPr>
              <w:t>th</w:t>
            </w:r>
            <w:r w:rsidRPr="00DF3006">
              <w:rPr>
                <w:b/>
                <w:noProof/>
                <w:lang w:eastAsia="en-AU"/>
              </w:rPr>
              <w:t xml:space="preserve"> Parliament PCCC: Review of the Crime and Corruption Commission’s activities </w:t>
            </w:r>
            <w:r w:rsidRPr="00DF3006">
              <w:rPr>
                <w:b/>
                <w:noProof/>
                <w:lang w:eastAsia="en-AU"/>
              </w:rPr>
              <w:br/>
              <w:t>(</w:t>
            </w:r>
            <w:r w:rsidRPr="00DF3006">
              <w:rPr>
                <w:b/>
                <w:i/>
                <w:iCs/>
                <w:noProof/>
                <w:lang w:eastAsia="en-AU"/>
              </w:rPr>
              <w:t>Five-Year Review 2021</w:t>
            </w:r>
            <w:r w:rsidRPr="00DF3006">
              <w:rPr>
                <w:b/>
                <w:noProof/>
                <w:lang w:eastAsia="en-AU"/>
              </w:rPr>
              <w:t>)</w:t>
            </w:r>
            <w:r w:rsidRPr="00DF3006">
              <w:rPr>
                <w:noProof/>
                <w:lang w:eastAsia="en-AU"/>
              </w:rPr>
              <w:br/>
            </w:r>
            <w:r w:rsidR="00B4047B" w:rsidRPr="00DF3006">
              <w:rPr>
                <w:rFonts w:asciiTheme="majorHAnsi" w:hAnsiTheme="majorHAnsi" w:cstheme="majorHAnsi"/>
              </w:rPr>
              <w:t>1 June 2020</w:t>
            </w:r>
            <w:r w:rsidRPr="00DF3006">
              <w:rPr>
                <w:rFonts w:asciiTheme="majorHAnsi" w:hAnsiTheme="majorHAnsi" w:cstheme="majorHAnsi"/>
              </w:rPr>
              <w:t xml:space="preserve"> to 30 June 2021</w:t>
            </w:r>
          </w:p>
        </w:tc>
      </w:tr>
    </w:tbl>
    <w:p w14:paraId="27F0157A" w14:textId="7F6834EB" w:rsidR="00F761D8" w:rsidRPr="00DF3006" w:rsidRDefault="00B9178A" w:rsidP="007E7B4C">
      <w:pPr>
        <w:spacing w:before="240"/>
        <w:rPr>
          <w:bCs/>
          <w:color w:val="414042" w:themeColor="text1"/>
          <w:u w:color="E6E7E8" w:themeColor="background2"/>
        </w:rPr>
      </w:pPr>
      <w:r w:rsidRPr="00DF3006">
        <w:rPr>
          <w:bCs/>
          <w:color w:val="414042" w:themeColor="text1"/>
          <w:u w:color="E6E7E8" w:themeColor="background2"/>
        </w:rPr>
        <w:t xml:space="preserve">Section 292(f) of the </w:t>
      </w:r>
      <w:r w:rsidRPr="00DF3006">
        <w:rPr>
          <w:bCs/>
          <w:i/>
          <w:iCs/>
          <w:color w:val="414042" w:themeColor="text1"/>
          <w:u w:color="E6E7E8" w:themeColor="background2"/>
        </w:rPr>
        <w:t>Crime and Corruption Act 2001</w:t>
      </w:r>
      <w:r w:rsidRPr="00DF3006">
        <w:rPr>
          <w:bCs/>
          <w:color w:val="414042" w:themeColor="text1"/>
          <w:u w:color="E6E7E8" w:themeColor="background2"/>
        </w:rPr>
        <w:t xml:space="preserve"> requires the PCCC to review and report on our activities every five years, including making any recommendations about changes to our functions and powers.</w:t>
      </w:r>
      <w:r w:rsidR="00F761D8" w:rsidRPr="00DF3006">
        <w:rPr>
          <w:bCs/>
          <w:color w:val="414042" w:themeColor="text1"/>
          <w:u w:color="E6E7E8" w:themeColor="background2"/>
        </w:rPr>
        <w:t xml:space="preserve"> The PCCC’s final report made 30 recommendations, of which five are the direct responsibility of the CCC to implement.</w:t>
      </w:r>
    </w:p>
    <w:p w14:paraId="14713C8B" w14:textId="3D1F6038" w:rsidR="00CF45DC" w:rsidRPr="00DF3006" w:rsidRDefault="00463155" w:rsidP="00CF45DC">
      <w:pPr>
        <w:spacing w:before="240"/>
        <w:rPr>
          <w:color w:val="414042" w:themeColor="text1"/>
        </w:rPr>
      </w:pPr>
      <w:r w:rsidRPr="00DF3006">
        <w:rPr>
          <w:bCs/>
          <w:color w:val="414042" w:themeColor="text1"/>
          <w:u w:color="E6E7E8" w:themeColor="background2"/>
        </w:rPr>
        <w:t xml:space="preserve">As </w:t>
      </w:r>
      <w:proofErr w:type="gramStart"/>
      <w:r w:rsidRPr="00DF3006">
        <w:rPr>
          <w:bCs/>
          <w:color w:val="414042" w:themeColor="text1"/>
          <w:u w:color="E6E7E8" w:themeColor="background2"/>
        </w:rPr>
        <w:t>at</w:t>
      </w:r>
      <w:proofErr w:type="gramEnd"/>
      <w:r w:rsidRPr="00DF3006">
        <w:rPr>
          <w:bCs/>
          <w:color w:val="414042" w:themeColor="text1"/>
          <w:u w:color="E6E7E8" w:themeColor="background2"/>
        </w:rPr>
        <w:t xml:space="preserve"> 30 June 2023, the CCC has completed one recommendation </w:t>
      </w:r>
      <w:r w:rsidR="00CF45DC" w:rsidRPr="00DF3006">
        <w:rPr>
          <w:bCs/>
          <w:color w:val="414042" w:themeColor="text1"/>
          <w:u w:color="E6E7E8" w:themeColor="background2"/>
        </w:rPr>
        <w:t xml:space="preserve">arising </w:t>
      </w:r>
      <w:r w:rsidRPr="00DF3006">
        <w:rPr>
          <w:bCs/>
          <w:color w:val="414042" w:themeColor="text1"/>
          <w:u w:color="E6E7E8" w:themeColor="background2"/>
        </w:rPr>
        <w:t xml:space="preserve">from the </w:t>
      </w:r>
      <w:r w:rsidRPr="00DF3006">
        <w:rPr>
          <w:bCs/>
          <w:i/>
          <w:iCs/>
          <w:color w:val="414042" w:themeColor="text1"/>
          <w:u w:color="E6E7E8" w:themeColor="background2"/>
        </w:rPr>
        <w:t>Five-Year Review 2021</w:t>
      </w:r>
      <w:r w:rsidR="00CF45DC" w:rsidRPr="00DF3006">
        <w:rPr>
          <w:bCs/>
          <w:i/>
          <w:iCs/>
          <w:color w:val="414042" w:themeColor="text1"/>
          <w:u w:color="E6E7E8" w:themeColor="background2"/>
        </w:rPr>
        <w:t xml:space="preserve">. </w:t>
      </w:r>
      <w:r w:rsidR="00CF45DC" w:rsidRPr="00DF3006">
        <w:rPr>
          <w:color w:val="414042" w:themeColor="text1"/>
        </w:rPr>
        <w:t>The CCC produced easily accessible material to assist in the education of persons (and their legal representatives) participating in coercive hearings (</w:t>
      </w:r>
      <w:r w:rsidR="00CF45DC" w:rsidRPr="00DF3006">
        <w:rPr>
          <w:b/>
          <w:color w:val="414042" w:themeColor="text1"/>
          <w:u w:color="E6E7E8" w:themeColor="background2"/>
        </w:rPr>
        <w:t>Recommendation</w:t>
      </w:r>
      <w:r w:rsidR="00CF45DC" w:rsidRPr="00DF3006">
        <w:rPr>
          <w:b/>
          <w:color w:val="414042" w:themeColor="text1"/>
        </w:rPr>
        <w:t xml:space="preserve"> 11</w:t>
      </w:r>
      <w:r w:rsidR="00CF45DC" w:rsidRPr="00DF3006">
        <w:rPr>
          <w:color w:val="414042" w:themeColor="text1"/>
        </w:rPr>
        <w:t>).</w:t>
      </w:r>
    </w:p>
    <w:p w14:paraId="663182BB" w14:textId="5BC321A4" w:rsidR="00CF45DC" w:rsidRPr="00DF3006" w:rsidRDefault="00CF45DC" w:rsidP="0042092A">
      <w:pPr>
        <w:spacing w:before="240"/>
        <w:rPr>
          <w:bCs/>
          <w:color w:val="414042" w:themeColor="text1"/>
          <w:u w:color="E6E7E8" w:themeColor="background2"/>
        </w:rPr>
      </w:pPr>
      <w:r w:rsidRPr="00DF3006">
        <w:rPr>
          <w:bCs/>
          <w:color w:val="414042" w:themeColor="text1"/>
          <w:u w:color="E6E7E8" w:themeColor="background2"/>
        </w:rPr>
        <w:t xml:space="preserve">The CCC continues to progress </w:t>
      </w:r>
      <w:r w:rsidR="001A095C" w:rsidRPr="00DF3006">
        <w:rPr>
          <w:bCs/>
          <w:color w:val="414042" w:themeColor="text1"/>
          <w:u w:color="E6E7E8" w:themeColor="background2"/>
        </w:rPr>
        <w:t xml:space="preserve">the other </w:t>
      </w:r>
      <w:r w:rsidRPr="00DF3006">
        <w:rPr>
          <w:bCs/>
          <w:color w:val="414042" w:themeColor="text1"/>
          <w:u w:color="E6E7E8" w:themeColor="background2"/>
        </w:rPr>
        <w:t>four recommendations:</w:t>
      </w:r>
    </w:p>
    <w:p w14:paraId="161E6B13" w14:textId="0BEC1504" w:rsidR="00B9178A" w:rsidRPr="00DF3006" w:rsidRDefault="00B9178A" w:rsidP="00CF45DC">
      <w:pPr>
        <w:pStyle w:val="Bullets"/>
        <w:rPr>
          <w:color w:val="414042" w:themeColor="text1"/>
        </w:rPr>
      </w:pPr>
      <w:r w:rsidRPr="00DF3006">
        <w:rPr>
          <w:b/>
          <w:bCs/>
          <w:color w:val="414042" w:themeColor="text1"/>
        </w:rPr>
        <w:t>Recommendation 6</w:t>
      </w:r>
      <w:r w:rsidRPr="00DF3006">
        <w:rPr>
          <w:color w:val="414042" w:themeColor="text1"/>
        </w:rPr>
        <w:t xml:space="preserve"> has been impacted by the recent challenge to the exercise of our reporting powers and obligations with parliamentary privilege in the Supreme Court, then the Court of Appeal and our appeal to the High Court heard on 6 and 7 June 2023 (judgment reserved) </w:t>
      </w:r>
      <w:r w:rsidRPr="00DF3006">
        <w:rPr>
          <w:i/>
          <w:iCs/>
          <w:color w:val="414042" w:themeColor="text1"/>
        </w:rPr>
        <w:t xml:space="preserve">[Carne v Crime and Corruption Commission [2021] </w:t>
      </w:r>
      <w:proofErr w:type="spellStart"/>
      <w:r w:rsidRPr="00DF3006">
        <w:rPr>
          <w:i/>
          <w:iCs/>
          <w:color w:val="414042" w:themeColor="text1"/>
        </w:rPr>
        <w:t>QSC</w:t>
      </w:r>
      <w:proofErr w:type="spellEnd"/>
      <w:r w:rsidRPr="00DF3006">
        <w:rPr>
          <w:i/>
          <w:iCs/>
          <w:color w:val="414042" w:themeColor="text1"/>
        </w:rPr>
        <w:t xml:space="preserve"> 228, Carne v Crime and Corruption Commission [2022] </w:t>
      </w:r>
      <w:proofErr w:type="spellStart"/>
      <w:r w:rsidRPr="00DF3006">
        <w:rPr>
          <w:i/>
          <w:iCs/>
          <w:color w:val="414042" w:themeColor="text1"/>
        </w:rPr>
        <w:t>QCA</w:t>
      </w:r>
      <w:proofErr w:type="spellEnd"/>
      <w:r w:rsidRPr="00DF3006">
        <w:rPr>
          <w:i/>
          <w:iCs/>
          <w:color w:val="414042" w:themeColor="text1"/>
        </w:rPr>
        <w:t xml:space="preserve"> 141]</w:t>
      </w:r>
    </w:p>
    <w:p w14:paraId="0F4864C7" w14:textId="067037D2" w:rsidR="00C54E1D" w:rsidRPr="00DF3006" w:rsidRDefault="00C54E1D" w:rsidP="00C54E1D">
      <w:pPr>
        <w:pStyle w:val="Bullets"/>
        <w:rPr>
          <w:color w:val="414042" w:themeColor="text1"/>
        </w:rPr>
      </w:pPr>
      <w:r w:rsidRPr="00DF3006">
        <w:rPr>
          <w:bCs/>
          <w:color w:val="414042" w:themeColor="text1"/>
          <w:u w:color="E6E7E8" w:themeColor="background2"/>
        </w:rPr>
        <w:t>The</w:t>
      </w:r>
      <w:r w:rsidRPr="00DF3006">
        <w:rPr>
          <w:color w:val="414042" w:themeColor="text1"/>
        </w:rPr>
        <w:t xml:space="preserve"> CCC is engaged with</w:t>
      </w:r>
      <w:r w:rsidR="004E7753" w:rsidRPr="00DF3006">
        <w:rPr>
          <w:color w:val="414042" w:themeColor="text1"/>
        </w:rPr>
        <w:t xml:space="preserve"> </w:t>
      </w:r>
      <w:proofErr w:type="spellStart"/>
      <w:r w:rsidR="008D1425" w:rsidRPr="00DF3006">
        <w:rPr>
          <w:color w:val="414042" w:themeColor="text1"/>
        </w:rPr>
        <w:t>DJAG</w:t>
      </w:r>
      <w:proofErr w:type="spellEnd"/>
      <w:r w:rsidRPr="00DF3006">
        <w:rPr>
          <w:color w:val="414042" w:themeColor="text1"/>
        </w:rPr>
        <w:t xml:space="preserve"> regarding options to allow for the secretariat functions for the Commissioner for Police Service Review to be transferred from the CCC to another appropriate entity, separate from the QPS (</w:t>
      </w:r>
      <w:r w:rsidRPr="00DF3006">
        <w:rPr>
          <w:b/>
          <w:bCs/>
          <w:color w:val="414042" w:themeColor="text1"/>
        </w:rPr>
        <w:t>Recommendation 7</w:t>
      </w:r>
      <w:r w:rsidRPr="00DF3006">
        <w:rPr>
          <w:color w:val="414042" w:themeColor="text1"/>
        </w:rPr>
        <w:t>)</w:t>
      </w:r>
    </w:p>
    <w:p w14:paraId="79E9ABC4" w14:textId="08AA2117" w:rsidR="0009240A" w:rsidRPr="00DF3006" w:rsidRDefault="0009240A" w:rsidP="0009240A">
      <w:pPr>
        <w:pStyle w:val="Bullets"/>
        <w:rPr>
          <w:color w:val="414042" w:themeColor="text1"/>
        </w:rPr>
      </w:pPr>
      <w:r w:rsidRPr="00DF3006">
        <w:rPr>
          <w:color w:val="414042" w:themeColor="text1"/>
        </w:rPr>
        <w:t xml:space="preserve">The CCC and the Queensland Parliament (through the Speaker of the Legislative Assembly) </w:t>
      </w:r>
      <w:r w:rsidR="00CD758F" w:rsidRPr="00DF3006">
        <w:rPr>
          <w:color w:val="414042" w:themeColor="text1"/>
        </w:rPr>
        <w:t xml:space="preserve">will continue </w:t>
      </w:r>
      <w:r w:rsidR="00CC26B4" w:rsidRPr="00DF3006">
        <w:rPr>
          <w:color w:val="414042" w:themeColor="text1"/>
        </w:rPr>
        <w:t xml:space="preserve">working on </w:t>
      </w:r>
      <w:r w:rsidRPr="00DF3006">
        <w:rPr>
          <w:color w:val="414042" w:themeColor="text1"/>
        </w:rPr>
        <w:t>the development and implementation of an information sharing protocol for the dissemination of information held by the CCC that may be relevant to the Parliament in respect of the conduct of Members of Parliament (</w:t>
      </w:r>
      <w:r w:rsidRPr="00DF3006">
        <w:rPr>
          <w:b/>
          <w:bCs/>
          <w:color w:val="414042" w:themeColor="text1"/>
        </w:rPr>
        <w:t>Recommendation 23</w:t>
      </w:r>
      <w:r w:rsidRPr="00DF3006">
        <w:rPr>
          <w:color w:val="414042" w:themeColor="text1"/>
        </w:rPr>
        <w:t>)</w:t>
      </w:r>
    </w:p>
    <w:p w14:paraId="1260E1B7" w14:textId="7CA3B9B7" w:rsidR="00BF3018" w:rsidRPr="00DF3006" w:rsidRDefault="005D67C6" w:rsidP="008D1425">
      <w:pPr>
        <w:pStyle w:val="Bullets"/>
        <w:spacing w:before="120" w:after="160" w:line="260" w:lineRule="exact"/>
        <w:ind w:left="499" w:hanging="357"/>
        <w:rPr>
          <w:color w:val="414042" w:themeColor="text1"/>
        </w:rPr>
      </w:pPr>
      <w:r w:rsidRPr="00DF3006">
        <w:rPr>
          <w:color w:val="414042" w:themeColor="text1"/>
        </w:rPr>
        <w:lastRenderedPageBreak/>
        <w:t xml:space="preserve">Our new </w:t>
      </w:r>
      <w:r w:rsidRPr="00DF3006">
        <w:rPr>
          <w:i/>
          <w:iCs/>
          <w:color w:val="414042" w:themeColor="text1"/>
        </w:rPr>
        <w:t>Corruption Strategy 2023–27</w:t>
      </w:r>
      <w:r w:rsidRPr="00DF3006">
        <w:rPr>
          <w:color w:val="414042" w:themeColor="text1"/>
        </w:rPr>
        <w:t xml:space="preserve"> places much greater emphasis on creating shared responsibility for dealing with complaints and working together with our public and private sector partners. We will more effectively engage with our partners and deliver additional corruption-related guidance to improve public confidence that corruption complaints will be dealt with effectively (</w:t>
      </w:r>
      <w:r w:rsidRPr="00DF3006">
        <w:rPr>
          <w:b/>
          <w:bCs/>
          <w:color w:val="414042" w:themeColor="text1"/>
        </w:rPr>
        <w:t>Recommendation 29</w:t>
      </w:r>
      <w:r w:rsidRPr="00DF3006">
        <w:rPr>
          <w:color w:val="414042" w:themeColor="text1"/>
        </w:rPr>
        <w:t>).</w:t>
      </w:r>
    </w:p>
    <w:tbl>
      <w:tblPr>
        <w:tblStyle w:val="Annualreport2020-21"/>
        <w:tblW w:w="0" w:type="auto"/>
        <w:tblLook w:val="04A0" w:firstRow="1" w:lastRow="0" w:firstColumn="1" w:lastColumn="0" w:noHBand="0" w:noVBand="1"/>
      </w:tblPr>
      <w:tblGrid>
        <w:gridCol w:w="4535"/>
      </w:tblGrid>
      <w:tr w:rsidR="00DF3006" w:rsidRPr="00DF3006" w14:paraId="1F52B566" w14:textId="77777777" w:rsidTr="00BF5C92">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tcPr>
          <w:p w14:paraId="343639C3" w14:textId="77777777" w:rsidR="00527210" w:rsidRPr="00DF3006" w:rsidRDefault="00527210" w:rsidP="00463FBB">
            <w:pPr>
              <w:pStyle w:val="Heading4"/>
            </w:pPr>
            <w:r w:rsidRPr="00DF3006">
              <w:rPr>
                <w:b/>
              </w:rPr>
              <w:t>A call for change: Independent commission of inquiry into Queensland Police Service responses to domestic and family violence (</w:t>
            </w:r>
            <w:r w:rsidRPr="00DF3006">
              <w:rPr>
                <w:b/>
                <w:i/>
                <w:iCs/>
              </w:rPr>
              <w:t>DFV Inquiry</w:t>
            </w:r>
            <w:r w:rsidRPr="00DF3006">
              <w:rPr>
                <w:b/>
              </w:rPr>
              <w:t>)</w:t>
            </w:r>
            <w:r w:rsidRPr="00DF3006">
              <w:br/>
            </w:r>
            <w:r w:rsidRPr="00DF3006">
              <w:rPr>
                <w:rFonts w:asciiTheme="majorHAnsi" w:eastAsiaTheme="majorEastAsia" w:hAnsiTheme="majorHAnsi" w:cstheme="majorHAnsi"/>
              </w:rPr>
              <w:t>30 May 2022 to 21 November 2022</w:t>
            </w:r>
          </w:p>
        </w:tc>
      </w:tr>
    </w:tbl>
    <w:p w14:paraId="20D6401E" w14:textId="0CFF6621" w:rsidR="00F12C55" w:rsidRPr="00DF3006" w:rsidRDefault="00F12C55" w:rsidP="002932D2">
      <w:pPr>
        <w:spacing w:before="240"/>
        <w:rPr>
          <w:bCs/>
          <w:color w:val="414042" w:themeColor="text1"/>
          <w:u w:color="E6E7E8" w:themeColor="background2"/>
        </w:rPr>
      </w:pPr>
      <w:r w:rsidRPr="00DF3006">
        <w:rPr>
          <w:bCs/>
          <w:color w:val="414042" w:themeColor="text1"/>
          <w:u w:color="E6E7E8" w:themeColor="background2"/>
        </w:rPr>
        <w:t xml:space="preserve">The </w:t>
      </w:r>
      <w:r w:rsidRPr="00DF3006">
        <w:rPr>
          <w:bCs/>
          <w:i/>
          <w:iCs/>
          <w:color w:val="414042" w:themeColor="text1"/>
          <w:u w:color="E6E7E8" w:themeColor="background2"/>
        </w:rPr>
        <w:t>DFV Inquiry</w:t>
      </w:r>
      <w:r w:rsidRPr="00DF3006">
        <w:rPr>
          <w:bCs/>
          <w:color w:val="414042" w:themeColor="text1"/>
          <w:u w:color="E6E7E8" w:themeColor="background2"/>
        </w:rPr>
        <w:t xml:space="preserve"> was established</w:t>
      </w:r>
      <w:r w:rsidRPr="00DF3006">
        <w:rPr>
          <w:color w:val="414042" w:themeColor="text1"/>
        </w:rPr>
        <w:t xml:space="preserve"> </w:t>
      </w:r>
      <w:r w:rsidRPr="00DF3006">
        <w:rPr>
          <w:bCs/>
          <w:color w:val="414042" w:themeColor="text1"/>
          <w:u w:color="E6E7E8" w:themeColor="background2"/>
        </w:rPr>
        <w:t>to inquire into any cultural issues within the QPS that influence the investigation of domestic and family violence</w:t>
      </w:r>
      <w:r w:rsidR="002932D2" w:rsidRPr="00DF3006">
        <w:rPr>
          <w:bCs/>
          <w:color w:val="414042" w:themeColor="text1"/>
          <w:u w:color="E6E7E8" w:themeColor="background2"/>
        </w:rPr>
        <w:t xml:space="preserve"> (DFV)</w:t>
      </w:r>
      <w:r w:rsidRPr="00DF3006">
        <w:rPr>
          <w:bCs/>
          <w:color w:val="414042" w:themeColor="text1"/>
          <w:u w:color="E6E7E8" w:themeColor="background2"/>
        </w:rPr>
        <w:t xml:space="preserve">, and how those cultural issues contribute to the overrepresentation of First Nations peoples in the criminal justice system. The Commission </w:t>
      </w:r>
      <w:r w:rsidR="002932D2" w:rsidRPr="00DF3006">
        <w:rPr>
          <w:bCs/>
          <w:color w:val="414042" w:themeColor="text1"/>
          <w:u w:color="E6E7E8" w:themeColor="background2"/>
        </w:rPr>
        <w:t xml:space="preserve">also </w:t>
      </w:r>
      <w:r w:rsidRPr="00DF3006">
        <w:rPr>
          <w:bCs/>
          <w:color w:val="414042" w:themeColor="text1"/>
          <w:u w:color="E6E7E8" w:themeColor="background2"/>
        </w:rPr>
        <w:t>inquire</w:t>
      </w:r>
      <w:r w:rsidR="002932D2" w:rsidRPr="00DF3006">
        <w:rPr>
          <w:bCs/>
          <w:color w:val="414042" w:themeColor="text1"/>
          <w:u w:color="E6E7E8" w:themeColor="background2"/>
        </w:rPr>
        <w:t>d</w:t>
      </w:r>
      <w:r w:rsidRPr="00DF3006">
        <w:rPr>
          <w:bCs/>
          <w:color w:val="414042" w:themeColor="text1"/>
          <w:u w:color="E6E7E8" w:themeColor="background2"/>
        </w:rPr>
        <w:t xml:space="preserve"> into the capability, </w:t>
      </w:r>
      <w:proofErr w:type="gramStart"/>
      <w:r w:rsidRPr="00DF3006">
        <w:rPr>
          <w:bCs/>
          <w:color w:val="414042" w:themeColor="text1"/>
          <w:u w:color="E6E7E8" w:themeColor="background2"/>
        </w:rPr>
        <w:t>capacity</w:t>
      </w:r>
      <w:proofErr w:type="gramEnd"/>
      <w:r w:rsidRPr="00DF3006">
        <w:rPr>
          <w:bCs/>
          <w:color w:val="414042" w:themeColor="text1"/>
          <w:u w:color="E6E7E8" w:themeColor="background2"/>
        </w:rPr>
        <w:t xml:space="preserve"> and structure of the QPS to respond to </w:t>
      </w:r>
      <w:r w:rsidR="002932D2" w:rsidRPr="00DF3006">
        <w:rPr>
          <w:bCs/>
          <w:color w:val="414042" w:themeColor="text1"/>
          <w:u w:color="E6E7E8" w:themeColor="background2"/>
        </w:rPr>
        <w:t>DFV</w:t>
      </w:r>
      <w:r w:rsidRPr="00DF3006">
        <w:rPr>
          <w:bCs/>
          <w:color w:val="414042" w:themeColor="text1"/>
          <w:u w:color="E6E7E8" w:themeColor="background2"/>
        </w:rPr>
        <w:t>, and the adequacy of the processes for dealing with complaints about police officers to ensure the community confidence in the QPS.</w:t>
      </w:r>
    </w:p>
    <w:p w14:paraId="25DD1A63" w14:textId="29E5F083" w:rsidR="00B43636" w:rsidRPr="00DF3006" w:rsidRDefault="004E7753" w:rsidP="00B43636">
      <w:pPr>
        <w:rPr>
          <w:bCs/>
          <w:color w:val="414042" w:themeColor="text1"/>
          <w:u w:color="E6E7E8" w:themeColor="background2"/>
        </w:rPr>
      </w:pPr>
      <w:r w:rsidRPr="00DF3006">
        <w:rPr>
          <w:bCs/>
          <w:color w:val="414042" w:themeColor="text1"/>
          <w:u w:color="E6E7E8" w:themeColor="background2"/>
        </w:rPr>
        <w:br w:type="column"/>
      </w:r>
      <w:r w:rsidR="00B43636" w:rsidRPr="00DF3006">
        <w:rPr>
          <w:bCs/>
          <w:color w:val="414042" w:themeColor="text1"/>
          <w:u w:color="E6E7E8" w:themeColor="background2"/>
        </w:rPr>
        <w:t xml:space="preserve">The final report was publicly released on 21 November 2022 and made 78 recommendations, of which </w:t>
      </w:r>
      <w:r w:rsidR="00984309" w:rsidRPr="00DF3006">
        <w:rPr>
          <w:bCs/>
          <w:color w:val="414042" w:themeColor="text1"/>
          <w:u w:color="E6E7E8" w:themeColor="background2"/>
        </w:rPr>
        <w:t>tw</w:t>
      </w:r>
      <w:r w:rsidR="00787E23" w:rsidRPr="00DF3006">
        <w:rPr>
          <w:bCs/>
          <w:color w:val="414042" w:themeColor="text1"/>
          <w:u w:color="E6E7E8" w:themeColor="background2"/>
        </w:rPr>
        <w:t>o</w:t>
      </w:r>
      <w:r w:rsidR="00984309" w:rsidRPr="00DF3006">
        <w:rPr>
          <w:bCs/>
          <w:color w:val="414042" w:themeColor="text1"/>
          <w:u w:color="E6E7E8" w:themeColor="background2"/>
        </w:rPr>
        <w:t xml:space="preserve"> </w:t>
      </w:r>
      <w:r w:rsidR="00787E23" w:rsidRPr="00DF3006">
        <w:rPr>
          <w:bCs/>
          <w:color w:val="414042" w:themeColor="text1"/>
          <w:u w:color="E6E7E8" w:themeColor="background2"/>
        </w:rPr>
        <w:t>(</w:t>
      </w:r>
      <w:r w:rsidR="007E7B4C" w:rsidRPr="00DF3006">
        <w:rPr>
          <w:b/>
          <w:bCs/>
          <w:color w:val="414042" w:themeColor="text1"/>
        </w:rPr>
        <w:t>Recommendations</w:t>
      </w:r>
      <w:r w:rsidR="00787E23" w:rsidRPr="00DF3006">
        <w:rPr>
          <w:bCs/>
          <w:color w:val="414042" w:themeColor="text1"/>
          <w:u w:color="E6E7E8" w:themeColor="background2"/>
        </w:rPr>
        <w:t xml:space="preserve"> </w:t>
      </w:r>
      <w:r w:rsidR="00787E23" w:rsidRPr="00DF3006">
        <w:rPr>
          <w:b/>
          <w:color w:val="414042" w:themeColor="text1"/>
          <w:u w:color="E6E7E8" w:themeColor="background2"/>
        </w:rPr>
        <w:t>70</w:t>
      </w:r>
      <w:r w:rsidR="00787E23" w:rsidRPr="00DF3006">
        <w:rPr>
          <w:bCs/>
          <w:color w:val="414042" w:themeColor="text1"/>
          <w:u w:color="E6E7E8" w:themeColor="background2"/>
        </w:rPr>
        <w:t xml:space="preserve"> and </w:t>
      </w:r>
      <w:r w:rsidR="00787E23" w:rsidRPr="00DF3006">
        <w:rPr>
          <w:b/>
          <w:color w:val="414042" w:themeColor="text1"/>
          <w:u w:color="E6E7E8" w:themeColor="background2"/>
        </w:rPr>
        <w:t>71</w:t>
      </w:r>
      <w:r w:rsidR="00787E23" w:rsidRPr="00DF3006">
        <w:rPr>
          <w:bCs/>
          <w:color w:val="414042" w:themeColor="text1"/>
          <w:u w:color="E6E7E8" w:themeColor="background2"/>
        </w:rPr>
        <w:t xml:space="preserve">) </w:t>
      </w:r>
      <w:r w:rsidR="00984309" w:rsidRPr="00DF3006">
        <w:rPr>
          <w:bCs/>
          <w:color w:val="414042" w:themeColor="text1"/>
          <w:u w:color="E6E7E8" w:themeColor="background2"/>
        </w:rPr>
        <w:t>were directed at the CCC</w:t>
      </w:r>
      <w:r w:rsidR="00787E23" w:rsidRPr="00DF3006">
        <w:rPr>
          <w:bCs/>
          <w:color w:val="414042" w:themeColor="text1"/>
          <w:u w:color="E6E7E8" w:themeColor="background2"/>
        </w:rPr>
        <w:t xml:space="preserve"> </w:t>
      </w:r>
      <w:r w:rsidR="00984309" w:rsidRPr="00DF3006">
        <w:rPr>
          <w:bCs/>
          <w:color w:val="414042" w:themeColor="text1"/>
          <w:u w:color="E6E7E8" w:themeColor="background2"/>
        </w:rPr>
        <w:t xml:space="preserve">and two </w:t>
      </w:r>
      <w:r w:rsidR="00787E23" w:rsidRPr="00DF3006">
        <w:rPr>
          <w:bCs/>
          <w:color w:val="414042" w:themeColor="text1"/>
          <w:u w:color="E6E7E8" w:themeColor="background2"/>
        </w:rPr>
        <w:t>(</w:t>
      </w:r>
      <w:r w:rsidR="007E7B4C" w:rsidRPr="00DF3006">
        <w:rPr>
          <w:b/>
          <w:bCs/>
          <w:color w:val="414042" w:themeColor="text1"/>
        </w:rPr>
        <w:t>Recommendations</w:t>
      </w:r>
      <w:r w:rsidR="00787E23" w:rsidRPr="00DF3006">
        <w:rPr>
          <w:bCs/>
          <w:color w:val="414042" w:themeColor="text1"/>
          <w:u w:color="E6E7E8" w:themeColor="background2"/>
        </w:rPr>
        <w:t xml:space="preserve"> </w:t>
      </w:r>
      <w:r w:rsidR="00787E23" w:rsidRPr="00DF3006">
        <w:rPr>
          <w:b/>
          <w:color w:val="414042" w:themeColor="text1"/>
          <w:u w:color="E6E7E8" w:themeColor="background2"/>
        </w:rPr>
        <w:t>68</w:t>
      </w:r>
      <w:r w:rsidR="00787E23" w:rsidRPr="00DF3006">
        <w:rPr>
          <w:bCs/>
          <w:color w:val="414042" w:themeColor="text1"/>
          <w:u w:color="E6E7E8" w:themeColor="background2"/>
        </w:rPr>
        <w:t xml:space="preserve"> and </w:t>
      </w:r>
      <w:r w:rsidR="00787E23" w:rsidRPr="00DF3006">
        <w:rPr>
          <w:b/>
          <w:color w:val="414042" w:themeColor="text1"/>
          <w:u w:color="E6E7E8" w:themeColor="background2"/>
        </w:rPr>
        <w:t>69</w:t>
      </w:r>
      <w:r w:rsidR="00787E23" w:rsidRPr="00DF3006">
        <w:rPr>
          <w:bCs/>
          <w:color w:val="414042" w:themeColor="text1"/>
          <w:u w:color="E6E7E8" w:themeColor="background2"/>
        </w:rPr>
        <w:t xml:space="preserve">) </w:t>
      </w:r>
      <w:r w:rsidR="00984309" w:rsidRPr="00DF3006">
        <w:rPr>
          <w:bCs/>
          <w:color w:val="414042" w:themeColor="text1"/>
          <w:u w:color="E6E7E8" w:themeColor="background2"/>
        </w:rPr>
        <w:t>which will</w:t>
      </w:r>
      <w:r w:rsidR="00787E23" w:rsidRPr="00DF3006">
        <w:rPr>
          <w:bCs/>
          <w:color w:val="414042" w:themeColor="text1"/>
          <w:u w:color="E6E7E8" w:themeColor="background2"/>
        </w:rPr>
        <w:t xml:space="preserve"> </w:t>
      </w:r>
      <w:r w:rsidR="00B43636" w:rsidRPr="00DF3006">
        <w:rPr>
          <w:bCs/>
          <w:color w:val="414042" w:themeColor="text1"/>
          <w:u w:color="E6E7E8" w:themeColor="background2"/>
        </w:rPr>
        <w:t xml:space="preserve">directly impact the CCC </w:t>
      </w:r>
      <w:r w:rsidR="00984309" w:rsidRPr="00DF3006">
        <w:rPr>
          <w:bCs/>
          <w:color w:val="414042" w:themeColor="text1"/>
          <w:u w:color="E6E7E8" w:themeColor="background2"/>
        </w:rPr>
        <w:t xml:space="preserve">if the Queensland Government supports </w:t>
      </w:r>
      <w:r w:rsidR="00BD0C90" w:rsidRPr="00DF3006">
        <w:rPr>
          <w:bCs/>
          <w:color w:val="414042" w:themeColor="text1"/>
          <w:u w:color="E6E7E8" w:themeColor="background2"/>
        </w:rPr>
        <w:t>the establishment</w:t>
      </w:r>
      <w:r w:rsidR="00B43636" w:rsidRPr="00DF3006">
        <w:rPr>
          <w:bCs/>
          <w:color w:val="414042" w:themeColor="text1"/>
          <w:u w:color="E6E7E8" w:themeColor="background2"/>
        </w:rPr>
        <w:t xml:space="preserve"> of an independent Police Integrity Unit to be housed within the CCC. </w:t>
      </w:r>
    </w:p>
    <w:p w14:paraId="3678A086" w14:textId="6F32D78E" w:rsidR="00527210" w:rsidRPr="00DF3006" w:rsidRDefault="002932D2" w:rsidP="00040E63">
      <w:pPr>
        <w:rPr>
          <w:color w:val="414042" w:themeColor="text1"/>
        </w:rPr>
      </w:pPr>
      <w:r w:rsidRPr="00DF3006">
        <w:rPr>
          <w:bCs/>
          <w:color w:val="414042" w:themeColor="text1"/>
          <w:u w:color="E6E7E8" w:themeColor="background2"/>
        </w:rPr>
        <w:t>We</w:t>
      </w:r>
      <w:r w:rsidR="00527210" w:rsidRPr="00DF3006">
        <w:rPr>
          <w:bCs/>
          <w:color w:val="414042" w:themeColor="text1"/>
          <w:u w:color="E6E7E8" w:themeColor="background2"/>
        </w:rPr>
        <w:t xml:space="preserve"> commenced work on designing and evaluating </w:t>
      </w:r>
      <w:r w:rsidR="00787E23" w:rsidRPr="00DF3006">
        <w:rPr>
          <w:bCs/>
          <w:color w:val="414042" w:themeColor="text1"/>
          <w:u w:color="E6E7E8" w:themeColor="background2"/>
        </w:rPr>
        <w:t xml:space="preserve">options </w:t>
      </w:r>
      <w:r w:rsidR="00527210" w:rsidRPr="00DF3006">
        <w:rPr>
          <w:bCs/>
          <w:color w:val="414042" w:themeColor="text1"/>
          <w:u w:color="E6E7E8" w:themeColor="background2"/>
        </w:rPr>
        <w:t xml:space="preserve">for the management of police conduct and complaints which seek to best achieve an effective complaints system that is independent, </w:t>
      </w:r>
      <w:proofErr w:type="gramStart"/>
      <w:r w:rsidR="00527210" w:rsidRPr="00DF3006">
        <w:rPr>
          <w:bCs/>
          <w:color w:val="414042" w:themeColor="text1"/>
          <w:u w:color="E6E7E8" w:themeColor="background2"/>
        </w:rPr>
        <w:t>effective</w:t>
      </w:r>
      <w:proofErr w:type="gramEnd"/>
      <w:r w:rsidR="00527210" w:rsidRPr="00DF3006">
        <w:rPr>
          <w:bCs/>
          <w:color w:val="414042" w:themeColor="text1"/>
          <w:u w:color="E6E7E8" w:themeColor="background2"/>
        </w:rPr>
        <w:t xml:space="preserve"> and fair, accessible and responsive, transparent, timely and proportionate.</w:t>
      </w:r>
      <w:r w:rsidR="0000709C" w:rsidRPr="00DF3006">
        <w:rPr>
          <w:bCs/>
          <w:color w:val="414042" w:themeColor="text1"/>
          <w:u w:color="E6E7E8" w:themeColor="background2"/>
        </w:rPr>
        <w:t xml:space="preserve"> Specific a</w:t>
      </w:r>
      <w:r w:rsidR="00527210" w:rsidRPr="00DF3006">
        <w:rPr>
          <w:color w:val="414042" w:themeColor="text1"/>
        </w:rPr>
        <w:t xml:space="preserve">ctivities </w:t>
      </w:r>
      <w:r w:rsidR="00EF723C" w:rsidRPr="00DF3006">
        <w:rPr>
          <w:color w:val="414042" w:themeColor="text1"/>
        </w:rPr>
        <w:t xml:space="preserve">in support of </w:t>
      </w:r>
      <w:r w:rsidR="00EF723C" w:rsidRPr="00DF3006">
        <w:rPr>
          <w:b/>
          <w:bCs/>
          <w:color w:val="414042" w:themeColor="text1"/>
        </w:rPr>
        <w:t>Recommendation</w:t>
      </w:r>
      <w:r w:rsidRPr="00DF3006">
        <w:rPr>
          <w:b/>
          <w:bCs/>
          <w:color w:val="414042" w:themeColor="text1"/>
        </w:rPr>
        <w:t>s</w:t>
      </w:r>
      <w:r w:rsidR="00EF723C" w:rsidRPr="00DF3006">
        <w:rPr>
          <w:b/>
          <w:bCs/>
          <w:color w:val="414042" w:themeColor="text1"/>
        </w:rPr>
        <w:t xml:space="preserve"> </w:t>
      </w:r>
      <w:r w:rsidRPr="00DF3006">
        <w:rPr>
          <w:b/>
          <w:bCs/>
          <w:color w:val="414042" w:themeColor="text1"/>
        </w:rPr>
        <w:t>68</w:t>
      </w:r>
      <w:r w:rsidR="0000709C" w:rsidRPr="00DF3006">
        <w:rPr>
          <w:b/>
          <w:bCs/>
          <w:color w:val="414042" w:themeColor="text1"/>
        </w:rPr>
        <w:t>–</w:t>
      </w:r>
      <w:r w:rsidR="00EF723C" w:rsidRPr="00DF3006">
        <w:rPr>
          <w:b/>
          <w:bCs/>
          <w:color w:val="414042" w:themeColor="text1"/>
        </w:rPr>
        <w:t>7</w:t>
      </w:r>
      <w:r w:rsidR="0000709C" w:rsidRPr="00DF3006">
        <w:rPr>
          <w:b/>
          <w:bCs/>
          <w:color w:val="414042" w:themeColor="text1"/>
        </w:rPr>
        <w:t xml:space="preserve">0 </w:t>
      </w:r>
      <w:r w:rsidR="00527210" w:rsidRPr="00DF3006">
        <w:rPr>
          <w:color w:val="414042" w:themeColor="text1"/>
        </w:rPr>
        <w:t>have included:</w:t>
      </w:r>
    </w:p>
    <w:p w14:paraId="4CB30FB8" w14:textId="7BF8FF92" w:rsidR="00527210" w:rsidRPr="00DF3006" w:rsidRDefault="00527210" w:rsidP="00527210">
      <w:pPr>
        <w:pStyle w:val="Bullets"/>
        <w:rPr>
          <w:color w:val="414042" w:themeColor="text1"/>
        </w:rPr>
      </w:pPr>
      <w:r w:rsidRPr="00DF3006">
        <w:rPr>
          <w:color w:val="414042" w:themeColor="text1"/>
        </w:rPr>
        <w:t xml:space="preserve">our Chairperson and CEO travelling to Northern Ireland to meet with academics, law enforcement personnel and integrity agencies to learn more about their approach to police integrity </w:t>
      </w:r>
      <w:proofErr w:type="gramStart"/>
      <w:r w:rsidRPr="00DF3006">
        <w:rPr>
          <w:color w:val="414042" w:themeColor="text1"/>
        </w:rPr>
        <w:t>oversight</w:t>
      </w:r>
      <w:proofErr w:type="gramEnd"/>
    </w:p>
    <w:p w14:paraId="0C6ED3EC" w14:textId="77777777" w:rsidR="00527210" w:rsidRPr="00DF3006" w:rsidRDefault="00527210" w:rsidP="00527210">
      <w:pPr>
        <w:pStyle w:val="Bullets"/>
        <w:rPr>
          <w:color w:val="414042" w:themeColor="text1"/>
        </w:rPr>
      </w:pPr>
      <w:r w:rsidRPr="00DF3006">
        <w:rPr>
          <w:color w:val="414042" w:themeColor="text1"/>
        </w:rPr>
        <w:t xml:space="preserve">consultation with relevant stakeholders, including many non-government organisations who were involved in the </w:t>
      </w:r>
      <w:r w:rsidRPr="00DF3006">
        <w:rPr>
          <w:i/>
          <w:iCs/>
          <w:color w:val="414042" w:themeColor="text1"/>
        </w:rPr>
        <w:t>DFV Inquiry</w:t>
      </w:r>
      <w:r w:rsidRPr="00DF3006">
        <w:rPr>
          <w:color w:val="414042" w:themeColor="text1"/>
        </w:rPr>
        <w:t xml:space="preserve"> process, and</w:t>
      </w:r>
    </w:p>
    <w:p w14:paraId="12C4C28E" w14:textId="72829232" w:rsidR="00527210" w:rsidRPr="00DF3006" w:rsidRDefault="00527210" w:rsidP="00527210">
      <w:pPr>
        <w:pStyle w:val="Bullets"/>
        <w:rPr>
          <w:color w:val="414042" w:themeColor="text1"/>
        </w:rPr>
      </w:pPr>
      <w:r w:rsidRPr="00DF3006">
        <w:rPr>
          <w:color w:val="414042" w:themeColor="text1"/>
        </w:rPr>
        <w:t xml:space="preserve">engagement of an independent consultant to </w:t>
      </w:r>
      <w:r w:rsidR="00787E23" w:rsidRPr="00DF3006">
        <w:rPr>
          <w:color w:val="414042" w:themeColor="text1"/>
        </w:rPr>
        <w:t xml:space="preserve">assist in the development of an options analysis and </w:t>
      </w:r>
      <w:r w:rsidRPr="00DF3006">
        <w:rPr>
          <w:color w:val="414042" w:themeColor="text1"/>
        </w:rPr>
        <w:t>draft implementation plan</w:t>
      </w:r>
      <w:r w:rsidR="00787E23" w:rsidRPr="00DF3006">
        <w:rPr>
          <w:color w:val="414042" w:themeColor="text1"/>
        </w:rPr>
        <w:t>s</w:t>
      </w:r>
      <w:r w:rsidRPr="00DF3006">
        <w:rPr>
          <w:color w:val="414042" w:themeColor="text1"/>
        </w:rPr>
        <w:t xml:space="preserve"> for consideration by </w:t>
      </w:r>
      <w:r w:rsidR="00787E23" w:rsidRPr="00DF3006">
        <w:rPr>
          <w:color w:val="414042" w:themeColor="text1"/>
        </w:rPr>
        <w:t xml:space="preserve">the Queensland </w:t>
      </w:r>
      <w:r w:rsidRPr="00DF3006">
        <w:rPr>
          <w:color w:val="414042" w:themeColor="text1"/>
        </w:rPr>
        <w:t>Government.</w:t>
      </w:r>
    </w:p>
    <w:p w14:paraId="37CBE301" w14:textId="77777777" w:rsidR="00B4047B" w:rsidRPr="00DF3006" w:rsidRDefault="00B4047B" w:rsidP="0073442A">
      <w:pPr>
        <w:pStyle w:val="Bullets"/>
        <w:numPr>
          <w:ilvl w:val="0"/>
          <w:numId w:val="0"/>
        </w:numPr>
        <w:rPr>
          <w:color w:val="414042" w:themeColor="text1"/>
        </w:rPr>
      </w:pPr>
    </w:p>
    <w:p w14:paraId="7A09B007" w14:textId="599325D3" w:rsidR="00B4047B" w:rsidRPr="00DF3006" w:rsidRDefault="00B4047B" w:rsidP="00B4047B">
      <w:pPr>
        <w:rPr>
          <w:color w:val="414042" w:themeColor="text1"/>
        </w:rPr>
      </w:pPr>
    </w:p>
    <w:p w14:paraId="7D1EECB6" w14:textId="266BF2E3" w:rsidR="004E7753" w:rsidRPr="00DF3006" w:rsidRDefault="004E7753" w:rsidP="00B4047B">
      <w:pPr>
        <w:rPr>
          <w:color w:val="414042" w:themeColor="text1"/>
        </w:rPr>
      </w:pPr>
    </w:p>
    <w:p w14:paraId="1651B02E" w14:textId="56E093A6" w:rsidR="004E7753" w:rsidRPr="00DF3006" w:rsidRDefault="004E7753" w:rsidP="00B4047B">
      <w:pPr>
        <w:rPr>
          <w:color w:val="414042" w:themeColor="text1"/>
        </w:rPr>
      </w:pPr>
    </w:p>
    <w:p w14:paraId="36B3126B" w14:textId="0ED655C9" w:rsidR="004E7753" w:rsidRPr="00DF3006" w:rsidRDefault="004E7753" w:rsidP="00B4047B">
      <w:pPr>
        <w:rPr>
          <w:color w:val="414042" w:themeColor="text1"/>
        </w:rPr>
      </w:pPr>
    </w:p>
    <w:p w14:paraId="4FA5BB5D" w14:textId="2411B33B" w:rsidR="004E7753" w:rsidRPr="00DF3006" w:rsidRDefault="004E7753" w:rsidP="00B4047B">
      <w:pPr>
        <w:rPr>
          <w:color w:val="414042" w:themeColor="text1"/>
        </w:rPr>
      </w:pPr>
    </w:p>
    <w:p w14:paraId="5615AD1B" w14:textId="77777777" w:rsidR="004E7753" w:rsidRPr="00DF3006" w:rsidRDefault="004E7753" w:rsidP="00B4047B">
      <w:pPr>
        <w:rPr>
          <w:color w:val="414042" w:themeColor="text1"/>
        </w:rPr>
      </w:pPr>
    </w:p>
    <w:p w14:paraId="4A977F97" w14:textId="77777777" w:rsidR="00B4047B" w:rsidRPr="00DF3006" w:rsidRDefault="00B4047B" w:rsidP="00B4047B">
      <w:pPr>
        <w:rPr>
          <w:color w:val="414042" w:themeColor="text1"/>
        </w:rPr>
      </w:pPr>
    </w:p>
    <w:p w14:paraId="169E181E" w14:textId="2F3F7DA9" w:rsidR="00B4047B" w:rsidRPr="00DF3006" w:rsidRDefault="00B4047B" w:rsidP="00B9178A">
      <w:pPr>
        <w:rPr>
          <w:i/>
          <w:color w:val="414042" w:themeColor="text1"/>
          <w:szCs w:val="20"/>
        </w:rPr>
        <w:sectPr w:rsidR="00B4047B" w:rsidRPr="00DF3006" w:rsidSect="00C77834">
          <w:headerReference w:type="even" r:id="rId145"/>
          <w:headerReference w:type="default" r:id="rId146"/>
          <w:headerReference w:type="first" r:id="rId147"/>
          <w:type w:val="continuous"/>
          <w:pgSz w:w="11906" w:h="16838" w:code="9"/>
          <w:pgMar w:top="2155" w:right="1134" w:bottom="964" w:left="1134" w:header="720" w:footer="284" w:gutter="0"/>
          <w:cols w:num="2" w:space="567"/>
          <w:noEndnote/>
          <w:docGrid w:linePitch="272"/>
        </w:sectPr>
      </w:pPr>
    </w:p>
    <w:p w14:paraId="08113154" w14:textId="5729EBF7" w:rsidR="00040E63" w:rsidRPr="00DF3006" w:rsidRDefault="00040E63" w:rsidP="00463FBB">
      <w:pPr>
        <w:pStyle w:val="Heading4b"/>
      </w:pPr>
      <w:r w:rsidRPr="00DF3006">
        <w:t>Table 1: S</w:t>
      </w:r>
      <w:r w:rsidR="00BF3018" w:rsidRPr="00DF3006">
        <w:t>tatus</w:t>
      </w:r>
      <w:r w:rsidRPr="00DF3006">
        <w:t xml:space="preserve"> of recommendations arising from external inquiries and reviews</w:t>
      </w:r>
    </w:p>
    <w:tbl>
      <w:tblPr>
        <w:tblStyle w:val="TableGridLight"/>
        <w:tblW w:w="0" w:type="auto"/>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2234"/>
        <w:gridCol w:w="1565"/>
        <w:gridCol w:w="1504"/>
        <w:gridCol w:w="1601"/>
        <w:gridCol w:w="1442"/>
        <w:gridCol w:w="1282"/>
      </w:tblGrid>
      <w:tr w:rsidR="00DF3006" w:rsidRPr="00DF3006" w14:paraId="7E93D248" w14:textId="77777777" w:rsidTr="00724248">
        <w:trPr>
          <w:trHeight w:val="340"/>
        </w:trPr>
        <w:tc>
          <w:tcPr>
            <w:tcW w:w="9628" w:type="dxa"/>
            <w:gridSpan w:val="6"/>
            <w:tcBorders>
              <w:bottom w:val="nil"/>
            </w:tcBorders>
            <w:shd w:val="clear" w:color="auto" w:fill="auto"/>
          </w:tcPr>
          <w:p w14:paraId="2BD0A698" w14:textId="05DC7595" w:rsidR="00BD0C90" w:rsidRPr="00DF3006" w:rsidRDefault="00BD0C90" w:rsidP="00BD0C90">
            <w:pPr>
              <w:spacing w:after="0" w:line="260" w:lineRule="exact"/>
              <w:contextualSpacing/>
              <w:jc w:val="center"/>
              <w:rPr>
                <w:rFonts w:ascii="Calibri" w:hAnsi="Calibri" w:cs="Calibri"/>
                <w:b/>
                <w:bCs/>
                <w:color w:val="414042" w:themeColor="text1"/>
              </w:rPr>
            </w:pPr>
            <w:r w:rsidRPr="00DF3006">
              <w:rPr>
                <w:rFonts w:ascii="Calibri" w:hAnsi="Calibri" w:cs="Calibri"/>
                <w:b/>
                <w:bCs/>
                <w:color w:val="414042" w:themeColor="text1"/>
              </w:rPr>
              <w:t>N</w:t>
            </w:r>
            <w:r w:rsidRPr="00DF3006">
              <w:rPr>
                <w:rFonts w:ascii="Calibri" w:hAnsi="Calibri"/>
                <w:b/>
                <w:bCs/>
                <w:color w:val="414042" w:themeColor="text1"/>
              </w:rPr>
              <w:t>o. and s</w:t>
            </w:r>
            <w:r w:rsidRPr="00DF3006">
              <w:rPr>
                <w:rFonts w:ascii="Calibri" w:hAnsi="Calibri" w:cs="Calibri"/>
                <w:b/>
                <w:bCs/>
                <w:color w:val="414042" w:themeColor="text1"/>
              </w:rPr>
              <w:t>tatus of recommendations for which the CCC has d</w:t>
            </w:r>
            <w:r w:rsidRPr="00DF3006">
              <w:rPr>
                <w:rFonts w:ascii="Calibri" w:hAnsi="Calibri"/>
                <w:b/>
                <w:bCs/>
                <w:color w:val="414042" w:themeColor="text1"/>
              </w:rPr>
              <w:t xml:space="preserve">irect </w:t>
            </w:r>
            <w:r w:rsidRPr="00DF3006">
              <w:rPr>
                <w:rFonts w:ascii="Calibri" w:hAnsi="Calibri" w:cs="Calibri"/>
                <w:b/>
                <w:bCs/>
                <w:color w:val="414042" w:themeColor="text1"/>
              </w:rPr>
              <w:t>responsibility</w:t>
            </w:r>
          </w:p>
        </w:tc>
      </w:tr>
      <w:tr w:rsidR="00DF3006" w:rsidRPr="00DF3006" w14:paraId="4AA18DFA" w14:textId="77777777" w:rsidTr="00B4047B">
        <w:trPr>
          <w:trHeight w:val="340"/>
        </w:trPr>
        <w:tc>
          <w:tcPr>
            <w:tcW w:w="2234" w:type="dxa"/>
            <w:tcBorders>
              <w:top w:val="nil"/>
              <w:bottom w:val="single" w:sz="4" w:space="0" w:color="BFBFBF" w:themeColor="background1" w:themeShade="BF"/>
            </w:tcBorders>
            <w:shd w:val="clear" w:color="auto" w:fill="E6E7E8" w:themeFill="accent6"/>
            <w:vAlign w:val="center"/>
          </w:tcPr>
          <w:p w14:paraId="07F715C9" w14:textId="2E852053" w:rsidR="00040E63" w:rsidRPr="00DF3006" w:rsidRDefault="00040E63" w:rsidP="00B4047B">
            <w:pPr>
              <w:spacing w:after="0" w:line="260" w:lineRule="exact"/>
              <w:contextualSpacing/>
              <w:rPr>
                <w:rFonts w:ascii="Calibri" w:hAnsi="Calibri" w:cs="Calibri"/>
                <w:b/>
                <w:bCs/>
                <w:color w:val="414042" w:themeColor="text1"/>
              </w:rPr>
            </w:pPr>
            <w:r w:rsidRPr="00DF3006">
              <w:rPr>
                <w:rFonts w:ascii="Calibri" w:hAnsi="Calibri" w:cs="Calibri"/>
                <w:b/>
                <w:bCs/>
                <w:color w:val="414042" w:themeColor="text1"/>
              </w:rPr>
              <w:t>Inquiry or Review</w:t>
            </w:r>
          </w:p>
        </w:tc>
        <w:tc>
          <w:tcPr>
            <w:tcW w:w="1565" w:type="dxa"/>
            <w:shd w:val="clear" w:color="auto" w:fill="E6E7E8" w:themeFill="accent6"/>
          </w:tcPr>
          <w:p w14:paraId="2D0B7CCA" w14:textId="77777777" w:rsidR="00040E63" w:rsidRPr="00DF3006" w:rsidRDefault="00040E63" w:rsidP="00B4047B">
            <w:pPr>
              <w:spacing w:after="0" w:line="260" w:lineRule="exact"/>
              <w:contextualSpacing/>
              <w:jc w:val="center"/>
              <w:rPr>
                <w:rFonts w:ascii="Calibri" w:hAnsi="Calibri" w:cs="Calibri"/>
                <w:b/>
                <w:bCs/>
                <w:color w:val="414042" w:themeColor="text1"/>
              </w:rPr>
            </w:pPr>
            <w:r w:rsidRPr="00DF3006">
              <w:rPr>
                <w:rFonts w:ascii="Calibri" w:hAnsi="Calibri" w:cs="Calibri"/>
                <w:b/>
                <w:bCs/>
                <w:color w:val="414042" w:themeColor="text1"/>
              </w:rPr>
              <w:t>Completed</w:t>
            </w:r>
          </w:p>
        </w:tc>
        <w:tc>
          <w:tcPr>
            <w:tcW w:w="1504" w:type="dxa"/>
            <w:shd w:val="clear" w:color="auto" w:fill="E6E7E8" w:themeFill="accent6"/>
          </w:tcPr>
          <w:p w14:paraId="2CBF10C6" w14:textId="77777777" w:rsidR="00040E63" w:rsidRPr="00DF3006" w:rsidRDefault="00040E63" w:rsidP="00B4047B">
            <w:pPr>
              <w:spacing w:after="0" w:line="260" w:lineRule="exact"/>
              <w:contextualSpacing/>
              <w:jc w:val="center"/>
              <w:rPr>
                <w:rFonts w:ascii="Calibri" w:hAnsi="Calibri" w:cs="Calibri"/>
                <w:b/>
                <w:bCs/>
                <w:color w:val="414042" w:themeColor="text1"/>
              </w:rPr>
            </w:pPr>
            <w:r w:rsidRPr="00DF3006">
              <w:rPr>
                <w:rFonts w:ascii="Calibri" w:hAnsi="Calibri" w:cs="Calibri"/>
                <w:b/>
                <w:bCs/>
                <w:color w:val="414042" w:themeColor="text1"/>
              </w:rPr>
              <w:t>In progress</w:t>
            </w:r>
          </w:p>
        </w:tc>
        <w:tc>
          <w:tcPr>
            <w:tcW w:w="1601" w:type="dxa"/>
            <w:shd w:val="clear" w:color="auto" w:fill="E6E7E8" w:themeFill="accent6"/>
          </w:tcPr>
          <w:p w14:paraId="38F34908" w14:textId="77777777" w:rsidR="00040E63" w:rsidRPr="00DF3006" w:rsidRDefault="00040E63" w:rsidP="00B4047B">
            <w:pPr>
              <w:spacing w:after="0" w:line="260" w:lineRule="exact"/>
              <w:contextualSpacing/>
              <w:jc w:val="center"/>
              <w:rPr>
                <w:rFonts w:ascii="Calibri" w:hAnsi="Calibri" w:cs="Calibri"/>
                <w:b/>
                <w:bCs/>
                <w:color w:val="414042" w:themeColor="text1"/>
              </w:rPr>
            </w:pPr>
            <w:r w:rsidRPr="00DF3006">
              <w:rPr>
                <w:rFonts w:ascii="Calibri" w:hAnsi="Calibri" w:cs="Calibri"/>
                <w:b/>
                <w:bCs/>
                <w:color w:val="414042" w:themeColor="text1"/>
              </w:rPr>
              <w:t>Noted but not yet commenced</w:t>
            </w:r>
          </w:p>
        </w:tc>
        <w:tc>
          <w:tcPr>
            <w:tcW w:w="1442" w:type="dxa"/>
            <w:shd w:val="clear" w:color="auto" w:fill="E6E7E8" w:themeFill="accent6"/>
          </w:tcPr>
          <w:p w14:paraId="68458E39" w14:textId="77777777" w:rsidR="00040E63" w:rsidRPr="00DF3006" w:rsidRDefault="00040E63" w:rsidP="00B4047B">
            <w:pPr>
              <w:spacing w:after="0" w:line="260" w:lineRule="exact"/>
              <w:contextualSpacing/>
              <w:jc w:val="center"/>
              <w:rPr>
                <w:rFonts w:ascii="Calibri" w:hAnsi="Calibri" w:cs="Calibri"/>
                <w:b/>
                <w:bCs/>
                <w:color w:val="414042" w:themeColor="text1"/>
              </w:rPr>
            </w:pPr>
            <w:r w:rsidRPr="00DF3006">
              <w:rPr>
                <w:rFonts w:ascii="Calibri" w:hAnsi="Calibri" w:cs="Calibri"/>
                <w:b/>
                <w:bCs/>
                <w:color w:val="414042" w:themeColor="text1"/>
              </w:rPr>
              <w:t>Noted</w:t>
            </w:r>
          </w:p>
        </w:tc>
        <w:tc>
          <w:tcPr>
            <w:tcW w:w="1282" w:type="dxa"/>
            <w:shd w:val="clear" w:color="auto" w:fill="E6E7E8" w:themeFill="accent6"/>
          </w:tcPr>
          <w:p w14:paraId="4F6E0423" w14:textId="77777777" w:rsidR="00040E63" w:rsidRPr="00DF3006" w:rsidRDefault="00040E63" w:rsidP="00B4047B">
            <w:pPr>
              <w:spacing w:after="0" w:line="260" w:lineRule="exact"/>
              <w:contextualSpacing/>
              <w:jc w:val="center"/>
              <w:rPr>
                <w:rFonts w:ascii="Calibri" w:hAnsi="Calibri" w:cs="Calibri"/>
                <w:b/>
                <w:bCs/>
                <w:color w:val="414042" w:themeColor="text1"/>
              </w:rPr>
            </w:pPr>
            <w:r w:rsidRPr="00DF3006">
              <w:rPr>
                <w:rFonts w:ascii="Calibri" w:hAnsi="Calibri" w:cs="Calibri"/>
                <w:b/>
                <w:bCs/>
                <w:color w:val="414042" w:themeColor="text1"/>
              </w:rPr>
              <w:t>Total</w:t>
            </w:r>
          </w:p>
        </w:tc>
      </w:tr>
      <w:tr w:rsidR="00DF3006" w:rsidRPr="00DF3006" w14:paraId="6ABA5C97" w14:textId="77777777" w:rsidTr="00B4047B">
        <w:trPr>
          <w:trHeight w:val="340"/>
        </w:trPr>
        <w:tc>
          <w:tcPr>
            <w:tcW w:w="2234" w:type="dxa"/>
            <w:tcBorders>
              <w:top w:val="single" w:sz="4" w:space="0" w:color="BFBFBF" w:themeColor="background1" w:themeShade="BF"/>
            </w:tcBorders>
            <w:shd w:val="clear" w:color="auto" w:fill="auto"/>
            <w:vAlign w:val="center"/>
          </w:tcPr>
          <w:p w14:paraId="32D092CD" w14:textId="77777777" w:rsidR="00040E63" w:rsidRPr="00DF3006" w:rsidRDefault="00040E63" w:rsidP="00B4047B">
            <w:pPr>
              <w:spacing w:after="0" w:line="260" w:lineRule="exact"/>
              <w:contextualSpacing/>
              <w:rPr>
                <w:rFonts w:ascii="Calibri" w:hAnsi="Calibri" w:cs="Calibri"/>
                <w:i/>
                <w:iCs/>
                <w:color w:val="414042" w:themeColor="text1"/>
              </w:rPr>
            </w:pPr>
            <w:r w:rsidRPr="00DF3006">
              <w:rPr>
                <w:rFonts w:ascii="Calibri" w:hAnsi="Calibri" w:cs="Calibri"/>
                <w:i/>
                <w:iCs/>
                <w:color w:val="414042" w:themeColor="text1"/>
              </w:rPr>
              <w:t>Fitzgerald/Wilson Inquiry</w:t>
            </w:r>
          </w:p>
        </w:tc>
        <w:tc>
          <w:tcPr>
            <w:tcW w:w="1565" w:type="dxa"/>
            <w:vAlign w:val="center"/>
          </w:tcPr>
          <w:p w14:paraId="069C9A4B"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10</w:t>
            </w:r>
          </w:p>
        </w:tc>
        <w:tc>
          <w:tcPr>
            <w:tcW w:w="1504" w:type="dxa"/>
            <w:vAlign w:val="center"/>
          </w:tcPr>
          <w:p w14:paraId="40D7DE3A"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15</w:t>
            </w:r>
          </w:p>
        </w:tc>
        <w:tc>
          <w:tcPr>
            <w:tcW w:w="1601" w:type="dxa"/>
            <w:vAlign w:val="center"/>
          </w:tcPr>
          <w:p w14:paraId="34752CA4"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4</w:t>
            </w:r>
          </w:p>
        </w:tc>
        <w:tc>
          <w:tcPr>
            <w:tcW w:w="1442" w:type="dxa"/>
            <w:vAlign w:val="center"/>
          </w:tcPr>
          <w:p w14:paraId="0E3E53B1"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1</w:t>
            </w:r>
          </w:p>
        </w:tc>
        <w:tc>
          <w:tcPr>
            <w:tcW w:w="1282" w:type="dxa"/>
            <w:vAlign w:val="center"/>
          </w:tcPr>
          <w:p w14:paraId="081D650D"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30</w:t>
            </w:r>
          </w:p>
        </w:tc>
      </w:tr>
      <w:tr w:rsidR="00DF3006" w:rsidRPr="00DF3006" w14:paraId="7D0AB40D" w14:textId="77777777" w:rsidTr="00B4047B">
        <w:trPr>
          <w:trHeight w:val="340"/>
        </w:trPr>
        <w:tc>
          <w:tcPr>
            <w:tcW w:w="2234" w:type="dxa"/>
            <w:shd w:val="clear" w:color="auto" w:fill="auto"/>
            <w:vAlign w:val="center"/>
          </w:tcPr>
          <w:p w14:paraId="0A7F07E4" w14:textId="77777777" w:rsidR="00040E63" w:rsidRPr="00DF3006" w:rsidRDefault="00040E63" w:rsidP="00B4047B">
            <w:pPr>
              <w:spacing w:after="0" w:line="260" w:lineRule="exact"/>
              <w:contextualSpacing/>
              <w:rPr>
                <w:rFonts w:ascii="Calibri" w:hAnsi="Calibri" w:cs="Calibri"/>
                <w:i/>
                <w:iCs/>
                <w:color w:val="414042" w:themeColor="text1"/>
              </w:rPr>
            </w:pPr>
            <w:r w:rsidRPr="00DF3006">
              <w:rPr>
                <w:rFonts w:ascii="Calibri" w:hAnsi="Calibri" w:cs="Calibri"/>
                <w:i/>
                <w:iCs/>
                <w:color w:val="414042" w:themeColor="text1"/>
              </w:rPr>
              <w:t>Five-Year Review 2021</w:t>
            </w:r>
          </w:p>
        </w:tc>
        <w:tc>
          <w:tcPr>
            <w:tcW w:w="1565" w:type="dxa"/>
            <w:vAlign w:val="center"/>
          </w:tcPr>
          <w:p w14:paraId="465E730B"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1</w:t>
            </w:r>
          </w:p>
        </w:tc>
        <w:tc>
          <w:tcPr>
            <w:tcW w:w="1504" w:type="dxa"/>
            <w:vAlign w:val="center"/>
          </w:tcPr>
          <w:p w14:paraId="30705632"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4</w:t>
            </w:r>
          </w:p>
        </w:tc>
        <w:tc>
          <w:tcPr>
            <w:tcW w:w="1601" w:type="dxa"/>
            <w:vAlign w:val="center"/>
          </w:tcPr>
          <w:p w14:paraId="60A796E7"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0</w:t>
            </w:r>
          </w:p>
        </w:tc>
        <w:tc>
          <w:tcPr>
            <w:tcW w:w="1442" w:type="dxa"/>
            <w:vAlign w:val="center"/>
          </w:tcPr>
          <w:p w14:paraId="1854F47C"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2</w:t>
            </w:r>
          </w:p>
        </w:tc>
        <w:tc>
          <w:tcPr>
            <w:tcW w:w="1282" w:type="dxa"/>
            <w:vAlign w:val="center"/>
          </w:tcPr>
          <w:p w14:paraId="0E34075A"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7</w:t>
            </w:r>
          </w:p>
        </w:tc>
      </w:tr>
      <w:tr w:rsidR="00DF3006" w:rsidRPr="00DF3006" w14:paraId="7B293339" w14:textId="77777777" w:rsidTr="00B4047B">
        <w:trPr>
          <w:trHeight w:val="340"/>
        </w:trPr>
        <w:tc>
          <w:tcPr>
            <w:tcW w:w="2234" w:type="dxa"/>
            <w:tcBorders>
              <w:bottom w:val="single" w:sz="4" w:space="0" w:color="BFBFBF" w:themeColor="background1" w:themeShade="BF"/>
            </w:tcBorders>
            <w:shd w:val="clear" w:color="auto" w:fill="auto"/>
            <w:vAlign w:val="center"/>
          </w:tcPr>
          <w:p w14:paraId="1EAA44F2" w14:textId="77777777" w:rsidR="00040E63" w:rsidRPr="00DF3006" w:rsidRDefault="00040E63" w:rsidP="00B4047B">
            <w:pPr>
              <w:spacing w:after="0" w:line="260" w:lineRule="exact"/>
              <w:contextualSpacing/>
              <w:rPr>
                <w:rFonts w:ascii="Calibri" w:hAnsi="Calibri" w:cs="Calibri"/>
                <w:i/>
                <w:iCs/>
                <w:color w:val="414042" w:themeColor="text1"/>
              </w:rPr>
            </w:pPr>
            <w:r w:rsidRPr="00DF3006">
              <w:rPr>
                <w:rFonts w:ascii="Calibri" w:hAnsi="Calibri" w:cs="Calibri"/>
                <w:i/>
                <w:iCs/>
                <w:color w:val="414042" w:themeColor="text1"/>
              </w:rPr>
              <w:t>DFV Inquiry</w:t>
            </w:r>
          </w:p>
        </w:tc>
        <w:tc>
          <w:tcPr>
            <w:tcW w:w="1565" w:type="dxa"/>
            <w:tcBorders>
              <w:bottom w:val="single" w:sz="4" w:space="0" w:color="BFBFBF" w:themeColor="background1" w:themeShade="BF"/>
            </w:tcBorders>
            <w:vAlign w:val="center"/>
          </w:tcPr>
          <w:p w14:paraId="0523B2E3"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0</w:t>
            </w:r>
          </w:p>
        </w:tc>
        <w:tc>
          <w:tcPr>
            <w:tcW w:w="1504" w:type="dxa"/>
            <w:tcBorders>
              <w:bottom w:val="single" w:sz="4" w:space="0" w:color="BFBFBF" w:themeColor="background1" w:themeShade="BF"/>
            </w:tcBorders>
            <w:vAlign w:val="center"/>
          </w:tcPr>
          <w:p w14:paraId="45926011" w14:textId="545F5AB7" w:rsidR="00040E63" w:rsidRPr="00DF3006" w:rsidRDefault="00787E2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0</w:t>
            </w:r>
          </w:p>
        </w:tc>
        <w:tc>
          <w:tcPr>
            <w:tcW w:w="1601" w:type="dxa"/>
            <w:tcBorders>
              <w:bottom w:val="single" w:sz="4" w:space="0" w:color="BFBFBF" w:themeColor="background1" w:themeShade="BF"/>
            </w:tcBorders>
            <w:vAlign w:val="center"/>
          </w:tcPr>
          <w:p w14:paraId="1B7C4F75" w14:textId="69280F18" w:rsidR="00040E63" w:rsidRPr="00DF3006" w:rsidRDefault="00787E2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2</w:t>
            </w:r>
          </w:p>
        </w:tc>
        <w:tc>
          <w:tcPr>
            <w:tcW w:w="1442" w:type="dxa"/>
            <w:tcBorders>
              <w:bottom w:val="single" w:sz="4" w:space="0" w:color="BFBFBF" w:themeColor="background1" w:themeShade="BF"/>
            </w:tcBorders>
            <w:vAlign w:val="center"/>
          </w:tcPr>
          <w:p w14:paraId="0B0108D5" w14:textId="77777777" w:rsidR="00040E63" w:rsidRPr="00DF3006" w:rsidRDefault="00040E6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0</w:t>
            </w:r>
          </w:p>
        </w:tc>
        <w:tc>
          <w:tcPr>
            <w:tcW w:w="1282" w:type="dxa"/>
            <w:tcBorders>
              <w:bottom w:val="single" w:sz="4" w:space="0" w:color="BFBFBF" w:themeColor="background1" w:themeShade="BF"/>
            </w:tcBorders>
            <w:vAlign w:val="center"/>
          </w:tcPr>
          <w:p w14:paraId="41BC983D" w14:textId="40D80C25" w:rsidR="00040E63" w:rsidRPr="00DF3006" w:rsidRDefault="00787E23"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2</w:t>
            </w:r>
          </w:p>
        </w:tc>
      </w:tr>
      <w:tr w:rsidR="00DF3006" w:rsidRPr="00DF3006" w14:paraId="5E0C9326" w14:textId="77777777" w:rsidTr="00B4047B">
        <w:trPr>
          <w:trHeight w:val="340"/>
        </w:trPr>
        <w:tc>
          <w:tcPr>
            <w:tcW w:w="2234" w:type="dxa"/>
            <w:tcBorders>
              <w:top w:val="single" w:sz="4" w:space="0" w:color="BFBFBF" w:themeColor="background1" w:themeShade="BF"/>
              <w:bottom w:val="single" w:sz="4" w:space="0" w:color="BFBFBF" w:themeColor="background1" w:themeShade="BF"/>
            </w:tcBorders>
            <w:shd w:val="clear" w:color="auto" w:fill="auto"/>
            <w:vAlign w:val="center"/>
          </w:tcPr>
          <w:p w14:paraId="379F5752" w14:textId="6FEF725D" w:rsidR="00A2421F" w:rsidRPr="00DF3006" w:rsidRDefault="00A2421F" w:rsidP="00B4047B">
            <w:pPr>
              <w:spacing w:after="0" w:line="260" w:lineRule="exact"/>
              <w:contextualSpacing/>
              <w:rPr>
                <w:rFonts w:ascii="Calibri" w:hAnsi="Calibri" w:cs="Calibri"/>
                <w:i/>
                <w:iCs/>
                <w:color w:val="414042" w:themeColor="text1"/>
              </w:rPr>
            </w:pPr>
            <w:r w:rsidRPr="00DF3006">
              <w:rPr>
                <w:rFonts w:ascii="Calibri" w:hAnsi="Calibri" w:cs="Calibri"/>
                <w:b/>
                <w:bCs/>
                <w:color w:val="414042" w:themeColor="text1"/>
              </w:rPr>
              <w:t>Total</w:t>
            </w:r>
          </w:p>
        </w:tc>
        <w:tc>
          <w:tcPr>
            <w:tcW w:w="1565" w:type="dxa"/>
            <w:tcBorders>
              <w:top w:val="single" w:sz="4" w:space="0" w:color="BFBFBF" w:themeColor="background1" w:themeShade="BF"/>
              <w:bottom w:val="single" w:sz="4" w:space="0" w:color="BFBFBF" w:themeColor="background1" w:themeShade="BF"/>
            </w:tcBorders>
            <w:vAlign w:val="center"/>
          </w:tcPr>
          <w:p w14:paraId="76E5A60C" w14:textId="27A0BEB3" w:rsidR="00A2421F" w:rsidRPr="00DF3006" w:rsidRDefault="00A2421F"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1</w:t>
            </w:r>
            <w:r w:rsidRPr="00DF3006">
              <w:rPr>
                <w:rFonts w:ascii="Calibri" w:hAnsi="Calibri"/>
                <w:color w:val="414042" w:themeColor="text1"/>
              </w:rPr>
              <w:t>1</w:t>
            </w:r>
          </w:p>
        </w:tc>
        <w:tc>
          <w:tcPr>
            <w:tcW w:w="1504" w:type="dxa"/>
            <w:tcBorders>
              <w:top w:val="single" w:sz="4" w:space="0" w:color="BFBFBF" w:themeColor="background1" w:themeShade="BF"/>
              <w:bottom w:val="single" w:sz="4" w:space="0" w:color="BFBFBF" w:themeColor="background1" w:themeShade="BF"/>
            </w:tcBorders>
            <w:vAlign w:val="center"/>
          </w:tcPr>
          <w:p w14:paraId="63202294" w14:textId="014F4D83" w:rsidR="00A2421F" w:rsidRPr="00DF3006" w:rsidRDefault="007E7B4C"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19</w:t>
            </w:r>
          </w:p>
        </w:tc>
        <w:tc>
          <w:tcPr>
            <w:tcW w:w="1601" w:type="dxa"/>
            <w:tcBorders>
              <w:top w:val="single" w:sz="4" w:space="0" w:color="BFBFBF" w:themeColor="background1" w:themeShade="BF"/>
              <w:bottom w:val="single" w:sz="4" w:space="0" w:color="BFBFBF" w:themeColor="background1" w:themeShade="BF"/>
            </w:tcBorders>
            <w:vAlign w:val="center"/>
          </w:tcPr>
          <w:p w14:paraId="62DB6A4B" w14:textId="6A55EA98" w:rsidR="00A2421F" w:rsidRPr="00DF3006" w:rsidRDefault="007E7B4C"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6</w:t>
            </w:r>
          </w:p>
        </w:tc>
        <w:tc>
          <w:tcPr>
            <w:tcW w:w="1442" w:type="dxa"/>
            <w:tcBorders>
              <w:top w:val="single" w:sz="4" w:space="0" w:color="BFBFBF" w:themeColor="background1" w:themeShade="BF"/>
              <w:bottom w:val="single" w:sz="4" w:space="0" w:color="BFBFBF" w:themeColor="background1" w:themeShade="BF"/>
            </w:tcBorders>
            <w:vAlign w:val="center"/>
          </w:tcPr>
          <w:p w14:paraId="1689B9FB" w14:textId="25EDDCE8" w:rsidR="00A2421F" w:rsidRPr="00DF3006" w:rsidRDefault="00A2421F"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3</w:t>
            </w:r>
          </w:p>
        </w:tc>
        <w:tc>
          <w:tcPr>
            <w:tcW w:w="1282" w:type="dxa"/>
            <w:tcBorders>
              <w:top w:val="single" w:sz="4" w:space="0" w:color="BFBFBF" w:themeColor="background1" w:themeShade="BF"/>
              <w:bottom w:val="single" w:sz="4" w:space="0" w:color="BFBFBF" w:themeColor="background1" w:themeShade="BF"/>
            </w:tcBorders>
            <w:vAlign w:val="center"/>
          </w:tcPr>
          <w:p w14:paraId="3CB099E4" w14:textId="7123AFA0" w:rsidR="00A2421F" w:rsidRPr="00DF3006" w:rsidRDefault="007E7B4C" w:rsidP="00B4047B">
            <w:pPr>
              <w:spacing w:after="0" w:line="260" w:lineRule="exact"/>
              <w:contextualSpacing/>
              <w:jc w:val="center"/>
              <w:rPr>
                <w:rFonts w:ascii="Calibri" w:hAnsi="Calibri" w:cs="Calibri"/>
                <w:color w:val="414042" w:themeColor="text1"/>
              </w:rPr>
            </w:pPr>
            <w:r w:rsidRPr="00DF3006">
              <w:rPr>
                <w:rFonts w:ascii="Calibri" w:hAnsi="Calibri" w:cs="Calibri"/>
                <w:color w:val="414042" w:themeColor="text1"/>
              </w:rPr>
              <w:t>39</w:t>
            </w:r>
          </w:p>
        </w:tc>
      </w:tr>
    </w:tbl>
    <w:p w14:paraId="42D35823" w14:textId="56EF9EED" w:rsidR="00BF3018" w:rsidRPr="00DF3006" w:rsidRDefault="00BF3018" w:rsidP="00BF3018">
      <w:pPr>
        <w:rPr>
          <w:i/>
          <w:color w:val="414042" w:themeColor="text1"/>
          <w:szCs w:val="20"/>
        </w:rPr>
      </w:pPr>
      <w:r w:rsidRPr="00DF3006">
        <w:rPr>
          <w:i/>
          <w:color w:val="414042" w:themeColor="text1"/>
          <w:szCs w:val="20"/>
        </w:rPr>
        <w:br/>
        <w:t xml:space="preserve">The table at </w:t>
      </w:r>
      <w:r w:rsidRPr="00DF3006">
        <w:rPr>
          <w:b/>
          <w:bCs/>
          <w:i/>
          <w:color w:val="414042" w:themeColor="text1"/>
          <w:szCs w:val="20"/>
        </w:rPr>
        <w:t>Appendix A</w:t>
      </w:r>
      <w:r w:rsidRPr="00DF3006">
        <w:rPr>
          <w:i/>
          <w:color w:val="414042" w:themeColor="text1"/>
          <w:szCs w:val="20"/>
        </w:rPr>
        <w:t xml:space="preserve"> </w:t>
      </w:r>
      <w:r w:rsidR="00F2595B" w:rsidRPr="00DF3006">
        <w:rPr>
          <w:i/>
          <w:color w:val="414042" w:themeColor="text1"/>
          <w:szCs w:val="20"/>
        </w:rPr>
        <w:t xml:space="preserve">lists </w:t>
      </w:r>
      <w:r w:rsidRPr="00DF3006">
        <w:rPr>
          <w:i/>
          <w:color w:val="414042" w:themeColor="text1"/>
          <w:szCs w:val="20"/>
        </w:rPr>
        <w:t>recommendations for which the CCC has direct responsibility.</w:t>
      </w:r>
    </w:p>
    <w:p w14:paraId="22952B50" w14:textId="05BC76B0" w:rsidR="00527210" w:rsidRPr="00DF3006" w:rsidRDefault="00527210" w:rsidP="00B9178A">
      <w:pPr>
        <w:rPr>
          <w:i/>
          <w:color w:val="414042" w:themeColor="text1"/>
          <w:szCs w:val="20"/>
        </w:rPr>
        <w:sectPr w:rsidR="00527210" w:rsidRPr="00DF3006" w:rsidSect="00040E63">
          <w:type w:val="continuous"/>
          <w:pgSz w:w="11906" w:h="16838" w:code="9"/>
          <w:pgMar w:top="2155" w:right="1134" w:bottom="964" w:left="1134" w:header="720" w:footer="284" w:gutter="0"/>
          <w:cols w:space="567"/>
          <w:noEndnote/>
          <w:docGrid w:linePitch="272"/>
        </w:sectPr>
      </w:pPr>
    </w:p>
    <w:p w14:paraId="1C120595" w14:textId="36AE3BBB" w:rsidR="0054785D" w:rsidRPr="00DF3006" w:rsidRDefault="0054785D" w:rsidP="0054785D">
      <w:pPr>
        <w:pStyle w:val="Heading2"/>
      </w:pPr>
      <w:bookmarkStart w:id="1120" w:name="_Looking_ahead_to"/>
      <w:bookmarkEnd w:id="1120"/>
      <w:r w:rsidRPr="00DF3006">
        <w:lastRenderedPageBreak/>
        <w:t>Looking ahead</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00A24AC5" w:rsidRPr="00DF3006">
        <w:t xml:space="preserve"> to 2023–24</w:t>
      </w:r>
    </w:p>
    <w:p w14:paraId="0A58BC4E" w14:textId="09A4A75E" w:rsidR="00622CEA" w:rsidRPr="00DF3006" w:rsidRDefault="00B75489" w:rsidP="005635BE">
      <w:pPr>
        <w:pStyle w:val="Openingparagraph"/>
      </w:pPr>
      <w:r w:rsidRPr="00DF3006">
        <w:t>This year we comprehensively examined our internal and external environment to ensure we remain responsive to emerging issues and challenges. Global and national megatrends, the recommendation</w:t>
      </w:r>
      <w:r w:rsidR="005D67C6" w:rsidRPr="00DF3006">
        <w:t xml:space="preserve">s </w:t>
      </w:r>
      <w:r w:rsidRPr="00DF3006">
        <w:t>of external reviewers</w:t>
      </w:r>
      <w:r w:rsidR="005D67C6" w:rsidRPr="00DF3006">
        <w:t>,</w:t>
      </w:r>
      <w:r w:rsidRPr="00DF3006">
        <w:t xml:space="preserve"> and the expectations of our partners and the public were all critical factors in defining a new set of ambitions for our agency and our mandate to </w:t>
      </w:r>
      <w:r w:rsidR="00A6208D" w:rsidRPr="00DF3006">
        <w:t xml:space="preserve">combat </w:t>
      </w:r>
      <w:r w:rsidRPr="00DF3006">
        <w:t xml:space="preserve">crime and </w:t>
      </w:r>
      <w:r w:rsidR="00A6208D" w:rsidRPr="00DF3006">
        <w:t xml:space="preserve">reduce </w:t>
      </w:r>
      <w:r w:rsidRPr="00DF3006">
        <w:t>corruption in Queensland.</w:t>
      </w:r>
    </w:p>
    <w:p w14:paraId="32BE4DD6" w14:textId="77777777" w:rsidR="0054785D" w:rsidRPr="00DF3006" w:rsidRDefault="0054785D" w:rsidP="0054785D">
      <w:pPr>
        <w:rPr>
          <w:rFonts w:ascii="Calibri" w:hAnsi="Calibri" w:cs="Calibri"/>
          <w:b/>
          <w:bCs/>
          <w:color w:val="414042" w:themeColor="text1"/>
          <w:sz w:val="24"/>
          <w:szCs w:val="24"/>
          <w:lang w:val="en-US"/>
        </w:rPr>
        <w:sectPr w:rsidR="0054785D" w:rsidRPr="00DF3006" w:rsidSect="00C77834">
          <w:headerReference w:type="even" r:id="rId148"/>
          <w:headerReference w:type="default" r:id="rId149"/>
          <w:headerReference w:type="first" r:id="rId150"/>
          <w:pgSz w:w="11906" w:h="16838" w:code="9"/>
          <w:pgMar w:top="2155" w:right="1134" w:bottom="964" w:left="1134" w:header="720" w:footer="284" w:gutter="0"/>
          <w:cols w:space="567"/>
          <w:noEndnote/>
          <w:docGrid w:linePitch="272"/>
        </w:sectPr>
      </w:pPr>
    </w:p>
    <w:p w14:paraId="1B9887B3" w14:textId="0AFCAB28" w:rsidR="0054785D" w:rsidRPr="00DF3006" w:rsidRDefault="0054785D" w:rsidP="00E6066A">
      <w:pPr>
        <w:pStyle w:val="Heading3"/>
      </w:pPr>
      <w:r w:rsidRPr="00DF3006">
        <w:t xml:space="preserve">Our revised </w:t>
      </w:r>
      <w:r w:rsidR="00622CEA" w:rsidRPr="00DF3006">
        <w:t>strategic objectives</w:t>
      </w:r>
    </w:p>
    <w:p w14:paraId="459A8C09" w14:textId="61E7CB08" w:rsidR="0054785D" w:rsidRPr="00DF3006" w:rsidRDefault="00C4671B" w:rsidP="0054785D">
      <w:pPr>
        <w:rPr>
          <w:color w:val="414042" w:themeColor="text1"/>
        </w:rPr>
      </w:pPr>
      <w:r w:rsidRPr="00DF3006">
        <w:rPr>
          <w:color w:val="414042" w:themeColor="text1"/>
          <w:lang w:val="en-US"/>
        </w:rPr>
        <w:t>Over the next four years, we will focus on four objectives</w:t>
      </w:r>
      <w:r w:rsidR="0054785D" w:rsidRPr="00DF3006">
        <w:rPr>
          <w:color w:val="414042" w:themeColor="text1"/>
        </w:rPr>
        <w:t>:</w:t>
      </w:r>
    </w:p>
    <w:p w14:paraId="54FAFCFA" w14:textId="77777777" w:rsidR="0054785D" w:rsidRPr="00DF3006" w:rsidRDefault="0054785D">
      <w:pPr>
        <w:pStyle w:val="Bullets"/>
        <w:rPr>
          <w:color w:val="414042" w:themeColor="text1"/>
        </w:rPr>
      </w:pPr>
      <w:r w:rsidRPr="00DF3006">
        <w:rPr>
          <w:b/>
          <w:bCs/>
          <w:color w:val="414042" w:themeColor="text1"/>
        </w:rPr>
        <w:t>Efficient and effective –</w:t>
      </w:r>
      <w:r w:rsidRPr="00DF3006">
        <w:rPr>
          <w:color w:val="414042" w:themeColor="text1"/>
        </w:rPr>
        <w:t xml:space="preserve"> Delivering efficient and effective outcomes to reduce the incidence of major crime and </w:t>
      </w:r>
      <w:proofErr w:type="gramStart"/>
      <w:r w:rsidRPr="00DF3006">
        <w:rPr>
          <w:color w:val="414042" w:themeColor="text1"/>
        </w:rPr>
        <w:t>corruption, and</w:t>
      </w:r>
      <w:proofErr w:type="gramEnd"/>
      <w:r w:rsidRPr="00DF3006">
        <w:rPr>
          <w:color w:val="414042" w:themeColor="text1"/>
        </w:rPr>
        <w:t xml:space="preserve"> improve the integrity of the public sector in Queensland.</w:t>
      </w:r>
    </w:p>
    <w:p w14:paraId="3BC7D624" w14:textId="67A6D0E5" w:rsidR="0054785D" w:rsidRPr="00DF3006" w:rsidRDefault="0054785D">
      <w:pPr>
        <w:pStyle w:val="Bullets"/>
        <w:rPr>
          <w:color w:val="414042" w:themeColor="text1"/>
        </w:rPr>
      </w:pPr>
      <w:r w:rsidRPr="00DF3006">
        <w:rPr>
          <w:b/>
          <w:bCs/>
          <w:color w:val="414042" w:themeColor="text1"/>
        </w:rPr>
        <w:t xml:space="preserve">Safe and capable </w:t>
      </w:r>
      <w:r w:rsidR="007569DE" w:rsidRPr="00DF3006">
        <w:rPr>
          <w:b/>
          <w:bCs/>
          <w:color w:val="414042" w:themeColor="text1"/>
        </w:rPr>
        <w:t>–</w:t>
      </w:r>
      <w:r w:rsidRPr="00DF3006">
        <w:rPr>
          <w:color w:val="414042" w:themeColor="text1"/>
        </w:rPr>
        <w:t xml:space="preserve"> Developing the capability and managing the wellbeing of our people and enabling their performance through access to high-quality information and fit-for-purpose systems.</w:t>
      </w:r>
    </w:p>
    <w:p w14:paraId="7C6EFC50" w14:textId="54EB5071" w:rsidR="0054785D" w:rsidRPr="00DF3006" w:rsidRDefault="0054785D">
      <w:pPr>
        <w:pStyle w:val="Bullets"/>
        <w:rPr>
          <w:color w:val="414042" w:themeColor="text1"/>
        </w:rPr>
      </w:pPr>
      <w:r w:rsidRPr="00DF3006">
        <w:rPr>
          <w:b/>
          <w:bCs/>
          <w:color w:val="414042" w:themeColor="text1"/>
        </w:rPr>
        <w:t xml:space="preserve">Accessible, </w:t>
      </w:r>
      <w:proofErr w:type="gramStart"/>
      <w:r w:rsidRPr="00DF3006">
        <w:rPr>
          <w:b/>
          <w:bCs/>
          <w:color w:val="414042" w:themeColor="text1"/>
        </w:rPr>
        <w:t>accountable</w:t>
      </w:r>
      <w:proofErr w:type="gramEnd"/>
      <w:r w:rsidRPr="00DF3006">
        <w:rPr>
          <w:b/>
          <w:bCs/>
          <w:color w:val="414042" w:themeColor="text1"/>
        </w:rPr>
        <w:t xml:space="preserve"> and collaborative</w:t>
      </w:r>
      <w:r w:rsidRPr="00DF3006">
        <w:rPr>
          <w:color w:val="414042" w:themeColor="text1"/>
        </w:rPr>
        <w:t xml:space="preserve"> </w:t>
      </w:r>
      <w:r w:rsidR="007569DE" w:rsidRPr="00DF3006">
        <w:rPr>
          <w:b/>
          <w:bCs/>
          <w:color w:val="414042" w:themeColor="text1"/>
        </w:rPr>
        <w:t xml:space="preserve">– </w:t>
      </w:r>
      <w:r w:rsidRPr="00DF3006">
        <w:rPr>
          <w:color w:val="414042" w:themeColor="text1"/>
        </w:rPr>
        <w:t>Being accessible and engaging with our community in a meaningful way that demonstrates our accountability and promotes confidence in our functions and the services we provide, and</w:t>
      </w:r>
    </w:p>
    <w:p w14:paraId="48D29614" w14:textId="791D8201" w:rsidR="0054785D" w:rsidRPr="00DF3006" w:rsidRDefault="0054785D">
      <w:pPr>
        <w:pStyle w:val="Bullets"/>
        <w:rPr>
          <w:color w:val="414042" w:themeColor="text1"/>
        </w:rPr>
      </w:pPr>
      <w:r w:rsidRPr="00DF3006">
        <w:rPr>
          <w:b/>
          <w:bCs/>
          <w:color w:val="414042" w:themeColor="text1"/>
        </w:rPr>
        <w:t>Continuous improvement</w:t>
      </w:r>
      <w:r w:rsidRPr="00DF3006">
        <w:rPr>
          <w:color w:val="414042" w:themeColor="text1"/>
        </w:rPr>
        <w:t xml:space="preserve"> </w:t>
      </w:r>
      <w:r w:rsidR="007569DE" w:rsidRPr="00DF3006">
        <w:rPr>
          <w:color w:val="414042" w:themeColor="text1"/>
        </w:rPr>
        <w:t>–</w:t>
      </w:r>
      <w:r w:rsidRPr="00DF3006">
        <w:rPr>
          <w:color w:val="414042" w:themeColor="text1"/>
        </w:rPr>
        <w:t xml:space="preserve"> Anticipating and responding effectively to our dynamic and challenging operating environment.</w:t>
      </w:r>
    </w:p>
    <w:p w14:paraId="1C621E33" w14:textId="77777777" w:rsidR="00C4671B" w:rsidRPr="00DF3006" w:rsidRDefault="00C4671B" w:rsidP="00C4671B">
      <w:pPr>
        <w:pStyle w:val="Bullets"/>
        <w:numPr>
          <w:ilvl w:val="0"/>
          <w:numId w:val="0"/>
        </w:numPr>
        <w:rPr>
          <w:color w:val="414042" w:themeColor="text1"/>
        </w:rPr>
        <w:sectPr w:rsidR="00C4671B" w:rsidRPr="00DF3006" w:rsidSect="00C77834">
          <w:headerReference w:type="even" r:id="rId151"/>
          <w:headerReference w:type="default" r:id="rId152"/>
          <w:headerReference w:type="first" r:id="rId153"/>
          <w:type w:val="continuous"/>
          <w:pgSz w:w="11906" w:h="16838" w:code="9"/>
          <w:pgMar w:top="2155" w:right="1134" w:bottom="964" w:left="1134" w:header="720" w:footer="284" w:gutter="0"/>
          <w:cols w:space="567"/>
          <w:noEndnote/>
          <w:docGrid w:linePitch="272"/>
        </w:sectPr>
      </w:pPr>
    </w:p>
    <w:p w14:paraId="4091CE3B" w14:textId="11398171" w:rsidR="00C4671B" w:rsidRPr="00DF3006" w:rsidRDefault="00C4671B" w:rsidP="000307D2">
      <w:pPr>
        <w:pStyle w:val="Bullets"/>
        <w:numPr>
          <w:ilvl w:val="0"/>
          <w:numId w:val="0"/>
        </w:numPr>
        <w:spacing w:before="240"/>
        <w:rPr>
          <w:i/>
          <w:color w:val="414042" w:themeColor="text1"/>
          <w:szCs w:val="20"/>
        </w:rPr>
      </w:pPr>
      <w:r w:rsidRPr="00DF3006">
        <w:rPr>
          <w:i/>
          <w:color w:val="414042" w:themeColor="text1"/>
          <w:szCs w:val="20"/>
        </w:rPr>
        <w:t>For more information about our</w:t>
      </w:r>
      <w:r w:rsidR="000D5F17" w:rsidRPr="00DF3006">
        <w:rPr>
          <w:i/>
          <w:color w:val="414042" w:themeColor="text1"/>
          <w:szCs w:val="20"/>
        </w:rPr>
        <w:t xml:space="preserve"> </w:t>
      </w:r>
      <w:r w:rsidR="00CD3E73" w:rsidRPr="00DF3006">
        <w:rPr>
          <w:i/>
          <w:color w:val="414042" w:themeColor="text1"/>
          <w:szCs w:val="20"/>
        </w:rPr>
        <w:t>strategic direction</w:t>
      </w:r>
      <w:r w:rsidR="003C4A0A" w:rsidRPr="00DF3006">
        <w:rPr>
          <w:i/>
          <w:color w:val="414042" w:themeColor="text1"/>
          <w:szCs w:val="20"/>
        </w:rPr>
        <w:t xml:space="preserve">, see </w:t>
      </w:r>
      <w:r w:rsidRPr="00DF3006">
        <w:rPr>
          <w:i/>
          <w:color w:val="414042" w:themeColor="text1"/>
          <w:szCs w:val="20"/>
        </w:rPr>
        <w:t>page</w:t>
      </w:r>
      <w:r w:rsidR="003C4A0A" w:rsidRPr="00DF3006">
        <w:rPr>
          <w:i/>
          <w:color w:val="414042" w:themeColor="text1"/>
          <w:szCs w:val="20"/>
        </w:rPr>
        <w:t>s</w:t>
      </w:r>
      <w:r w:rsidRPr="00DF3006">
        <w:rPr>
          <w:i/>
          <w:color w:val="414042" w:themeColor="text1"/>
          <w:szCs w:val="20"/>
        </w:rPr>
        <w:t xml:space="preserve"> </w:t>
      </w:r>
      <w:r w:rsidR="0054315C" w:rsidRPr="00DF3006">
        <w:rPr>
          <w:i/>
          <w:color w:val="414042" w:themeColor="text1"/>
          <w:szCs w:val="20"/>
        </w:rPr>
        <w:t>74</w:t>
      </w:r>
      <w:r w:rsidR="003C4A0A" w:rsidRPr="00DF3006">
        <w:rPr>
          <w:i/>
          <w:color w:val="414042" w:themeColor="text1"/>
          <w:szCs w:val="20"/>
        </w:rPr>
        <w:t>–</w:t>
      </w:r>
      <w:r w:rsidR="0054315C" w:rsidRPr="00DF3006">
        <w:rPr>
          <w:i/>
          <w:color w:val="414042" w:themeColor="text1"/>
          <w:szCs w:val="20"/>
        </w:rPr>
        <w:t>80</w:t>
      </w:r>
      <w:r w:rsidRPr="00DF3006">
        <w:rPr>
          <w:i/>
          <w:color w:val="414042" w:themeColor="text1"/>
          <w:szCs w:val="20"/>
        </w:rPr>
        <w:t>.</w:t>
      </w:r>
    </w:p>
    <w:p w14:paraId="213738B7" w14:textId="309A3104" w:rsidR="0054785D" w:rsidRPr="00DF3006" w:rsidRDefault="0054785D" w:rsidP="007E7B4C">
      <w:pPr>
        <w:pStyle w:val="Bulletlist"/>
        <w:rPr>
          <w:color w:val="414042" w:themeColor="text1"/>
        </w:rPr>
        <w:sectPr w:rsidR="0054785D" w:rsidRPr="00DF3006" w:rsidSect="00931639">
          <w:type w:val="continuous"/>
          <w:pgSz w:w="11906" w:h="16838" w:code="9"/>
          <w:pgMar w:top="2155" w:right="1134" w:bottom="964" w:left="1134" w:header="720" w:footer="284" w:gutter="0"/>
          <w:cols w:space="567"/>
          <w:noEndnote/>
          <w:docGrid w:linePitch="272"/>
        </w:sectPr>
      </w:pPr>
    </w:p>
    <w:p w14:paraId="5445339D" w14:textId="7B6E1135" w:rsidR="00A21773" w:rsidRPr="00DF3006" w:rsidRDefault="00A21773" w:rsidP="00530DF4">
      <w:pPr>
        <w:pStyle w:val="Heading1"/>
      </w:pPr>
      <w:bookmarkStart w:id="1121" w:name="reducingccinqld"/>
      <w:bookmarkStart w:id="1122" w:name="_Reducing_the_incidence"/>
      <w:bookmarkStart w:id="1123" w:name="_Toc102037910"/>
      <w:bookmarkStart w:id="1124" w:name="_Toc102038271"/>
      <w:bookmarkStart w:id="1125" w:name="_Toc102038632"/>
      <w:bookmarkStart w:id="1126" w:name="_Toc102038984"/>
      <w:bookmarkStart w:id="1127" w:name="_Toc102039333"/>
      <w:bookmarkStart w:id="1128" w:name="_Toc102039695"/>
      <w:bookmarkStart w:id="1129" w:name="_Toc102040052"/>
      <w:bookmarkStart w:id="1130" w:name="_Toc102040380"/>
      <w:bookmarkStart w:id="1131" w:name="_Toc102040714"/>
      <w:bookmarkStart w:id="1132" w:name="_Toc102041042"/>
      <w:bookmarkStart w:id="1133" w:name="_Toc102041371"/>
      <w:bookmarkStart w:id="1134" w:name="_Toc102041703"/>
      <w:bookmarkStart w:id="1135" w:name="_Toc102042030"/>
      <w:bookmarkStart w:id="1136" w:name="_Toc102042360"/>
      <w:bookmarkStart w:id="1137" w:name="_Toc102045490"/>
      <w:bookmarkEnd w:id="1121"/>
      <w:bookmarkEnd w:id="1122"/>
      <w:r w:rsidRPr="00DF3006">
        <w:lastRenderedPageBreak/>
        <w:t xml:space="preserve">Reducing </w:t>
      </w:r>
      <w:r w:rsidR="0004473A" w:rsidRPr="00DF3006">
        <w:t xml:space="preserve">the incidence of major </w:t>
      </w:r>
      <w:r w:rsidRPr="00DF3006">
        <w:t>crime and corruption in Queensland</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421AB701" w14:textId="3EEAE44D" w:rsidR="0028234C" w:rsidRPr="00DF3006" w:rsidRDefault="0028234C" w:rsidP="00A21773">
      <w:pPr>
        <w:keepNext/>
        <w:keepLines/>
        <w:spacing w:after="880"/>
        <w:outlineLvl w:val="0"/>
        <w:rPr>
          <w:rFonts w:eastAsiaTheme="majorEastAsia" w:cstheme="majorBidi"/>
          <w:color w:val="414042" w:themeColor="text1"/>
          <w:sz w:val="92"/>
          <w:szCs w:val="32"/>
        </w:rPr>
        <w:sectPr w:rsidR="0028234C" w:rsidRPr="00DF3006" w:rsidSect="00C77834">
          <w:headerReference w:type="even" r:id="rId154"/>
          <w:headerReference w:type="default" r:id="rId155"/>
          <w:headerReference w:type="first" r:id="rId156"/>
          <w:pgSz w:w="11906" w:h="16838" w:code="9"/>
          <w:pgMar w:top="2155" w:right="1134" w:bottom="964" w:left="1134" w:header="720" w:footer="284" w:gutter="0"/>
          <w:cols w:space="567"/>
          <w:noEndnote/>
          <w:docGrid w:linePitch="272"/>
        </w:sectPr>
      </w:pPr>
    </w:p>
    <w:tbl>
      <w:tblPr>
        <w:tblW w:w="5471" w:type="pct"/>
        <w:tblBorders>
          <w:insideH w:val="single" w:sz="12" w:space="0" w:color="FFFFFF" w:themeColor="background1"/>
        </w:tblBorders>
        <w:tblLook w:val="04A0" w:firstRow="1" w:lastRow="0" w:firstColumn="1" w:lastColumn="0" w:noHBand="0" w:noVBand="1"/>
      </w:tblPr>
      <w:tblGrid>
        <w:gridCol w:w="4253"/>
        <w:gridCol w:w="709"/>
      </w:tblGrid>
      <w:tr w:rsidR="00DF3006" w:rsidRPr="00DF3006" w14:paraId="151C3C99" w14:textId="77777777" w:rsidTr="00AF3D0B">
        <w:trPr>
          <w:trHeight w:val="879"/>
        </w:trPr>
        <w:tc>
          <w:tcPr>
            <w:tcW w:w="4286" w:type="pct"/>
            <w:shd w:val="clear" w:color="auto" w:fill="auto"/>
            <w:vAlign w:val="center"/>
          </w:tcPr>
          <w:bookmarkStart w:id="1138" w:name="_Hlk73095587"/>
          <w:p w14:paraId="0C72674B" w14:textId="386B547A" w:rsidR="00210654" w:rsidRPr="00F021C6" w:rsidRDefault="00F021C6" w:rsidP="00AF3D0B">
            <w:pPr>
              <w:autoSpaceDE w:val="0"/>
              <w:autoSpaceDN w:val="0"/>
              <w:adjustRightInd w:val="0"/>
              <w:spacing w:before="120" w:after="120" w:line="288" w:lineRule="auto"/>
              <w:textAlignment w:val="center"/>
              <w:rPr>
                <w:rFonts w:cs="Calibri Light"/>
                <w:color w:val="414042" w:themeColor="text1"/>
                <w:szCs w:val="20"/>
              </w:rPr>
            </w:pPr>
            <w:r w:rsidRPr="00F021C6">
              <w:rPr>
                <w:rFonts w:cs="Calibri Light"/>
                <w:color w:val="414042" w:themeColor="text1"/>
                <w:szCs w:val="20"/>
              </w:rPr>
              <w:fldChar w:fldCharType="begin"/>
            </w:r>
            <w:r w:rsidRPr="00F021C6">
              <w:rPr>
                <w:rFonts w:cs="Calibri Light"/>
                <w:color w:val="414042" w:themeColor="text1"/>
                <w:szCs w:val="20"/>
              </w:rPr>
              <w:instrText xml:space="preserve"> HYPERLINK  \l "illicitmarkets" </w:instrText>
            </w:r>
            <w:r w:rsidRPr="00F021C6">
              <w:rPr>
                <w:rFonts w:cs="Calibri Light"/>
                <w:color w:val="414042" w:themeColor="text1"/>
                <w:szCs w:val="20"/>
              </w:rPr>
            </w:r>
            <w:r w:rsidRPr="00F021C6">
              <w:rPr>
                <w:rFonts w:cs="Calibri Light"/>
                <w:color w:val="414042" w:themeColor="text1"/>
                <w:szCs w:val="20"/>
              </w:rPr>
              <w:fldChar w:fldCharType="separate"/>
            </w:r>
            <w:r w:rsidR="00754346" w:rsidRPr="00F021C6">
              <w:rPr>
                <w:rStyle w:val="Hyperlink"/>
                <w:rFonts w:cs="Calibri Light"/>
                <w:color w:val="414042" w:themeColor="text1"/>
                <w:szCs w:val="20"/>
                <w:u w:val="none"/>
              </w:rPr>
              <w:t xml:space="preserve">Focus </w:t>
            </w:r>
            <w:proofErr w:type="gramStart"/>
            <w:r w:rsidR="00754346" w:rsidRPr="00F021C6">
              <w:rPr>
                <w:rStyle w:val="Hyperlink"/>
                <w:rFonts w:cs="Calibri Light"/>
                <w:color w:val="414042" w:themeColor="text1"/>
                <w:szCs w:val="20"/>
                <w:u w:val="none"/>
              </w:rPr>
              <w:t>area  |</w:t>
            </w:r>
            <w:proofErr w:type="gramEnd"/>
            <w:r w:rsidR="00754346" w:rsidRPr="00F021C6">
              <w:rPr>
                <w:rStyle w:val="Hyperlink"/>
                <w:rFonts w:cs="Calibri Light"/>
                <w:color w:val="414042" w:themeColor="text1"/>
                <w:szCs w:val="20"/>
                <w:u w:val="none"/>
              </w:rPr>
              <w:t xml:space="preserve">  </w:t>
            </w:r>
            <w:r w:rsidR="00210654" w:rsidRPr="00F021C6">
              <w:rPr>
                <w:rStyle w:val="Hyperlink"/>
                <w:rFonts w:cs="Calibri Light"/>
                <w:color w:val="414042" w:themeColor="text1"/>
                <w:szCs w:val="20"/>
                <w:u w:val="none"/>
              </w:rPr>
              <w:t>Illicit markets of high value or high public impact</w:t>
            </w:r>
            <w:r w:rsidRPr="00F021C6">
              <w:rPr>
                <w:rFonts w:cs="Calibri Light"/>
                <w:color w:val="414042" w:themeColor="text1"/>
                <w:szCs w:val="20"/>
              </w:rPr>
              <w:fldChar w:fldCharType="end"/>
            </w:r>
          </w:p>
        </w:tc>
        <w:tc>
          <w:tcPr>
            <w:tcW w:w="714" w:type="pct"/>
            <w:shd w:val="clear" w:color="auto" w:fill="auto"/>
            <w:vAlign w:val="center"/>
          </w:tcPr>
          <w:p w14:paraId="1BF15A27" w14:textId="043749C3" w:rsidR="00210654" w:rsidRPr="00DF3006" w:rsidRDefault="004B6AC2" w:rsidP="00AF3D0B">
            <w:pPr>
              <w:spacing w:before="120" w:after="120"/>
              <w:rPr>
                <w:color w:val="414042" w:themeColor="text1"/>
              </w:rPr>
            </w:pPr>
            <w:r w:rsidRPr="00DF3006">
              <w:rPr>
                <w:color w:val="414042" w:themeColor="text1"/>
              </w:rPr>
              <w:t>31</w:t>
            </w:r>
          </w:p>
        </w:tc>
      </w:tr>
      <w:tr w:rsidR="00DF3006" w:rsidRPr="00DF3006" w14:paraId="2CB5F50F" w14:textId="77777777" w:rsidTr="00AF3D0B">
        <w:trPr>
          <w:trHeight w:val="1060"/>
        </w:trPr>
        <w:tc>
          <w:tcPr>
            <w:tcW w:w="4286" w:type="pct"/>
            <w:shd w:val="clear" w:color="auto" w:fill="auto"/>
            <w:vAlign w:val="center"/>
          </w:tcPr>
          <w:p w14:paraId="774D766C" w14:textId="02B6EDC6" w:rsidR="00210654" w:rsidRPr="00F021C6" w:rsidRDefault="00086D38" w:rsidP="00AF3D0B">
            <w:pPr>
              <w:autoSpaceDE w:val="0"/>
              <w:autoSpaceDN w:val="0"/>
              <w:adjustRightInd w:val="0"/>
              <w:spacing w:before="120" w:after="120" w:line="288" w:lineRule="auto"/>
              <w:textAlignment w:val="center"/>
              <w:rPr>
                <w:rFonts w:cs="Calibri Light"/>
                <w:color w:val="414042" w:themeColor="text1"/>
                <w:szCs w:val="20"/>
              </w:rPr>
            </w:pPr>
            <w:hyperlink w:anchor="lossoflife" w:history="1">
              <w:r w:rsidR="00F021C6" w:rsidRPr="00F021C6">
                <w:rPr>
                  <w:rStyle w:val="Hyperlink"/>
                  <w:rFonts w:cs="Calibri Light"/>
                  <w:color w:val="414042" w:themeColor="text1"/>
                  <w:szCs w:val="20"/>
                  <w:u w:val="none"/>
                </w:rPr>
                <w:t>Focus area  |  Crimes involving risk to, or actual loss of life or serious injury to a person</w:t>
              </w:r>
            </w:hyperlink>
            <w:r w:rsidR="00F021C6" w:rsidRPr="00F021C6">
              <w:rPr>
                <w:rStyle w:val="Hyperlink"/>
                <w:rFonts w:cs="Calibri Light"/>
                <w:color w:val="414042" w:themeColor="text1"/>
                <w:szCs w:val="20"/>
                <w:u w:val="none"/>
              </w:rPr>
              <w:t xml:space="preserve"> </w:t>
            </w:r>
          </w:p>
        </w:tc>
        <w:tc>
          <w:tcPr>
            <w:tcW w:w="714" w:type="pct"/>
            <w:shd w:val="clear" w:color="auto" w:fill="auto"/>
            <w:vAlign w:val="center"/>
          </w:tcPr>
          <w:p w14:paraId="71C4F9F4" w14:textId="4488768D" w:rsidR="00210654" w:rsidRPr="00DF3006" w:rsidRDefault="004B6AC2" w:rsidP="00AF3D0B">
            <w:pPr>
              <w:spacing w:before="120" w:after="120"/>
              <w:rPr>
                <w:bCs/>
                <w:color w:val="414042" w:themeColor="text1"/>
              </w:rPr>
            </w:pPr>
            <w:r w:rsidRPr="00DF3006">
              <w:rPr>
                <w:color w:val="414042" w:themeColor="text1"/>
              </w:rPr>
              <w:t>36</w:t>
            </w:r>
          </w:p>
        </w:tc>
      </w:tr>
      <w:tr w:rsidR="00DF3006" w:rsidRPr="00DF3006" w14:paraId="66D4554A" w14:textId="77777777" w:rsidTr="00AF3D0B">
        <w:trPr>
          <w:trHeight w:val="879"/>
        </w:trPr>
        <w:tc>
          <w:tcPr>
            <w:tcW w:w="4286" w:type="pct"/>
            <w:tcBorders>
              <w:bottom w:val="single" w:sz="12" w:space="0" w:color="FFFFFF" w:themeColor="background1"/>
            </w:tcBorders>
            <w:shd w:val="clear" w:color="auto" w:fill="auto"/>
            <w:vAlign w:val="center"/>
          </w:tcPr>
          <w:p w14:paraId="5B871E2F" w14:textId="6DD987D0" w:rsidR="00210654" w:rsidRPr="00F021C6" w:rsidRDefault="00086D38" w:rsidP="00AF3D0B">
            <w:pPr>
              <w:autoSpaceDE w:val="0"/>
              <w:autoSpaceDN w:val="0"/>
              <w:adjustRightInd w:val="0"/>
              <w:spacing w:before="120" w:after="120" w:line="288" w:lineRule="auto"/>
              <w:textAlignment w:val="center"/>
              <w:rPr>
                <w:rFonts w:cs="Calibri Light"/>
                <w:color w:val="414042" w:themeColor="text1"/>
                <w:szCs w:val="20"/>
              </w:rPr>
            </w:pPr>
            <w:hyperlink w:anchor="vulnerablevictims" w:history="1">
              <w:r w:rsidR="00754346" w:rsidRPr="00F021C6">
                <w:rPr>
                  <w:rStyle w:val="Hyperlink"/>
                  <w:rFonts w:cs="Calibri Light"/>
                  <w:color w:val="414042" w:themeColor="text1"/>
                  <w:szCs w:val="20"/>
                  <w:u w:val="none"/>
                </w:rPr>
                <w:t xml:space="preserve">Focus area  |  </w:t>
              </w:r>
              <w:r w:rsidR="00210654" w:rsidRPr="00F021C6">
                <w:rPr>
                  <w:rStyle w:val="Hyperlink"/>
                  <w:rFonts w:cs="Calibri Light"/>
                  <w:color w:val="414042" w:themeColor="text1"/>
                  <w:szCs w:val="20"/>
                  <w:u w:val="none"/>
                </w:rPr>
                <w:t xml:space="preserve">Crimes against children and vulnerable </w:t>
              </w:r>
              <w:r w:rsidR="00754346" w:rsidRPr="00F021C6">
                <w:rPr>
                  <w:rStyle w:val="Hyperlink"/>
                  <w:rFonts w:cs="Calibri Light"/>
                  <w:color w:val="414042" w:themeColor="text1"/>
                  <w:szCs w:val="20"/>
                  <w:u w:val="none"/>
                </w:rPr>
                <w:t>people</w:t>
              </w:r>
            </w:hyperlink>
          </w:p>
        </w:tc>
        <w:tc>
          <w:tcPr>
            <w:tcW w:w="714" w:type="pct"/>
            <w:shd w:val="clear" w:color="auto" w:fill="auto"/>
            <w:vAlign w:val="center"/>
          </w:tcPr>
          <w:p w14:paraId="699DD3D4" w14:textId="4100A283" w:rsidR="00210654" w:rsidRPr="00DF3006" w:rsidRDefault="004B6AC2" w:rsidP="00AF3D0B">
            <w:pPr>
              <w:spacing w:before="120" w:after="120"/>
              <w:rPr>
                <w:bCs/>
                <w:color w:val="414042" w:themeColor="text1"/>
              </w:rPr>
            </w:pPr>
            <w:r w:rsidRPr="00DF3006">
              <w:rPr>
                <w:bCs/>
                <w:color w:val="414042" w:themeColor="text1"/>
              </w:rPr>
              <w:t>38</w:t>
            </w:r>
          </w:p>
        </w:tc>
      </w:tr>
      <w:tr w:rsidR="00DF3006" w:rsidRPr="00DF3006" w14:paraId="2DCF3AB9" w14:textId="77777777" w:rsidTr="00AF3D0B">
        <w:trPr>
          <w:trHeight w:val="1383"/>
        </w:trPr>
        <w:tc>
          <w:tcPr>
            <w:tcW w:w="4286" w:type="pct"/>
            <w:tcBorders>
              <w:top w:val="single" w:sz="12" w:space="0" w:color="FFFFFF" w:themeColor="background1"/>
              <w:bottom w:val="single" w:sz="12" w:space="0" w:color="FFFFFF" w:themeColor="background1"/>
            </w:tcBorders>
            <w:shd w:val="clear" w:color="auto" w:fill="auto"/>
            <w:vAlign w:val="center"/>
          </w:tcPr>
          <w:p w14:paraId="7AD8D996" w14:textId="738A55DC" w:rsidR="00210654" w:rsidRPr="00F021C6" w:rsidRDefault="00086D38" w:rsidP="00AF3D0B">
            <w:pPr>
              <w:autoSpaceDE w:val="0"/>
              <w:autoSpaceDN w:val="0"/>
              <w:adjustRightInd w:val="0"/>
              <w:spacing w:before="120" w:after="120" w:line="288" w:lineRule="auto"/>
              <w:textAlignment w:val="center"/>
              <w:rPr>
                <w:rFonts w:cs="Calibri Light"/>
                <w:color w:val="414042" w:themeColor="text1"/>
                <w:szCs w:val="20"/>
              </w:rPr>
            </w:pPr>
            <w:hyperlink w:anchor="corruptioncp" w:history="1">
              <w:r w:rsidR="00754346" w:rsidRPr="00F021C6">
                <w:rPr>
                  <w:rStyle w:val="Hyperlink"/>
                  <w:rFonts w:cs="Calibri Light"/>
                  <w:color w:val="414042" w:themeColor="text1"/>
                  <w:szCs w:val="20"/>
                  <w:u w:val="none"/>
                </w:rPr>
                <w:t xml:space="preserve">Focus area  |  </w:t>
              </w:r>
              <w:r w:rsidR="00210654" w:rsidRPr="00F021C6">
                <w:rPr>
                  <w:rStyle w:val="Hyperlink"/>
                  <w:rFonts w:cs="Calibri Light"/>
                  <w:color w:val="414042" w:themeColor="text1"/>
                  <w:szCs w:val="20"/>
                  <w:u w:val="none"/>
                </w:rPr>
                <w:t xml:space="preserve">Corruption involving </w:t>
              </w:r>
              <w:r w:rsidR="006D7BAF" w:rsidRPr="00F021C6">
                <w:rPr>
                  <w:rStyle w:val="Hyperlink"/>
                  <w:rFonts w:cs="Calibri Light"/>
                  <w:color w:val="414042" w:themeColor="text1"/>
                  <w:szCs w:val="20"/>
                  <w:u w:val="none"/>
                </w:rPr>
                <w:t xml:space="preserve">improper influence, </w:t>
              </w:r>
              <w:r w:rsidR="00754346" w:rsidRPr="00F021C6">
                <w:rPr>
                  <w:rStyle w:val="Hyperlink"/>
                  <w:rFonts w:cs="Calibri Light"/>
                  <w:color w:val="414042" w:themeColor="text1"/>
                  <w:szCs w:val="20"/>
                  <w:u w:val="none"/>
                </w:rPr>
                <w:t>abuse of authority</w:t>
              </w:r>
              <w:r w:rsidR="00210654" w:rsidRPr="00F021C6">
                <w:rPr>
                  <w:rStyle w:val="Hyperlink"/>
                  <w:rFonts w:cs="Calibri Light"/>
                  <w:color w:val="414042" w:themeColor="text1"/>
                  <w:szCs w:val="20"/>
                  <w:u w:val="none"/>
                </w:rPr>
                <w:t xml:space="preserve"> and exploitation of public sector resources</w:t>
              </w:r>
            </w:hyperlink>
          </w:p>
        </w:tc>
        <w:tc>
          <w:tcPr>
            <w:tcW w:w="714" w:type="pct"/>
            <w:shd w:val="clear" w:color="auto" w:fill="auto"/>
            <w:vAlign w:val="center"/>
          </w:tcPr>
          <w:p w14:paraId="6C204A4C" w14:textId="4DBFD9C5" w:rsidR="00210654" w:rsidRPr="00DF3006" w:rsidRDefault="004B6AC2" w:rsidP="00AF3D0B">
            <w:pPr>
              <w:spacing w:before="120" w:after="120"/>
              <w:rPr>
                <w:bCs/>
                <w:color w:val="414042" w:themeColor="text1"/>
              </w:rPr>
            </w:pPr>
            <w:r w:rsidRPr="00DF3006">
              <w:rPr>
                <w:bCs/>
                <w:color w:val="414042" w:themeColor="text1"/>
              </w:rPr>
              <w:t>40</w:t>
            </w:r>
          </w:p>
        </w:tc>
      </w:tr>
      <w:tr w:rsidR="005F69AD" w:rsidRPr="00DF3006" w14:paraId="7A5C248B" w14:textId="77777777" w:rsidTr="00AF3D0B">
        <w:trPr>
          <w:trHeight w:val="879"/>
        </w:trPr>
        <w:tc>
          <w:tcPr>
            <w:tcW w:w="4286" w:type="pct"/>
            <w:tcBorders>
              <w:top w:val="single" w:sz="12" w:space="0" w:color="FFFFFF" w:themeColor="background1"/>
              <w:bottom w:val="single" w:sz="12" w:space="0" w:color="FFFFFF" w:themeColor="background1"/>
            </w:tcBorders>
            <w:shd w:val="clear" w:color="auto" w:fill="auto"/>
            <w:vAlign w:val="center"/>
          </w:tcPr>
          <w:p w14:paraId="020CA174" w14:textId="2156ED80" w:rsidR="00210654" w:rsidRPr="00F021C6" w:rsidRDefault="00086D38" w:rsidP="00AF3D0B">
            <w:pPr>
              <w:autoSpaceDE w:val="0"/>
              <w:autoSpaceDN w:val="0"/>
              <w:adjustRightInd w:val="0"/>
              <w:spacing w:before="120" w:after="120" w:line="288" w:lineRule="auto"/>
              <w:textAlignment w:val="center"/>
              <w:rPr>
                <w:rFonts w:cs="Calibri Light"/>
                <w:color w:val="414042" w:themeColor="text1"/>
                <w:szCs w:val="20"/>
              </w:rPr>
            </w:pPr>
            <w:hyperlink w:anchor="_Engaging_with_our" w:history="1">
              <w:r w:rsidR="00754346" w:rsidRPr="00F021C6">
                <w:rPr>
                  <w:rStyle w:val="Hyperlink"/>
                  <w:rFonts w:cs="Calibri Light"/>
                  <w:color w:val="414042" w:themeColor="text1"/>
                  <w:szCs w:val="20"/>
                  <w:u w:val="none"/>
                </w:rPr>
                <w:t xml:space="preserve">Engaging with </w:t>
              </w:r>
              <w:r w:rsidR="0010582F" w:rsidRPr="00F021C6">
                <w:rPr>
                  <w:rStyle w:val="Hyperlink"/>
                  <w:rFonts w:cs="Calibri Light"/>
                  <w:color w:val="414042" w:themeColor="text1"/>
                  <w:szCs w:val="20"/>
                  <w:u w:val="none"/>
                </w:rPr>
                <w:t xml:space="preserve">our </w:t>
              </w:r>
              <w:r w:rsidR="00754346" w:rsidRPr="00F021C6">
                <w:rPr>
                  <w:rStyle w:val="Hyperlink"/>
                  <w:rFonts w:cs="Calibri Light"/>
                  <w:color w:val="414042" w:themeColor="text1"/>
                  <w:szCs w:val="20"/>
                  <w:u w:val="none"/>
                </w:rPr>
                <w:t>stakeholders</w:t>
              </w:r>
            </w:hyperlink>
          </w:p>
        </w:tc>
        <w:tc>
          <w:tcPr>
            <w:tcW w:w="714" w:type="pct"/>
            <w:tcBorders>
              <w:bottom w:val="single" w:sz="12" w:space="0" w:color="FFFFFF" w:themeColor="background1"/>
            </w:tcBorders>
            <w:shd w:val="clear" w:color="auto" w:fill="auto"/>
            <w:vAlign w:val="center"/>
          </w:tcPr>
          <w:p w14:paraId="399A953D" w14:textId="5A0024B2" w:rsidR="00210654" w:rsidRPr="00DF3006" w:rsidRDefault="004B6AC2" w:rsidP="00AF3D0B">
            <w:pPr>
              <w:spacing w:before="120" w:after="120"/>
              <w:rPr>
                <w:bCs/>
                <w:color w:val="414042" w:themeColor="text1"/>
              </w:rPr>
            </w:pPr>
            <w:r w:rsidRPr="00DF3006">
              <w:rPr>
                <w:color w:val="414042" w:themeColor="text1"/>
              </w:rPr>
              <w:t>47</w:t>
            </w:r>
          </w:p>
        </w:tc>
      </w:tr>
      <w:bookmarkEnd w:id="1138"/>
    </w:tbl>
    <w:p w14:paraId="075562C2" w14:textId="77777777" w:rsidR="00AF4375" w:rsidRPr="00DF3006" w:rsidRDefault="00AF4375" w:rsidP="005F61D8">
      <w:pPr>
        <w:pStyle w:val="Openingparagraph"/>
      </w:pPr>
    </w:p>
    <w:p w14:paraId="13D7FE25" w14:textId="77777777" w:rsidR="0004473A" w:rsidRPr="00DF3006" w:rsidRDefault="0004473A" w:rsidP="005F61D8">
      <w:pPr>
        <w:pStyle w:val="Openingparagraph"/>
      </w:pPr>
    </w:p>
    <w:p w14:paraId="36AD542D" w14:textId="77777777" w:rsidR="0004473A" w:rsidRPr="00DF3006" w:rsidRDefault="0004473A" w:rsidP="005F61D8">
      <w:pPr>
        <w:pStyle w:val="Openingparagraph"/>
      </w:pPr>
    </w:p>
    <w:p w14:paraId="6B1C6C43" w14:textId="77777777" w:rsidR="0004473A" w:rsidRPr="00DF3006" w:rsidRDefault="0004473A" w:rsidP="005F61D8">
      <w:pPr>
        <w:pStyle w:val="Openingparagraph"/>
      </w:pPr>
    </w:p>
    <w:p w14:paraId="04E12D14" w14:textId="77777777" w:rsidR="0004473A" w:rsidRPr="00DF3006" w:rsidRDefault="0004473A" w:rsidP="005F61D8">
      <w:pPr>
        <w:pStyle w:val="Openingparagraph"/>
      </w:pPr>
    </w:p>
    <w:p w14:paraId="69207746" w14:textId="77777777" w:rsidR="0004473A" w:rsidRPr="00DF3006" w:rsidRDefault="0004473A" w:rsidP="005F61D8">
      <w:pPr>
        <w:pStyle w:val="Openingparagraph"/>
      </w:pPr>
    </w:p>
    <w:p w14:paraId="365E0106" w14:textId="77777777" w:rsidR="0004473A" w:rsidRPr="00DF3006" w:rsidRDefault="0004473A" w:rsidP="005F61D8">
      <w:pPr>
        <w:pStyle w:val="Openingparagraph"/>
      </w:pPr>
    </w:p>
    <w:p w14:paraId="4AE7EABA" w14:textId="77777777" w:rsidR="0004473A" w:rsidRPr="00DF3006" w:rsidRDefault="0004473A" w:rsidP="005F61D8">
      <w:pPr>
        <w:pStyle w:val="Openingparagraph"/>
      </w:pPr>
    </w:p>
    <w:tbl>
      <w:tblPr>
        <w:tblpPr w:leftFromText="180" w:rightFromText="180" w:vertAnchor="text" w:horzAnchor="page" w:tblpX="6303" w:tblpY="105"/>
        <w:tblW w:w="5620" w:type="pct"/>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097"/>
      </w:tblGrid>
      <w:tr w:rsidR="00DF3006" w:rsidRPr="00DF3006" w14:paraId="5D4302F6" w14:textId="77777777" w:rsidTr="0004473A">
        <w:trPr>
          <w:trHeight w:val="4818"/>
        </w:trPr>
        <w:tc>
          <w:tcPr>
            <w:tcW w:w="5000" w:type="pct"/>
            <w:shd w:val="clear" w:color="auto" w:fill="FFFFFF" w:themeFill="background1"/>
          </w:tcPr>
          <w:p w14:paraId="5D472722" w14:textId="77777777" w:rsidR="0004473A" w:rsidRPr="00DF3006" w:rsidRDefault="0004473A" w:rsidP="00463FBB">
            <w:pPr>
              <w:pStyle w:val="Heading4"/>
              <w:rPr>
                <w:snapToGrid w:val="0"/>
              </w:rPr>
            </w:pPr>
            <w:r w:rsidRPr="00DF3006">
              <w:br w:type="column"/>
            </w:r>
            <w:r w:rsidRPr="00DF3006">
              <w:rPr>
                <w:snapToGrid w:val="0"/>
              </w:rPr>
              <w:t>Key strategies:</w:t>
            </w:r>
          </w:p>
          <w:p w14:paraId="0DB536AB" w14:textId="77777777" w:rsidR="0004473A" w:rsidRPr="00DF3006" w:rsidRDefault="0004473A">
            <w:pPr>
              <w:pStyle w:val="Bulletlist"/>
              <w:numPr>
                <w:ilvl w:val="0"/>
                <w:numId w:val="62"/>
              </w:numPr>
              <w:rPr>
                <w:snapToGrid w:val="0"/>
                <w:color w:val="414042" w:themeColor="text1"/>
              </w:rPr>
            </w:pPr>
            <w:r w:rsidRPr="00DF3006">
              <w:rPr>
                <w:snapToGrid w:val="0"/>
                <w:color w:val="414042" w:themeColor="text1"/>
              </w:rPr>
              <w:t xml:space="preserve">Work with our partners to solve and prevent major </w:t>
            </w:r>
            <w:proofErr w:type="gramStart"/>
            <w:r w:rsidRPr="00DF3006">
              <w:rPr>
                <w:snapToGrid w:val="0"/>
                <w:color w:val="414042" w:themeColor="text1"/>
              </w:rPr>
              <w:t>crime</w:t>
            </w:r>
            <w:proofErr w:type="gramEnd"/>
            <w:r w:rsidRPr="00DF3006">
              <w:rPr>
                <w:snapToGrid w:val="0"/>
                <w:color w:val="414042" w:themeColor="text1"/>
              </w:rPr>
              <w:t xml:space="preserve"> </w:t>
            </w:r>
          </w:p>
          <w:p w14:paraId="7BFF0680" w14:textId="77777777" w:rsidR="0004473A" w:rsidRPr="00DF3006" w:rsidRDefault="0004473A">
            <w:pPr>
              <w:pStyle w:val="Bulletlist"/>
              <w:numPr>
                <w:ilvl w:val="0"/>
                <w:numId w:val="62"/>
              </w:numPr>
              <w:rPr>
                <w:snapToGrid w:val="0"/>
                <w:color w:val="414042" w:themeColor="text1"/>
              </w:rPr>
            </w:pPr>
            <w:r w:rsidRPr="00DF3006">
              <w:rPr>
                <w:snapToGrid w:val="0"/>
                <w:color w:val="414042" w:themeColor="text1"/>
              </w:rPr>
              <w:t xml:space="preserve">Remove the financial benefit and support for serious criminal </w:t>
            </w:r>
            <w:proofErr w:type="gramStart"/>
            <w:r w:rsidRPr="00DF3006">
              <w:rPr>
                <w:snapToGrid w:val="0"/>
                <w:color w:val="414042" w:themeColor="text1"/>
              </w:rPr>
              <w:t>offending</w:t>
            </w:r>
            <w:proofErr w:type="gramEnd"/>
          </w:p>
          <w:p w14:paraId="01A9482D" w14:textId="77777777" w:rsidR="0004473A" w:rsidRPr="00DF3006" w:rsidRDefault="0004473A">
            <w:pPr>
              <w:pStyle w:val="Bulletlist"/>
              <w:numPr>
                <w:ilvl w:val="0"/>
                <w:numId w:val="62"/>
              </w:numPr>
              <w:rPr>
                <w:snapToGrid w:val="0"/>
                <w:color w:val="414042" w:themeColor="text1"/>
              </w:rPr>
            </w:pPr>
            <w:r w:rsidRPr="00DF3006">
              <w:rPr>
                <w:snapToGrid w:val="0"/>
                <w:color w:val="414042" w:themeColor="text1"/>
              </w:rPr>
              <w:t xml:space="preserve">Investigate and oversee investigations into serious and systemic public sector corruption and police </w:t>
            </w:r>
            <w:proofErr w:type="gramStart"/>
            <w:r w:rsidRPr="00DF3006">
              <w:rPr>
                <w:snapToGrid w:val="0"/>
                <w:color w:val="414042" w:themeColor="text1"/>
              </w:rPr>
              <w:t>misconduct</w:t>
            </w:r>
            <w:proofErr w:type="gramEnd"/>
          </w:p>
          <w:p w14:paraId="56429A92" w14:textId="77777777" w:rsidR="0004473A" w:rsidRPr="00DF3006" w:rsidRDefault="0004473A">
            <w:pPr>
              <w:pStyle w:val="Bulletlist"/>
              <w:numPr>
                <w:ilvl w:val="0"/>
                <w:numId w:val="62"/>
              </w:numPr>
              <w:rPr>
                <w:snapToGrid w:val="0"/>
                <w:color w:val="414042" w:themeColor="text1"/>
              </w:rPr>
            </w:pPr>
            <w:r w:rsidRPr="00DF3006">
              <w:rPr>
                <w:snapToGrid w:val="0"/>
                <w:color w:val="414042" w:themeColor="text1"/>
              </w:rPr>
              <w:t xml:space="preserve">Inform, educate and empower public institutions to build corruption resistant </w:t>
            </w:r>
            <w:proofErr w:type="gramStart"/>
            <w:r w:rsidRPr="00DF3006">
              <w:rPr>
                <w:snapToGrid w:val="0"/>
                <w:color w:val="414042" w:themeColor="text1"/>
              </w:rPr>
              <w:t>cultures</w:t>
            </w:r>
            <w:proofErr w:type="gramEnd"/>
          </w:p>
          <w:p w14:paraId="5430C408" w14:textId="77777777" w:rsidR="0004473A" w:rsidRPr="00DF3006" w:rsidRDefault="0004473A">
            <w:pPr>
              <w:pStyle w:val="Bulletlist"/>
              <w:numPr>
                <w:ilvl w:val="0"/>
                <w:numId w:val="62"/>
              </w:numPr>
              <w:rPr>
                <w:color w:val="414042" w:themeColor="text1"/>
              </w:rPr>
            </w:pPr>
            <w:r w:rsidRPr="00DF3006">
              <w:rPr>
                <w:snapToGrid w:val="0"/>
                <w:color w:val="414042" w:themeColor="text1"/>
              </w:rPr>
              <w:t xml:space="preserve">Contribute to improved public policy decision making by providing independent and evidence-based advice to </w:t>
            </w:r>
            <w:proofErr w:type="gramStart"/>
            <w:r w:rsidRPr="00DF3006">
              <w:rPr>
                <w:snapToGrid w:val="0"/>
                <w:color w:val="414042" w:themeColor="text1"/>
              </w:rPr>
              <w:t>government</w:t>
            </w:r>
            <w:proofErr w:type="gramEnd"/>
          </w:p>
          <w:p w14:paraId="6DDD48E9" w14:textId="77777777" w:rsidR="0004473A" w:rsidRPr="00DF3006" w:rsidRDefault="0004473A" w:rsidP="0004473A">
            <w:pPr>
              <w:rPr>
                <w:color w:val="414042" w:themeColor="text1"/>
              </w:rPr>
            </w:pPr>
          </w:p>
        </w:tc>
      </w:tr>
    </w:tbl>
    <w:p w14:paraId="2289D911" w14:textId="77777777" w:rsidR="0004473A" w:rsidRPr="00DF3006" w:rsidRDefault="0004473A" w:rsidP="005F61D8">
      <w:pPr>
        <w:pStyle w:val="Openingparagraph"/>
      </w:pPr>
    </w:p>
    <w:p w14:paraId="027F0289" w14:textId="77777777" w:rsidR="0004473A" w:rsidRPr="00DF3006" w:rsidRDefault="0004473A" w:rsidP="005F61D8">
      <w:pPr>
        <w:pStyle w:val="Openingparagraph"/>
      </w:pPr>
    </w:p>
    <w:p w14:paraId="1CF22581" w14:textId="77777777" w:rsidR="0004473A" w:rsidRPr="00DF3006" w:rsidRDefault="0004473A" w:rsidP="005F61D8">
      <w:pPr>
        <w:pStyle w:val="Openingparagraph"/>
      </w:pPr>
    </w:p>
    <w:p w14:paraId="52820316" w14:textId="77777777" w:rsidR="0004473A" w:rsidRPr="00DF3006" w:rsidRDefault="0004473A" w:rsidP="005F61D8">
      <w:pPr>
        <w:pStyle w:val="Openingparagraph"/>
      </w:pPr>
    </w:p>
    <w:p w14:paraId="570186FB" w14:textId="77777777" w:rsidR="0004473A" w:rsidRPr="00DF3006" w:rsidRDefault="0004473A" w:rsidP="005F61D8">
      <w:pPr>
        <w:pStyle w:val="Openingparagraph"/>
      </w:pPr>
    </w:p>
    <w:p w14:paraId="65B9D701" w14:textId="77777777" w:rsidR="0004473A" w:rsidRPr="00DF3006" w:rsidRDefault="0004473A" w:rsidP="005F61D8">
      <w:pPr>
        <w:pStyle w:val="Openingparagraph"/>
      </w:pPr>
    </w:p>
    <w:p w14:paraId="67B6B4A5" w14:textId="77777777" w:rsidR="0004473A" w:rsidRPr="00DF3006" w:rsidRDefault="0004473A" w:rsidP="005F61D8">
      <w:pPr>
        <w:pStyle w:val="Openingparagraph"/>
      </w:pPr>
    </w:p>
    <w:p w14:paraId="63853B92" w14:textId="673D1B25" w:rsidR="0004473A" w:rsidRPr="00DF3006" w:rsidRDefault="0004473A" w:rsidP="005F61D8">
      <w:pPr>
        <w:pStyle w:val="Openingparagraph"/>
        <w:sectPr w:rsidR="0004473A" w:rsidRPr="00DF3006" w:rsidSect="00C77834">
          <w:type w:val="continuous"/>
          <w:pgSz w:w="11906" w:h="16838" w:code="9"/>
          <w:pgMar w:top="2155" w:right="1134" w:bottom="964" w:left="1134" w:header="720" w:footer="284" w:gutter="0"/>
          <w:cols w:num="2" w:space="567"/>
          <w:noEndnote/>
          <w:docGrid w:linePitch="272"/>
        </w:sectPr>
      </w:pPr>
    </w:p>
    <w:p w14:paraId="433D35EE" w14:textId="170ECC50" w:rsidR="000A32C4" w:rsidRPr="00DF3006" w:rsidRDefault="000307D2" w:rsidP="000A32C4">
      <w:pPr>
        <w:pStyle w:val="Heading2"/>
        <w:spacing w:line="204" w:lineRule="auto"/>
      </w:pPr>
      <w:bookmarkStart w:id="1139" w:name="_Toc102037911"/>
      <w:bookmarkStart w:id="1140" w:name="_Toc102038272"/>
      <w:bookmarkStart w:id="1141" w:name="_Toc102038633"/>
      <w:bookmarkStart w:id="1142" w:name="_Toc102038985"/>
      <w:bookmarkStart w:id="1143" w:name="_Toc102039334"/>
      <w:bookmarkStart w:id="1144" w:name="_Toc102039696"/>
      <w:bookmarkStart w:id="1145" w:name="_Toc102040053"/>
      <w:bookmarkStart w:id="1146" w:name="_Toc102040381"/>
      <w:bookmarkStart w:id="1147" w:name="_Toc102040715"/>
      <w:bookmarkStart w:id="1148" w:name="_Toc102041043"/>
      <w:bookmarkStart w:id="1149" w:name="_Toc102041372"/>
      <w:bookmarkStart w:id="1150" w:name="_Toc102041704"/>
      <w:bookmarkStart w:id="1151" w:name="_Toc102042031"/>
      <w:bookmarkStart w:id="1152" w:name="_Toc102042361"/>
      <w:bookmarkStart w:id="1153" w:name="_Toc102045491"/>
      <w:bookmarkStart w:id="1154" w:name="_Hlk74218797"/>
      <w:bookmarkStart w:id="1155" w:name="_Hlk74046057"/>
      <w:r w:rsidRPr="00DF3006">
        <w:rPr>
          <w:rFonts w:asciiTheme="minorHAnsi" w:hAnsiTheme="minorHAnsi" w:cstheme="minorHAnsi"/>
          <w:b/>
          <w:bCs/>
        </w:rPr>
        <w:lastRenderedPageBreak/>
        <w:t xml:space="preserve">FOCUS AREA </w:t>
      </w:r>
      <w:r w:rsidR="00DF3006">
        <w:t>| I</w:t>
      </w:r>
      <w:r w:rsidR="000A32C4" w:rsidRPr="00DF3006">
        <w:t>l</w:t>
      </w:r>
      <w:r w:rsidR="00DF3006">
        <w:t>l</w:t>
      </w:r>
      <w:r w:rsidR="000A32C4" w:rsidRPr="00DF3006">
        <w:t>icit markets of high value or high public impact</w:t>
      </w:r>
      <w:bookmarkStart w:id="1156" w:name="illicitmarkets"/>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6"/>
    </w:p>
    <w:bookmarkEnd w:id="1154"/>
    <w:p w14:paraId="1E4AC980" w14:textId="354FC872" w:rsidR="000A32C4" w:rsidRPr="00DF3006" w:rsidRDefault="000A32C4" w:rsidP="00E52781">
      <w:pPr>
        <w:pStyle w:val="Openingparagraph"/>
        <w:rPr>
          <w:lang w:val="en-AU"/>
        </w:rPr>
      </w:pPr>
      <w:r w:rsidRPr="00DF3006">
        <w:t>This</w:t>
      </w:r>
      <w:r w:rsidRPr="00DF3006">
        <w:rPr>
          <w:lang w:val="en-AU"/>
        </w:rPr>
        <w:t xml:space="preserve"> year we remained focused on disrupting high value illicit markets and sophisticated criminal networks operating in Queensland. These networks endanger our community by engaging in serious criminal activity including firearms trafficking, cybercrime, organised fraud, and the distribution of illicit drugs. We continue to target and investigate illicit market activity with the highest value and causing the most devastating impacts to Queenslanders, their families, and our community.</w:t>
      </w:r>
    </w:p>
    <w:p w14:paraId="3620E567" w14:textId="77777777" w:rsidR="000A32C4" w:rsidRPr="00DF3006" w:rsidRDefault="000A32C4" w:rsidP="000A32C4">
      <w:pPr>
        <w:rPr>
          <w:color w:val="414042" w:themeColor="text1"/>
        </w:rPr>
        <w:sectPr w:rsidR="000A32C4" w:rsidRPr="00DF3006" w:rsidSect="00C77834">
          <w:headerReference w:type="even" r:id="rId157"/>
          <w:headerReference w:type="default" r:id="rId158"/>
          <w:headerReference w:type="first" r:id="rId159"/>
          <w:pgSz w:w="11906" w:h="16838" w:code="9"/>
          <w:pgMar w:top="2155" w:right="1134" w:bottom="964" w:left="1134" w:header="720" w:footer="284" w:gutter="0"/>
          <w:cols w:space="567"/>
          <w:noEndnote/>
          <w:docGrid w:linePitch="272"/>
        </w:sectPr>
      </w:pPr>
    </w:p>
    <w:p w14:paraId="12B004DC" w14:textId="42A3CE38" w:rsidR="004B4F24" w:rsidRPr="00DF3006" w:rsidRDefault="004B4F24" w:rsidP="000307D2">
      <w:pPr>
        <w:spacing w:before="200"/>
        <w:rPr>
          <w:color w:val="414042" w:themeColor="text1"/>
        </w:rPr>
      </w:pPr>
      <w:bookmarkStart w:id="1157" w:name="_Hlk74046068"/>
      <w:bookmarkStart w:id="1158" w:name="_Toc102037915"/>
      <w:bookmarkStart w:id="1159" w:name="_Toc102038276"/>
      <w:bookmarkStart w:id="1160" w:name="_Toc102038637"/>
      <w:bookmarkStart w:id="1161" w:name="_Toc102038989"/>
      <w:bookmarkStart w:id="1162" w:name="_Toc102039338"/>
      <w:bookmarkStart w:id="1163" w:name="_Toc102039700"/>
      <w:bookmarkStart w:id="1164" w:name="_Toc102040057"/>
      <w:bookmarkStart w:id="1165" w:name="_Toc102040385"/>
      <w:bookmarkStart w:id="1166" w:name="_Toc102040719"/>
      <w:bookmarkStart w:id="1167" w:name="_Toc102041047"/>
      <w:bookmarkStart w:id="1168" w:name="_Toc102041376"/>
      <w:bookmarkStart w:id="1169" w:name="_Toc102041708"/>
      <w:bookmarkStart w:id="1170" w:name="_Toc102042035"/>
      <w:bookmarkStart w:id="1171" w:name="_Toc102042365"/>
      <w:bookmarkStart w:id="1172" w:name="_Toc102045495"/>
      <w:bookmarkStart w:id="1173" w:name="_Hlk109845851"/>
      <w:r w:rsidRPr="00DF3006">
        <w:rPr>
          <w:color w:val="414042" w:themeColor="text1"/>
        </w:rPr>
        <w:t>Organised crime groups of all kinds are heavily involved in illicit market activities with strong links to global supply chains through international networks and facilitators. Often these groups operate using sophisticated business models and expertise to produce significant financial return for those involved.</w:t>
      </w:r>
    </w:p>
    <w:p w14:paraId="05B73043" w14:textId="26BD1B18" w:rsidR="004B4F24" w:rsidRPr="00DF3006" w:rsidRDefault="004B4F24" w:rsidP="004B4F24">
      <w:pPr>
        <w:rPr>
          <w:color w:val="414042" w:themeColor="text1"/>
        </w:rPr>
      </w:pPr>
      <w:r w:rsidRPr="00DF3006">
        <w:rPr>
          <w:color w:val="414042" w:themeColor="text1"/>
        </w:rPr>
        <w:t xml:space="preserve">Facilitators and enablers </w:t>
      </w:r>
      <w:r w:rsidR="00C54E1D" w:rsidRPr="00DF3006">
        <w:rPr>
          <w:color w:val="414042" w:themeColor="text1"/>
        </w:rPr>
        <w:t xml:space="preserve">may be </w:t>
      </w:r>
      <w:r w:rsidRPr="00DF3006">
        <w:rPr>
          <w:color w:val="414042" w:themeColor="text1"/>
        </w:rPr>
        <w:t>respected professionals within the community, who offer their expertise on a fee-for-service basis. They are typically recruited by organised crime groups through pre-existing networks which have global reach, requiring national and international law enforcement collaboration and coordination.</w:t>
      </w:r>
    </w:p>
    <w:p w14:paraId="5FC320A0" w14:textId="77777777" w:rsidR="004B4F24" w:rsidRPr="00DF3006" w:rsidRDefault="004B4F24" w:rsidP="004B4F24">
      <w:pPr>
        <w:rPr>
          <w:color w:val="414042" w:themeColor="text1"/>
        </w:rPr>
      </w:pPr>
      <w:r w:rsidRPr="00DF3006">
        <w:rPr>
          <w:color w:val="414042" w:themeColor="text1"/>
        </w:rPr>
        <w:t>In response, we continued to work closely with our law enforcement partners in 2022–23, focusing our efforts on the systems and expertise that enable high value, high impact organised crime to thrive. We prioritised the timely dissemination of intelligence, collected through our investigations and strategic projects, to assist our partner agencies.</w:t>
      </w:r>
    </w:p>
    <w:p w14:paraId="5BC7935C" w14:textId="2193130F" w:rsidR="004B4F24" w:rsidRPr="00DF3006" w:rsidRDefault="004B4F24" w:rsidP="004B4F24">
      <w:pPr>
        <w:rPr>
          <w:color w:val="414042" w:themeColor="text1"/>
        </w:rPr>
      </w:pPr>
      <w:r w:rsidRPr="00DF3006">
        <w:rPr>
          <w:color w:val="414042" w:themeColor="text1"/>
        </w:rPr>
        <w:t>In 2022–23, our investigations and proceeds of crime</w:t>
      </w:r>
      <w:r w:rsidR="00C54E1D" w:rsidRPr="00DF3006">
        <w:rPr>
          <w:color w:val="414042" w:themeColor="text1"/>
        </w:rPr>
        <w:t>-</w:t>
      </w:r>
      <w:r w:rsidRPr="00DF3006">
        <w:rPr>
          <w:color w:val="414042" w:themeColor="text1"/>
        </w:rPr>
        <w:t xml:space="preserve">related referrals were affected by a more volatile, shifting, and litigious operating environment. This presented challenges for meeting our performance targets. Other factors that continued to impact our results included court hearing delays and uncooperative witnesses </w:t>
      </w:r>
      <w:r w:rsidR="006F3054" w:rsidRPr="00DF3006">
        <w:rPr>
          <w:color w:val="414042" w:themeColor="text1"/>
        </w:rPr>
        <w:t>in</w:t>
      </w:r>
      <w:r w:rsidRPr="00DF3006">
        <w:rPr>
          <w:color w:val="414042" w:themeColor="text1"/>
        </w:rPr>
        <w:t xml:space="preserve"> investigative hearings.</w:t>
      </w:r>
    </w:p>
    <w:bookmarkEnd w:id="1157"/>
    <w:p w14:paraId="4FE8B328" w14:textId="77777777" w:rsidR="000A32C4" w:rsidRPr="00DF3006" w:rsidRDefault="000A32C4" w:rsidP="00E6066A">
      <w:pPr>
        <w:pStyle w:val="Heading3"/>
      </w:pPr>
      <w:r w:rsidRPr="00DF3006">
        <w:br w:type="column"/>
      </w:r>
      <w:r w:rsidRPr="00DF3006">
        <w:t>Investigating crime</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2D2DEA50" w14:textId="23D94B32" w:rsidR="000A32C4" w:rsidRPr="00DF3006" w:rsidRDefault="000A32C4" w:rsidP="004B4F24">
      <w:pPr>
        <w:rPr>
          <w:color w:val="414042" w:themeColor="text1"/>
          <w:spacing w:val="-4"/>
        </w:rPr>
      </w:pPr>
      <w:r w:rsidRPr="00DF3006">
        <w:rPr>
          <w:color w:val="414042" w:themeColor="text1"/>
          <w:spacing w:val="-4"/>
        </w:rPr>
        <w:t xml:space="preserve">In 2022–23, we progressed </w:t>
      </w:r>
      <w:r w:rsidR="004B4F24" w:rsidRPr="00DF3006">
        <w:rPr>
          <w:color w:val="414042" w:themeColor="text1"/>
          <w:spacing w:val="-4"/>
        </w:rPr>
        <w:t>five</w:t>
      </w:r>
      <w:r w:rsidRPr="00DF3006">
        <w:rPr>
          <w:color w:val="414042" w:themeColor="text1"/>
          <w:spacing w:val="-4"/>
        </w:rPr>
        <w:t xml:space="preserve"> and finalised </w:t>
      </w:r>
      <w:r w:rsidR="004B4F24" w:rsidRPr="00DF3006">
        <w:rPr>
          <w:color w:val="414042" w:themeColor="text1"/>
          <w:spacing w:val="-4"/>
        </w:rPr>
        <w:t>10</w:t>
      </w:r>
      <w:r w:rsidRPr="00DF3006">
        <w:rPr>
          <w:color w:val="414042" w:themeColor="text1"/>
          <w:spacing w:val="-4"/>
        </w:rPr>
        <w:t xml:space="preserve"> crime investigations targeting illicit markets and their facilitators.</w:t>
      </w:r>
    </w:p>
    <w:p w14:paraId="5582BE4D" w14:textId="73B2908B" w:rsidR="000A32C4" w:rsidRPr="00DF3006" w:rsidRDefault="000A32C4" w:rsidP="000A32C4">
      <w:pPr>
        <w:rPr>
          <w:strike/>
          <w:color w:val="414042" w:themeColor="text1"/>
        </w:rPr>
      </w:pPr>
      <w:r w:rsidRPr="00DF3006">
        <w:rPr>
          <w:color w:val="414042" w:themeColor="text1"/>
        </w:rPr>
        <w:t xml:space="preserve">We held </w:t>
      </w:r>
      <w:r w:rsidR="004B4F24" w:rsidRPr="00DF3006">
        <w:rPr>
          <w:color w:val="414042" w:themeColor="text1"/>
        </w:rPr>
        <w:t>32</w:t>
      </w:r>
      <w:r w:rsidRPr="00DF3006">
        <w:rPr>
          <w:color w:val="414042" w:themeColor="text1"/>
        </w:rPr>
        <w:t xml:space="preserve"> days of hearings and examined 24 witnesses to support and advance investigations by the CCC or the QPS that were focused on illicit markets.</w:t>
      </w:r>
    </w:p>
    <w:bookmarkEnd w:id="1173"/>
    <w:p w14:paraId="13CB7581" w14:textId="77777777" w:rsidR="000A32C4" w:rsidRPr="00DF3006" w:rsidRDefault="000A32C4" w:rsidP="00463FBB">
      <w:pPr>
        <w:pStyle w:val="Heading4"/>
      </w:pPr>
      <w:r w:rsidRPr="00DF3006">
        <w:t xml:space="preserve">Facilitators involved in major crime </w:t>
      </w:r>
      <w:proofErr w:type="gramStart"/>
      <w:r w:rsidRPr="00DF3006">
        <w:t>operations</w:t>
      </w:r>
      <w:proofErr w:type="gramEnd"/>
    </w:p>
    <w:p w14:paraId="7F678E0E" w14:textId="58036EDD" w:rsidR="000A32C4" w:rsidRPr="00DF3006" w:rsidRDefault="000A32C4" w:rsidP="000A32C4">
      <w:pPr>
        <w:rPr>
          <w:color w:val="414042" w:themeColor="text1"/>
        </w:rPr>
      </w:pPr>
      <w:r w:rsidRPr="00DF3006">
        <w:rPr>
          <w:color w:val="414042" w:themeColor="text1"/>
        </w:rPr>
        <w:t xml:space="preserve">An investigation into money laundering, fraud and drug trafficking involving members of an </w:t>
      </w:r>
      <w:r w:rsidR="00EA2C0F" w:rsidRPr="00DF3006">
        <w:rPr>
          <w:color w:val="414042" w:themeColor="text1"/>
        </w:rPr>
        <w:t>OMCG</w:t>
      </w:r>
      <w:r w:rsidRPr="00DF3006">
        <w:rPr>
          <w:color w:val="414042" w:themeColor="text1"/>
        </w:rPr>
        <w:t xml:space="preserve"> based on the Gold Coast resulted in the arrest of five offenders on 16 charges, which included drug trafficking, consorting and contravening access orders.</w:t>
      </w:r>
    </w:p>
    <w:p w14:paraId="4374C416" w14:textId="19123884" w:rsidR="00E16C1A" w:rsidRPr="00DF3006" w:rsidRDefault="00E16C1A" w:rsidP="00E16C1A">
      <w:pPr>
        <w:rPr>
          <w:color w:val="414042" w:themeColor="text1"/>
          <w:szCs w:val="20"/>
        </w:rPr>
      </w:pPr>
      <w:r w:rsidRPr="00DF3006">
        <w:rPr>
          <w:color w:val="414042" w:themeColor="text1"/>
        </w:rPr>
        <w:t>A defendant pleaded guilty and was sentenced to 15 years</w:t>
      </w:r>
      <w:r w:rsidR="006F3054" w:rsidRPr="00DF3006">
        <w:rPr>
          <w:color w:val="414042" w:themeColor="text1"/>
        </w:rPr>
        <w:t>’</w:t>
      </w:r>
      <w:r w:rsidRPr="00DF3006">
        <w:rPr>
          <w:color w:val="414042" w:themeColor="text1"/>
        </w:rPr>
        <w:t xml:space="preserve"> imprisonment for possessing 10 kg of crystal methylamphetamine, with an estimated wholesale value of $2 million. The drug was being trafficked f</w:t>
      </w:r>
      <w:r w:rsidRPr="00DF3006">
        <w:rPr>
          <w:color w:val="414042" w:themeColor="text1"/>
          <w:szCs w:val="20"/>
        </w:rPr>
        <w:t xml:space="preserve">rom Sydney to Brisbane as part of a syndicate operating in South-East Queensland, and </w:t>
      </w:r>
      <w:r w:rsidRPr="00DF3006">
        <w:rPr>
          <w:color w:val="414042" w:themeColor="text1"/>
        </w:rPr>
        <w:t>the conviction represents a significant disruption to the syndicate’s commercial supply chain.</w:t>
      </w:r>
    </w:p>
    <w:p w14:paraId="4CFE7EF2" w14:textId="1E0568F8" w:rsidR="000A32C4" w:rsidRPr="00DF3006" w:rsidRDefault="000A32C4" w:rsidP="004B4F24">
      <w:pPr>
        <w:rPr>
          <w:color w:val="414042" w:themeColor="text1"/>
        </w:rPr>
      </w:pPr>
      <w:r w:rsidRPr="00DF3006">
        <w:rPr>
          <w:color w:val="414042" w:themeColor="text1"/>
        </w:rPr>
        <w:t>Additionally, 35 intelligence products arising from the investigation were disclosed to law enforcement partners. One disclosure resulted in the charge and conviction of a person for possession of tainted property and the forfeiture of $150,000 in cash.</w:t>
      </w:r>
    </w:p>
    <w:p w14:paraId="5A58D9DC" w14:textId="77777777" w:rsidR="000A32C4" w:rsidRPr="00DF3006" w:rsidRDefault="000A32C4" w:rsidP="00463FBB">
      <w:pPr>
        <w:pStyle w:val="Heading4"/>
      </w:pPr>
      <w:r w:rsidRPr="00DF3006">
        <w:t>Theft and trafficking of weapons</w:t>
      </w:r>
    </w:p>
    <w:p w14:paraId="3B7542D8" w14:textId="164AEBDF" w:rsidR="000A32C4" w:rsidRPr="00DF3006" w:rsidRDefault="000A32C4" w:rsidP="00BF3018">
      <w:pPr>
        <w:rPr>
          <w:rFonts w:ascii="Calibri" w:hAnsi="Calibri" w:cs="Calibri"/>
          <w:color w:val="414042" w:themeColor="text1"/>
          <w:szCs w:val="18"/>
        </w:rPr>
      </w:pPr>
      <w:r w:rsidRPr="00DF3006">
        <w:rPr>
          <w:color w:val="414042" w:themeColor="text1"/>
        </w:rPr>
        <w:t xml:space="preserve">In December 2022, the CCC conducted a hearing over three days to examine the circumstances around the theft of 11 firearms from a residential property and the subsequent alleged unlawful trafficking, </w:t>
      </w:r>
      <w:proofErr w:type="gramStart"/>
      <w:r w:rsidRPr="00DF3006">
        <w:rPr>
          <w:color w:val="414042" w:themeColor="text1"/>
        </w:rPr>
        <w:t>supply</w:t>
      </w:r>
      <w:proofErr w:type="gramEnd"/>
      <w:r w:rsidRPr="00DF3006">
        <w:rPr>
          <w:color w:val="414042" w:themeColor="text1"/>
        </w:rPr>
        <w:t xml:space="preserve"> and possession of those weapons. The hearing resulted in the identification of possible storage locations of several weapons which had not been recovered by police at the time the matter was referred to the CCC. </w:t>
      </w:r>
      <w:r w:rsidR="00BF3018" w:rsidRPr="00DF3006">
        <w:rPr>
          <w:color w:val="414042" w:themeColor="text1"/>
        </w:rPr>
        <w:br w:type="column"/>
      </w:r>
      <w:r w:rsidRPr="00DF3006">
        <w:rPr>
          <w:rFonts w:ascii="Calibri" w:hAnsi="Calibri" w:cs="Calibri"/>
          <w:b/>
          <w:bCs/>
          <w:color w:val="414042" w:themeColor="text1"/>
          <w:szCs w:val="18"/>
        </w:rPr>
        <w:lastRenderedPageBreak/>
        <w:t>Drug trafficking syndicate with links to an OMCG</w:t>
      </w:r>
    </w:p>
    <w:p w14:paraId="1C921B9B" w14:textId="5EE241F6" w:rsidR="000A32C4" w:rsidRPr="00DF3006" w:rsidRDefault="000A32C4" w:rsidP="000A32C4">
      <w:pPr>
        <w:rPr>
          <w:color w:val="414042" w:themeColor="text1"/>
        </w:rPr>
      </w:pPr>
      <w:r w:rsidRPr="00DF3006">
        <w:rPr>
          <w:color w:val="414042" w:themeColor="text1"/>
        </w:rPr>
        <w:t xml:space="preserve">In 2023, the CCC conducted a hearing over eight days to examine alleged drug trafficking from Sydney to regions in Queensland by a syndicate with links to an OMCG. The hearing provided police with useful information about methodologies used by the syndicate and corroborated information known to police. </w:t>
      </w:r>
    </w:p>
    <w:p w14:paraId="602001B4" w14:textId="77777777" w:rsidR="000A32C4" w:rsidRPr="00DF3006" w:rsidRDefault="000A32C4" w:rsidP="00E6066A">
      <w:pPr>
        <w:pStyle w:val="Heading3"/>
      </w:pPr>
      <w:bookmarkStart w:id="1174" w:name="_Toc102037919"/>
      <w:bookmarkStart w:id="1175" w:name="_Toc102038280"/>
      <w:bookmarkStart w:id="1176" w:name="_Toc102038641"/>
      <w:bookmarkStart w:id="1177" w:name="_Toc102038993"/>
      <w:bookmarkStart w:id="1178" w:name="_Toc102039342"/>
      <w:bookmarkStart w:id="1179" w:name="_Toc102039704"/>
      <w:bookmarkStart w:id="1180" w:name="_Toc102040061"/>
      <w:bookmarkStart w:id="1181" w:name="_Toc102040389"/>
      <w:bookmarkStart w:id="1182" w:name="_Toc102040723"/>
      <w:bookmarkStart w:id="1183" w:name="_Toc102041051"/>
      <w:bookmarkStart w:id="1184" w:name="_Toc102041380"/>
      <w:bookmarkStart w:id="1185" w:name="_Toc102041712"/>
      <w:bookmarkStart w:id="1186" w:name="_Toc102042039"/>
      <w:bookmarkStart w:id="1187" w:name="_Toc102042369"/>
      <w:bookmarkStart w:id="1188" w:name="_Toc102045499"/>
      <w:bookmarkStart w:id="1189" w:name="_Hlk78281754"/>
      <w:r w:rsidRPr="00DF3006">
        <w:t>Intelligence operations and activities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46EE4163" w14:textId="77777777" w:rsidR="000A32C4" w:rsidRPr="00DF3006" w:rsidRDefault="000A32C4" w:rsidP="000A32C4">
      <w:pPr>
        <w:rPr>
          <w:color w:val="414042" w:themeColor="text1"/>
        </w:rPr>
      </w:pPr>
      <w:r w:rsidRPr="00DF3006">
        <w:rPr>
          <w:color w:val="414042" w:themeColor="text1"/>
        </w:rPr>
        <w:t>We share intelligence with our law enforcement partners that we have obtained through our investigations and intelligence activities. This enables a collaborative and holistic response to identifying and disrupting criminal networks, their participants, and the systems and expertise that allow them to operate successfully in our community.</w:t>
      </w:r>
    </w:p>
    <w:p w14:paraId="3D4F5B7E" w14:textId="77777777" w:rsidR="000A32C4" w:rsidRPr="00DF3006" w:rsidRDefault="000A32C4" w:rsidP="000A32C4">
      <w:pPr>
        <w:rPr>
          <w:color w:val="414042" w:themeColor="text1"/>
        </w:rPr>
      </w:pPr>
      <w:r w:rsidRPr="00DF3006">
        <w:rPr>
          <w:color w:val="414042" w:themeColor="text1"/>
        </w:rPr>
        <w:t>In 2022–23, we progressed an intelligence investigation targeting facilitators and participants in illicit market crimes and finalised three intelligence operations into illicit market activities. This included the examination of eight witnesses over 12 days of hearings.</w:t>
      </w:r>
      <w:bookmarkEnd w:id="1189"/>
    </w:p>
    <w:p w14:paraId="1D795032" w14:textId="77777777" w:rsidR="004B4F24" w:rsidRPr="00DF3006" w:rsidRDefault="004B4F24" w:rsidP="004B4F24">
      <w:pPr>
        <w:rPr>
          <w:color w:val="414042" w:themeColor="text1"/>
          <w:spacing w:val="-4"/>
        </w:rPr>
      </w:pPr>
      <w:r w:rsidRPr="00DF3006">
        <w:rPr>
          <w:color w:val="414042" w:themeColor="text1"/>
          <w:spacing w:val="-4"/>
        </w:rPr>
        <w:t>Additionally, we made 221 disseminations relating to investigations and in response to requests for information.</w:t>
      </w:r>
    </w:p>
    <w:p w14:paraId="4BE9666A" w14:textId="77777777" w:rsidR="00775BC5" w:rsidRPr="00DF3006" w:rsidRDefault="00775BC5" w:rsidP="00463FBB">
      <w:pPr>
        <w:pStyle w:val="Heading4"/>
      </w:pPr>
      <w:r w:rsidRPr="00DF3006">
        <w:t>Assessment of trade-based promotion business models</w:t>
      </w:r>
    </w:p>
    <w:p w14:paraId="540AC028" w14:textId="7E11FFB7" w:rsidR="00775BC5" w:rsidRPr="00DF3006" w:rsidRDefault="00775BC5" w:rsidP="00775BC5">
      <w:pPr>
        <w:rPr>
          <w:color w:val="414042" w:themeColor="text1"/>
        </w:rPr>
      </w:pPr>
      <w:r w:rsidRPr="00DF3006">
        <w:rPr>
          <w:color w:val="414042" w:themeColor="text1"/>
        </w:rPr>
        <w:t xml:space="preserve">An intelligence operation aimed to test and validate the business model of trade-based promotions as a potential money laundering risk. The operation resulted in consultation with the Queensland regulator about the need for potential legislative reform as well as the dissemination of five intelligence products to our law enforcement partners. </w:t>
      </w:r>
    </w:p>
    <w:p w14:paraId="3B7A9B98" w14:textId="77777777" w:rsidR="00775BC5" w:rsidRPr="00DF3006" w:rsidRDefault="00775BC5" w:rsidP="00463FBB">
      <w:pPr>
        <w:pStyle w:val="Heading4"/>
      </w:pPr>
      <w:r w:rsidRPr="00DF3006">
        <w:t>Suspected facilitator of money laundering and drug trafficking offences</w:t>
      </w:r>
    </w:p>
    <w:p w14:paraId="69AFE09F" w14:textId="206837B3" w:rsidR="00775BC5" w:rsidRPr="00DF3006" w:rsidRDefault="00775BC5" w:rsidP="00775BC5">
      <w:pPr>
        <w:rPr>
          <w:color w:val="414042" w:themeColor="text1"/>
        </w:rPr>
      </w:pPr>
      <w:r w:rsidRPr="00DF3006">
        <w:rPr>
          <w:color w:val="414042" w:themeColor="text1"/>
        </w:rPr>
        <w:t>Another intelligence operation finalised and closed in the reporting period, focused on the facilitation of offences including money laundering and drug trafficking by persons associated with an OMCG based in Queensland via motor vehicle businesses with the gang. The CCC’s involvement was a partnership</w:t>
      </w:r>
      <w:r w:rsidR="006F3054" w:rsidRPr="00DF3006">
        <w:rPr>
          <w:color w:val="414042" w:themeColor="text1"/>
        </w:rPr>
        <w:t>-</w:t>
      </w:r>
      <w:r w:rsidRPr="00DF3006">
        <w:rPr>
          <w:color w:val="414042" w:themeColor="text1"/>
        </w:rPr>
        <w:t>driven approach with the QPS, and relevant Commonwealth agencies, to achieve the objectives of the Commonwealth OMCG strategy.</w:t>
      </w:r>
    </w:p>
    <w:p w14:paraId="1B491BC4" w14:textId="7DE85830" w:rsidR="00775BC5" w:rsidRPr="00DF3006" w:rsidRDefault="00775BC5" w:rsidP="00775BC5">
      <w:pPr>
        <w:rPr>
          <w:color w:val="414042" w:themeColor="text1"/>
        </w:rPr>
      </w:pPr>
      <w:r w:rsidRPr="00DF3006">
        <w:rPr>
          <w:color w:val="414042" w:themeColor="text1"/>
        </w:rPr>
        <w:t xml:space="preserve">The operation resulted in six intelligence products being produced and disseminated to our law enforcement partners which identified potential educational, disruption and prevention strategies. The use of investigative hearings early in the operation also provided significant value in assessing the currency of </w:t>
      </w:r>
      <w:r w:rsidRPr="00DF3006">
        <w:rPr>
          <w:color w:val="414042" w:themeColor="text1"/>
        </w:rPr>
        <w:t xml:space="preserve">intelligence and ultimately expedited the matter to closure. </w:t>
      </w:r>
    </w:p>
    <w:p w14:paraId="5EBAE62C" w14:textId="77777777" w:rsidR="00775BC5" w:rsidRPr="00DF3006" w:rsidRDefault="00775BC5" w:rsidP="00463FBB">
      <w:pPr>
        <w:pStyle w:val="Heading4"/>
      </w:pPr>
      <w:r w:rsidRPr="00DF3006">
        <w:t xml:space="preserve">Encrypted telecommunications distributors enabling organised </w:t>
      </w:r>
      <w:proofErr w:type="gramStart"/>
      <w:r w:rsidRPr="00DF3006">
        <w:t>crime</w:t>
      </w:r>
      <w:proofErr w:type="gramEnd"/>
    </w:p>
    <w:p w14:paraId="431D1A20" w14:textId="77777777" w:rsidR="00775BC5" w:rsidRPr="00DF3006" w:rsidRDefault="00775BC5" w:rsidP="00775BC5">
      <w:pPr>
        <w:rPr>
          <w:color w:val="414042" w:themeColor="text1"/>
        </w:rPr>
      </w:pPr>
      <w:r w:rsidRPr="00DF3006">
        <w:rPr>
          <w:color w:val="414042" w:themeColor="text1"/>
        </w:rPr>
        <w:t>In 2022–23, we concluded an operation which enabled us to leverage our expertise in targeting encrypted telecommunications distributors suspected of enabling criminal activity such as drug trafficking and money laundering.</w:t>
      </w:r>
    </w:p>
    <w:p w14:paraId="4E8005EE" w14:textId="558C2FC8" w:rsidR="00775BC5" w:rsidRPr="00DF3006" w:rsidRDefault="00775BC5" w:rsidP="00775BC5">
      <w:pPr>
        <w:rPr>
          <w:color w:val="414042" w:themeColor="text1"/>
        </w:rPr>
      </w:pPr>
      <w:r w:rsidRPr="00DF3006">
        <w:rPr>
          <w:color w:val="414042" w:themeColor="text1"/>
        </w:rPr>
        <w:t xml:space="preserve">The operation resulted in a total of 55 intelligence products disseminated to our law enforcement partners about the types of devices (and applications) being supplied and the operational model utilised by the network in Queensland, New South Wales, and Victoria. </w:t>
      </w:r>
    </w:p>
    <w:p w14:paraId="2070602B" w14:textId="77777777" w:rsidR="00775BC5" w:rsidRPr="00DF3006" w:rsidRDefault="00775BC5" w:rsidP="00463FBB">
      <w:pPr>
        <w:pStyle w:val="Heading4"/>
      </w:pPr>
      <w:bookmarkStart w:id="1190" w:name="_Key_strategic_intelligence"/>
      <w:bookmarkEnd w:id="1190"/>
      <w:r w:rsidRPr="00DF3006">
        <w:t xml:space="preserve">Key strategic intelligence products </w:t>
      </w:r>
      <w:proofErr w:type="gramStart"/>
      <w:r w:rsidRPr="00DF3006">
        <w:t>produced</w:t>
      </w:r>
      <w:proofErr w:type="gramEnd"/>
    </w:p>
    <w:p w14:paraId="122609E5" w14:textId="252089DF" w:rsidR="00775BC5" w:rsidRPr="00DF3006" w:rsidRDefault="00775BC5" w:rsidP="00775BC5">
      <w:pPr>
        <w:rPr>
          <w:color w:val="414042" w:themeColor="text1"/>
        </w:rPr>
      </w:pPr>
      <w:r w:rsidRPr="00DF3006">
        <w:rPr>
          <w:color w:val="414042" w:themeColor="text1"/>
        </w:rPr>
        <w:t>To support our work in comba</w:t>
      </w:r>
      <w:r w:rsidR="00AF3176" w:rsidRPr="00DF3006">
        <w:rPr>
          <w:color w:val="414042" w:themeColor="text1"/>
        </w:rPr>
        <w:t>t</w:t>
      </w:r>
      <w:r w:rsidRPr="00DF3006">
        <w:rPr>
          <w:color w:val="414042" w:themeColor="text1"/>
        </w:rPr>
        <w:t>ing and reducing the incidence of major crime, we undertake research and intelligence activities on matters concerning the administration of criminal justice in Queensland, or to promote understanding and develop strategic insights for effective prevention and responses to serious and organised crime affecting the Queensland community.</w:t>
      </w:r>
    </w:p>
    <w:p w14:paraId="5856597A" w14:textId="78A57F23" w:rsidR="00775BC5" w:rsidRPr="00DF3006" w:rsidRDefault="00775BC5" w:rsidP="00775BC5">
      <w:pPr>
        <w:rPr>
          <w:color w:val="414042" w:themeColor="text1"/>
        </w:rPr>
      </w:pPr>
      <w:r w:rsidRPr="00DF3006">
        <w:rPr>
          <w:color w:val="414042" w:themeColor="text1"/>
        </w:rPr>
        <w:t xml:space="preserve">Intelligence products produced and disseminated to national and commonwealth enforcement partners during one intelligence operation, focused on exposing linked encrypted communication resellers, assisting current tactical operations as well as making a significant contribution to law enforcement understanding of an encrypted communications business model facilitating organised crime. </w:t>
      </w:r>
    </w:p>
    <w:p w14:paraId="03B37B82" w14:textId="77777777" w:rsidR="00775BC5" w:rsidRPr="00DF3006" w:rsidRDefault="00775BC5" w:rsidP="00E6066A">
      <w:pPr>
        <w:pStyle w:val="Heading3"/>
      </w:pPr>
      <w:r w:rsidRPr="00DF3006">
        <w:rPr>
          <w:u w:color="E6E7E8" w:themeColor="background2"/>
        </w:rPr>
        <w:t>Removing the financial benefits of</w:t>
      </w:r>
      <w:r w:rsidRPr="00DF3006">
        <w:t xml:space="preserve"> crime</w:t>
      </w:r>
    </w:p>
    <w:p w14:paraId="1795EA11" w14:textId="77777777" w:rsidR="00775BC5" w:rsidRPr="00DF3006" w:rsidRDefault="00775BC5" w:rsidP="00775BC5">
      <w:pPr>
        <w:rPr>
          <w:color w:val="414042" w:themeColor="text1"/>
          <w:spacing w:val="4"/>
        </w:rPr>
      </w:pPr>
      <w:r w:rsidRPr="00DF3006">
        <w:rPr>
          <w:color w:val="414042" w:themeColor="text1"/>
          <w:spacing w:val="4"/>
        </w:rPr>
        <w:t>In 2022–23, we pursued our commitment to making serious crime not pay by targeting high profit, high impact crime. Confiscating assets gained from criminal activity undermines the profitability of those crimes and prevents crime-derived profits from being re-invested to support ongoing and additional criminal activity.</w:t>
      </w:r>
    </w:p>
    <w:p w14:paraId="6D415EB9" w14:textId="77777777" w:rsidR="00775BC5" w:rsidRPr="00DF3006" w:rsidRDefault="00775BC5" w:rsidP="00463FBB">
      <w:pPr>
        <w:pStyle w:val="Heading4"/>
      </w:pPr>
      <w:r w:rsidRPr="00DF3006">
        <w:t>Criminal proceeds confiscation action</w:t>
      </w:r>
    </w:p>
    <w:p w14:paraId="7FDBC328" w14:textId="3370C419" w:rsidR="00775BC5" w:rsidRPr="00DF3006" w:rsidRDefault="00775BC5" w:rsidP="00775BC5">
      <w:pPr>
        <w:spacing w:after="120"/>
        <w:rPr>
          <w:color w:val="414042" w:themeColor="text1"/>
        </w:rPr>
      </w:pPr>
      <w:r w:rsidRPr="00DF3006">
        <w:rPr>
          <w:color w:val="414042" w:themeColor="text1"/>
        </w:rPr>
        <w:t xml:space="preserve">As </w:t>
      </w:r>
      <w:proofErr w:type="gramStart"/>
      <w:r w:rsidR="00A6208D" w:rsidRPr="00DF3006">
        <w:rPr>
          <w:color w:val="414042" w:themeColor="text1"/>
        </w:rPr>
        <w:t>at</w:t>
      </w:r>
      <w:proofErr w:type="gramEnd"/>
      <w:r w:rsidR="00A6208D" w:rsidRPr="00DF3006">
        <w:rPr>
          <w:color w:val="414042" w:themeColor="text1"/>
        </w:rPr>
        <w:t xml:space="preserve"> </w:t>
      </w:r>
      <w:r w:rsidRPr="00DF3006">
        <w:rPr>
          <w:color w:val="414042" w:themeColor="text1"/>
        </w:rPr>
        <w:t>30 June 2023, we had 80 ongoing confiscation matters; comprising 17 finalised matters expected to realise $4.086 million for the State of Queensland, and 63 active matters of which:</w:t>
      </w:r>
    </w:p>
    <w:p w14:paraId="2CDAE1B9" w14:textId="77777777" w:rsidR="00775BC5" w:rsidRPr="00DF3006" w:rsidRDefault="00775BC5">
      <w:pPr>
        <w:pStyle w:val="Bullets4"/>
        <w:rPr>
          <w:color w:val="414042" w:themeColor="text1"/>
        </w:rPr>
      </w:pPr>
      <w:r w:rsidRPr="00DF3006">
        <w:rPr>
          <w:color w:val="414042" w:themeColor="text1"/>
        </w:rPr>
        <w:t>30 have potential for $15.776 million in assets to be restrained, and</w:t>
      </w:r>
    </w:p>
    <w:p w14:paraId="64124A5A" w14:textId="281E9C78" w:rsidR="00775BC5" w:rsidRPr="00DF3006" w:rsidRDefault="00775BC5">
      <w:pPr>
        <w:pStyle w:val="Bullets4"/>
        <w:rPr>
          <w:color w:val="414042" w:themeColor="text1"/>
        </w:rPr>
      </w:pPr>
      <w:r w:rsidRPr="00DF3006">
        <w:rPr>
          <w:color w:val="414042" w:themeColor="text1"/>
        </w:rPr>
        <w:t>33 have an estimated $44.345 million in assets under restraint.</w:t>
      </w:r>
    </w:p>
    <w:p w14:paraId="2CBB37DD" w14:textId="466F6E21" w:rsidR="00775BC5" w:rsidRPr="00DF3006" w:rsidRDefault="0042092A" w:rsidP="00E6066A">
      <w:pPr>
        <w:pStyle w:val="Heading3"/>
      </w:pPr>
      <w:r w:rsidRPr="00DF3006">
        <w:br w:type="column"/>
      </w:r>
      <w:r w:rsidR="00775BC5" w:rsidRPr="00DF3006">
        <w:rPr>
          <w:u w:color="E6E7E8" w:themeColor="background2"/>
        </w:rPr>
        <w:lastRenderedPageBreak/>
        <w:t>Illicit</w:t>
      </w:r>
      <w:r w:rsidR="00775BC5" w:rsidRPr="00DF3006">
        <w:t xml:space="preserve"> markets</w:t>
      </w:r>
    </w:p>
    <w:p w14:paraId="255AD29B" w14:textId="77777777" w:rsidR="00775BC5" w:rsidRPr="00DF3006" w:rsidRDefault="00775BC5" w:rsidP="00775BC5">
      <w:pPr>
        <w:rPr>
          <w:color w:val="414042" w:themeColor="text1"/>
        </w:rPr>
      </w:pPr>
      <w:r w:rsidRPr="00DF3006">
        <w:rPr>
          <w:color w:val="414042" w:themeColor="text1"/>
        </w:rPr>
        <w:t>This year, our proceeds action related to illicit markets resulted in 11 restraining orders being obtained over assets valued at $5.223 million and 15 forfeiture orders valued at $4.296 million.</w:t>
      </w:r>
    </w:p>
    <w:p w14:paraId="284E5C6D" w14:textId="77777777" w:rsidR="00775BC5" w:rsidRPr="00DF3006" w:rsidRDefault="00775BC5" w:rsidP="00775BC5">
      <w:pPr>
        <w:rPr>
          <w:color w:val="414042" w:themeColor="text1"/>
        </w:rPr>
      </w:pPr>
      <w:r w:rsidRPr="00DF3006">
        <w:rPr>
          <w:color w:val="414042" w:themeColor="text1"/>
        </w:rPr>
        <w:t>Significant outcomes in relation to restraint and forfeiture action this year include:</w:t>
      </w:r>
    </w:p>
    <w:p w14:paraId="613C8C73" w14:textId="77777777" w:rsidR="00775BC5" w:rsidRPr="00DF3006" w:rsidRDefault="00775BC5">
      <w:pPr>
        <w:pStyle w:val="Bullets4"/>
        <w:rPr>
          <w:color w:val="414042" w:themeColor="text1"/>
        </w:rPr>
      </w:pPr>
      <w:r w:rsidRPr="00DF3006">
        <w:rPr>
          <w:color w:val="414042" w:themeColor="text1"/>
        </w:rPr>
        <w:t xml:space="preserve">following a QPS investigation into a large-scale cannabis trafficking operation, $1.593 million in real estate holdings were restrained </w:t>
      </w:r>
      <w:r w:rsidRPr="00DF3006">
        <w:rPr>
          <w:vanish/>
          <w:color w:val="414042" w:themeColor="text1"/>
        </w:rPr>
        <w:t>[Boudar]</w:t>
      </w:r>
    </w:p>
    <w:p w14:paraId="6AE50339" w14:textId="77777777" w:rsidR="00775BC5" w:rsidRPr="00DF3006" w:rsidRDefault="00775BC5">
      <w:pPr>
        <w:pStyle w:val="Bullets4"/>
        <w:rPr>
          <w:color w:val="414042" w:themeColor="text1"/>
        </w:rPr>
      </w:pPr>
      <w:r w:rsidRPr="00DF3006">
        <w:rPr>
          <w:color w:val="414042" w:themeColor="text1"/>
        </w:rPr>
        <w:t xml:space="preserve">the restraint of $1.035 million in assets following a routine QPS vehicle interception led to the discovery of $490,000 in cash which was restrained along with a real estate property and a motor vehicle </w:t>
      </w:r>
      <w:r w:rsidRPr="00DF3006">
        <w:rPr>
          <w:vanish/>
          <w:color w:val="414042" w:themeColor="text1"/>
        </w:rPr>
        <w:t>[McGrogan x 2 restraint $895K &amp; $140K vehicle]</w:t>
      </w:r>
    </w:p>
    <w:p w14:paraId="6EB98DAD" w14:textId="77777777" w:rsidR="00775BC5" w:rsidRPr="00DF3006" w:rsidRDefault="00775BC5">
      <w:pPr>
        <w:pStyle w:val="Bullets4"/>
        <w:rPr>
          <w:color w:val="414042" w:themeColor="text1"/>
        </w:rPr>
      </w:pPr>
      <w:r w:rsidRPr="00DF3006">
        <w:rPr>
          <w:color w:val="414042" w:themeColor="text1"/>
        </w:rPr>
        <w:t xml:space="preserve">the recovery of $0.954 million in cash to the State </w:t>
      </w:r>
      <w:proofErr w:type="gramStart"/>
      <w:r w:rsidRPr="00DF3006">
        <w:rPr>
          <w:color w:val="414042" w:themeColor="text1"/>
        </w:rPr>
        <w:t>as a result of</w:t>
      </w:r>
      <w:proofErr w:type="gramEnd"/>
      <w:r w:rsidRPr="00DF3006">
        <w:rPr>
          <w:color w:val="414042" w:themeColor="text1"/>
        </w:rPr>
        <w:t xml:space="preserve"> a QPS led investigation into </w:t>
      </w:r>
      <w:r w:rsidRPr="00DF3006">
        <w:rPr>
          <w:rFonts w:cs="Calibri"/>
          <w:bCs/>
          <w:color w:val="414042" w:themeColor="text1"/>
          <w:szCs w:val="20"/>
        </w:rPr>
        <w:t xml:space="preserve">the </w:t>
      </w:r>
      <w:r w:rsidRPr="00DF3006">
        <w:rPr>
          <w:color w:val="414042" w:themeColor="text1"/>
        </w:rPr>
        <w:t xml:space="preserve">trafficking of cocaine, methylamphetamine and cannabis, and </w:t>
      </w:r>
      <w:r w:rsidRPr="00DF3006">
        <w:rPr>
          <w:vanish/>
          <w:color w:val="414042" w:themeColor="text1"/>
        </w:rPr>
        <w:t>[Barakat]</w:t>
      </w:r>
    </w:p>
    <w:p w14:paraId="5F7D1C4F" w14:textId="65D4960C" w:rsidR="00775BC5" w:rsidRPr="00DF3006" w:rsidRDefault="00775BC5">
      <w:pPr>
        <w:pStyle w:val="Bullets4"/>
        <w:rPr>
          <w:color w:val="414042" w:themeColor="text1"/>
        </w:rPr>
      </w:pPr>
      <w:r w:rsidRPr="00DF3006">
        <w:rPr>
          <w:color w:val="414042" w:themeColor="text1"/>
        </w:rPr>
        <w:t>the recovery of $0.692 million to the State comprising of bank account funds and a real estate property which was restrained in 2015 and 2020 respectively.</w:t>
      </w:r>
    </w:p>
    <w:p w14:paraId="0B4F8013" w14:textId="2A1AA156" w:rsidR="000A32C4" w:rsidRPr="00DF3006" w:rsidRDefault="00775BC5">
      <w:pPr>
        <w:pStyle w:val="Bullets4"/>
        <w:rPr>
          <w:color w:val="414042" w:themeColor="text1"/>
        </w:rPr>
      </w:pPr>
      <w:r w:rsidRPr="00DF3006">
        <w:rPr>
          <w:color w:val="414042" w:themeColor="text1"/>
        </w:rPr>
        <w:t xml:space="preserve">the recovery of $0.497 million in cash to the State which </w:t>
      </w:r>
      <w:proofErr w:type="gramStart"/>
      <w:r w:rsidRPr="00DF3006">
        <w:rPr>
          <w:color w:val="414042" w:themeColor="text1"/>
        </w:rPr>
        <w:t>was located in</w:t>
      </w:r>
      <w:proofErr w:type="gramEnd"/>
      <w:r w:rsidRPr="00DF3006">
        <w:rPr>
          <w:color w:val="414042" w:themeColor="text1"/>
        </w:rPr>
        <w:t xml:space="preserve"> a vehicle parked in a carpark along with a number of firearms, ammunition, drugs and drug paraphernalia.</w:t>
      </w:r>
    </w:p>
    <w:p w14:paraId="7418F889" w14:textId="1D539227" w:rsidR="0042092A" w:rsidRPr="00DF3006" w:rsidRDefault="002A1326" w:rsidP="0042092A">
      <w:pPr>
        <w:pStyle w:val="Bullets4"/>
        <w:numPr>
          <w:ilvl w:val="0"/>
          <w:numId w:val="0"/>
        </w:numPr>
        <w:ind w:left="142"/>
        <w:rPr>
          <w:color w:val="414042" w:themeColor="text1"/>
        </w:rPr>
      </w:pPr>
      <w:r w:rsidRPr="00DF3006">
        <w:rPr>
          <w:color w:val="414042" w:themeColor="text1"/>
        </w:rPr>
        <w:br w:type="column"/>
      </w:r>
    </w:p>
    <w:tbl>
      <w:tblPr>
        <w:tblStyle w:val="Annualreport2020-21"/>
        <w:tblW w:w="0" w:type="auto"/>
        <w:shd w:val="clear" w:color="auto" w:fill="E6E7E8" w:themeFill="background2"/>
        <w:tblCellMar>
          <w:top w:w="57" w:type="dxa"/>
          <w:bottom w:w="57" w:type="dxa"/>
        </w:tblCellMar>
        <w:tblLook w:val="04A0" w:firstRow="1" w:lastRow="0" w:firstColumn="1" w:lastColumn="0" w:noHBand="0" w:noVBand="1"/>
      </w:tblPr>
      <w:tblGrid>
        <w:gridCol w:w="4535"/>
      </w:tblGrid>
      <w:tr w:rsidR="00DF3006" w:rsidRPr="00DF3006" w14:paraId="337E8F52" w14:textId="77777777" w:rsidTr="003A57F5">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shd w:val="clear" w:color="auto" w:fill="E6E7E8" w:themeFill="background2"/>
          </w:tcPr>
          <w:p w14:paraId="525AAC90" w14:textId="7C9F7E72" w:rsidR="000A32C4" w:rsidRPr="00DF3006" w:rsidRDefault="000A32C4" w:rsidP="00463FBB">
            <w:pPr>
              <w:pStyle w:val="Heading4leftaligned"/>
              <w:rPr>
                <w:highlight w:val="yellow"/>
              </w:rPr>
            </w:pPr>
            <w:r w:rsidRPr="00DF3006">
              <w:br w:type="column"/>
            </w:r>
            <w:r w:rsidRPr="00DF3006">
              <w:br w:type="column"/>
            </w:r>
            <w:bookmarkEnd w:id="1155"/>
            <w:r w:rsidRPr="00DF3006">
              <w:t>About our proceeds of crime function</w:t>
            </w:r>
          </w:p>
          <w:p w14:paraId="7B9AF949" w14:textId="77777777" w:rsidR="000A32C4" w:rsidRPr="00DF3006" w:rsidRDefault="000A32C4" w:rsidP="008741E9">
            <w:pPr>
              <w:ind w:left="42"/>
              <w:jc w:val="left"/>
              <w:rPr>
                <w:b w:val="0"/>
                <w:bCs/>
                <w:color w:val="414042" w:themeColor="text1"/>
              </w:rPr>
            </w:pPr>
            <w:r w:rsidRPr="00DF3006">
              <w:rPr>
                <w:b w:val="0"/>
                <w:bCs/>
                <w:color w:val="414042" w:themeColor="text1"/>
              </w:rPr>
              <w:t xml:space="preserve">Under the </w:t>
            </w:r>
            <w:r w:rsidRPr="00DF3006">
              <w:rPr>
                <w:b w:val="0"/>
                <w:bCs/>
                <w:i/>
                <w:color w:val="414042" w:themeColor="text1"/>
                <w:spacing w:val="-2"/>
              </w:rPr>
              <w:t>Criminal Proceeds Confiscation Act 2002</w:t>
            </w:r>
            <w:r w:rsidRPr="00DF3006">
              <w:rPr>
                <w:b w:val="0"/>
                <w:bCs/>
                <w:color w:val="414042" w:themeColor="text1"/>
              </w:rPr>
              <w:t>, we are responsible for administering the civil confiscation scheme and serious drug offender confiscation order scheme. Under these schemes, we initiate actions to confiscate the proceeds of crime based on our investigations and on referrals from the QPS and other law enforcement agencies.</w:t>
            </w:r>
          </w:p>
          <w:p w14:paraId="035A51B8" w14:textId="77777777" w:rsidR="000A32C4" w:rsidRPr="00DF3006" w:rsidRDefault="000A32C4" w:rsidP="008741E9">
            <w:pPr>
              <w:ind w:left="42"/>
              <w:jc w:val="left"/>
              <w:rPr>
                <w:b w:val="0"/>
                <w:bCs/>
                <w:color w:val="414042" w:themeColor="text1"/>
              </w:rPr>
            </w:pPr>
            <w:r w:rsidRPr="00DF3006">
              <w:rPr>
                <w:b w:val="0"/>
                <w:bCs/>
                <w:color w:val="414042" w:themeColor="text1"/>
              </w:rPr>
              <w:t>The civil confiscation scheme enables the restraint, and subsequent forfeiture, of a person’s assets where there is a reasonable suspicion they have engaged in serious crime-related activity. The serious drug offender confiscation order scheme enables the confiscation of assets where a person has been convicted of a specific qualifying drug offence.</w:t>
            </w:r>
          </w:p>
          <w:p w14:paraId="3AFDBE69" w14:textId="77777777" w:rsidR="000A32C4" w:rsidRPr="00DF3006" w:rsidRDefault="000A32C4" w:rsidP="008741E9">
            <w:pPr>
              <w:ind w:left="42"/>
              <w:jc w:val="left"/>
              <w:rPr>
                <w:color w:val="414042" w:themeColor="text1"/>
                <w:spacing w:val="-4"/>
                <w:highlight w:val="yellow"/>
              </w:rPr>
            </w:pPr>
            <w:r w:rsidRPr="00DF3006">
              <w:rPr>
                <w:b w:val="0"/>
                <w:bCs/>
                <w:color w:val="414042" w:themeColor="text1"/>
                <w:spacing w:val="-4"/>
              </w:rPr>
              <w:t>We work closely with the QPS and the ODPP to identify and litigate proceeds of crime matters, as well as the Public Trustee of Queensland, who holds and disposes of restrained property on behalf of the State of Queensland.</w:t>
            </w:r>
            <w:r w:rsidRPr="00DF3006">
              <w:rPr>
                <w:color w:val="414042" w:themeColor="text1"/>
                <w:spacing w:val="-4"/>
              </w:rPr>
              <w:t xml:space="preserve"> </w:t>
            </w:r>
          </w:p>
        </w:tc>
      </w:tr>
    </w:tbl>
    <w:p w14:paraId="0D67F8DD" w14:textId="77777777" w:rsidR="000A32C4" w:rsidRPr="00DF3006" w:rsidRDefault="000A32C4" w:rsidP="007E7B4C">
      <w:pPr>
        <w:pStyle w:val="Bulletlist"/>
        <w:rPr>
          <w:color w:val="414042" w:themeColor="text1"/>
          <w:highlight w:val="yellow"/>
        </w:rPr>
      </w:pPr>
    </w:p>
    <w:p w14:paraId="1B6E8E68" w14:textId="77777777" w:rsidR="0042092A" w:rsidRPr="00DF3006" w:rsidRDefault="0042092A" w:rsidP="007E7B4C">
      <w:pPr>
        <w:pStyle w:val="Bulletlist"/>
        <w:rPr>
          <w:color w:val="414042" w:themeColor="text1"/>
          <w:highlight w:val="yellow"/>
        </w:rPr>
      </w:pPr>
    </w:p>
    <w:p w14:paraId="44A55851" w14:textId="77777777" w:rsidR="0042092A" w:rsidRPr="00DF3006" w:rsidRDefault="0042092A" w:rsidP="007E7B4C">
      <w:pPr>
        <w:pStyle w:val="Bulletlist"/>
        <w:rPr>
          <w:color w:val="414042" w:themeColor="text1"/>
          <w:highlight w:val="yellow"/>
        </w:rPr>
      </w:pPr>
    </w:p>
    <w:p w14:paraId="49467A95" w14:textId="6A732ADD" w:rsidR="0042092A" w:rsidRPr="00DF3006" w:rsidRDefault="0042092A" w:rsidP="007E7B4C">
      <w:pPr>
        <w:pStyle w:val="Bulletlist"/>
        <w:rPr>
          <w:color w:val="414042" w:themeColor="text1"/>
          <w:highlight w:val="yellow"/>
        </w:rPr>
      </w:pPr>
    </w:p>
    <w:p w14:paraId="4E94D11D" w14:textId="77777777" w:rsidR="00B43636" w:rsidRPr="00DF3006" w:rsidRDefault="00B43636" w:rsidP="007E7B4C">
      <w:pPr>
        <w:pStyle w:val="Bulletlist"/>
        <w:rPr>
          <w:color w:val="414042" w:themeColor="text1"/>
          <w:highlight w:val="yellow"/>
        </w:rPr>
      </w:pPr>
    </w:p>
    <w:p w14:paraId="176050A7" w14:textId="77777777" w:rsidR="0042092A" w:rsidRPr="00DF3006" w:rsidRDefault="0042092A" w:rsidP="007E7B4C">
      <w:pPr>
        <w:pStyle w:val="Bulletlist"/>
        <w:rPr>
          <w:color w:val="414042" w:themeColor="text1"/>
          <w:highlight w:val="yellow"/>
        </w:rPr>
      </w:pPr>
    </w:p>
    <w:p w14:paraId="194D1A14" w14:textId="6A99550A" w:rsidR="0042092A" w:rsidRPr="00DF3006" w:rsidRDefault="0042092A" w:rsidP="007E7B4C">
      <w:pPr>
        <w:pStyle w:val="Bulletlist"/>
        <w:rPr>
          <w:color w:val="414042" w:themeColor="text1"/>
          <w:highlight w:val="yellow"/>
        </w:rPr>
        <w:sectPr w:rsidR="0042092A" w:rsidRPr="00DF3006" w:rsidSect="00C77834">
          <w:headerReference w:type="even" r:id="rId160"/>
          <w:headerReference w:type="default" r:id="rId161"/>
          <w:headerReference w:type="first" r:id="rId162"/>
          <w:type w:val="continuous"/>
          <w:pgSz w:w="11906" w:h="16838" w:code="9"/>
          <w:pgMar w:top="2155" w:right="1134" w:bottom="964" w:left="1134" w:header="720" w:footer="284" w:gutter="0"/>
          <w:cols w:num="2" w:space="567"/>
          <w:noEndnote/>
          <w:docGrid w:linePitch="272"/>
        </w:sectPr>
      </w:pPr>
    </w:p>
    <w:p w14:paraId="025CE450" w14:textId="567912F3" w:rsidR="00775BC5" w:rsidRPr="00DF3006" w:rsidRDefault="00775BC5" w:rsidP="00463FBB">
      <w:pPr>
        <w:pStyle w:val="Heading4b"/>
        <w:rPr>
          <w:rStyle w:val="Heading4Char"/>
          <w:rFonts w:asciiTheme="majorHAnsi" w:hAnsiTheme="majorHAnsi"/>
        </w:rPr>
      </w:pPr>
      <w:r w:rsidRPr="00DF3006">
        <w:t>Figure 18: Proceeds of crime matters assessed, restraining and forfeiture orders issued in 2022</w:t>
      </w:r>
      <w:r w:rsidRPr="00DF3006">
        <w:rPr>
          <w:u w:color="BCBEC0" w:themeColor="accent5"/>
        </w:rPr>
        <w:t>–</w:t>
      </w:r>
      <w:r w:rsidRPr="00DF3006">
        <w:t>23</w:t>
      </w:r>
    </w:p>
    <w:p w14:paraId="2814F877" w14:textId="35AAF13B" w:rsidR="00775BC5" w:rsidRPr="00DF3006" w:rsidRDefault="00775BC5" w:rsidP="00775BC5">
      <w:pPr>
        <w:rPr>
          <w:color w:val="414042" w:themeColor="text1"/>
        </w:rPr>
        <w:sectPr w:rsidR="00775BC5" w:rsidRPr="00DF3006" w:rsidSect="00C77834">
          <w:headerReference w:type="even" r:id="rId163"/>
          <w:headerReference w:type="default" r:id="rId164"/>
          <w:headerReference w:type="first" r:id="rId165"/>
          <w:type w:val="continuous"/>
          <w:pgSz w:w="11906" w:h="16838" w:code="9"/>
          <w:pgMar w:top="2155" w:right="1134" w:bottom="964" w:left="1134" w:header="720" w:footer="284" w:gutter="0"/>
          <w:cols w:space="567"/>
          <w:noEndnote/>
          <w:docGrid w:linePitch="272"/>
        </w:sectPr>
      </w:pPr>
      <w:r w:rsidRPr="00DF3006">
        <w:rPr>
          <w:noProof/>
          <w:color w:val="414042" w:themeColor="text1"/>
        </w:rPr>
        <w:drawing>
          <wp:anchor distT="0" distB="0" distL="114300" distR="114300" simplePos="0" relativeHeight="252335104" behindDoc="0" locked="0" layoutInCell="1" allowOverlap="1" wp14:anchorId="10561A30" wp14:editId="6DB51913">
            <wp:simplePos x="0" y="0"/>
            <wp:positionH relativeFrom="column">
              <wp:posOffset>2071370</wp:posOffset>
            </wp:positionH>
            <wp:positionV relativeFrom="paragraph">
              <wp:posOffset>0</wp:posOffset>
            </wp:positionV>
            <wp:extent cx="1908000" cy="1620000"/>
            <wp:effectExtent l="0" t="0" r="0" b="0"/>
            <wp:wrapSquare wrapText="bothSides"/>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r w:rsidRPr="00DF3006">
        <w:rPr>
          <w:noProof/>
          <w:color w:val="414042" w:themeColor="text1"/>
        </w:rPr>
        <w:drawing>
          <wp:anchor distT="0" distB="0" distL="114300" distR="114300" simplePos="0" relativeHeight="252336128" behindDoc="0" locked="0" layoutInCell="1" allowOverlap="1" wp14:anchorId="478CB22A" wp14:editId="578FE63C">
            <wp:simplePos x="0" y="0"/>
            <wp:positionH relativeFrom="column">
              <wp:posOffset>3589020</wp:posOffset>
            </wp:positionH>
            <wp:positionV relativeFrom="paragraph">
              <wp:posOffset>0</wp:posOffset>
            </wp:positionV>
            <wp:extent cx="1908000" cy="1620000"/>
            <wp:effectExtent l="0" t="0" r="0" b="0"/>
            <wp:wrapSquare wrapText="bothSides"/>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margin">
              <wp14:pctWidth>0</wp14:pctWidth>
            </wp14:sizeRelH>
            <wp14:sizeRelV relativeFrom="margin">
              <wp14:pctHeight>0</wp14:pctHeight>
            </wp14:sizeRelV>
          </wp:anchor>
        </w:drawing>
      </w:r>
      <w:r w:rsidRPr="00DF3006">
        <w:rPr>
          <w:noProof/>
          <w:color w:val="414042" w:themeColor="text1"/>
        </w:rPr>
        <w:drawing>
          <wp:anchor distT="0" distB="0" distL="107950" distR="107950" simplePos="0" relativeHeight="252334080" behindDoc="0" locked="0" layoutInCell="1" allowOverlap="1" wp14:anchorId="2405BC83" wp14:editId="41E0F21D">
            <wp:simplePos x="0" y="0"/>
            <wp:positionH relativeFrom="column">
              <wp:posOffset>457835</wp:posOffset>
            </wp:positionH>
            <wp:positionV relativeFrom="paragraph">
              <wp:posOffset>8255</wp:posOffset>
            </wp:positionV>
            <wp:extent cx="1908000" cy="1620000"/>
            <wp:effectExtent l="0" t="0" r="0" b="0"/>
            <wp:wrapSquare wrapText="bothSides"/>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margin">
              <wp14:pctWidth>0</wp14:pctWidth>
            </wp14:sizeRelH>
            <wp14:sizeRelV relativeFrom="margin">
              <wp14:pctHeight>0</wp14:pctHeight>
            </wp14:sizeRelV>
          </wp:anchor>
        </w:drawing>
      </w:r>
      <w:r w:rsidRPr="00DF3006">
        <w:rPr>
          <w:rFonts w:cs="Calibri"/>
          <w:noProof/>
          <w:color w:val="414042" w:themeColor="text1"/>
          <w:spacing w:val="-5"/>
          <w:sz w:val="16"/>
          <w:szCs w:val="16"/>
          <w:lang w:val="en-US"/>
        </w:rPr>
        <w:drawing>
          <wp:inline distT="0" distB="0" distL="0" distR="0" wp14:anchorId="31A64E51" wp14:editId="23F5598D">
            <wp:extent cx="6243637" cy="1495425"/>
            <wp:effectExtent l="0" t="0" r="0" b="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714F9B81" w14:textId="77777777" w:rsidR="00775BC5" w:rsidRPr="00DF3006" w:rsidRDefault="00775BC5" w:rsidP="00E6066A">
      <w:pPr>
        <w:pStyle w:val="Heading3"/>
      </w:pPr>
      <w:r w:rsidRPr="00DF3006">
        <w:lastRenderedPageBreak/>
        <w:t>Action on Ice update</w:t>
      </w:r>
    </w:p>
    <w:p w14:paraId="160D8978" w14:textId="77777777" w:rsidR="00775BC5" w:rsidRPr="00DF3006" w:rsidRDefault="00775BC5" w:rsidP="00775BC5">
      <w:pPr>
        <w:ind w:right="-145"/>
        <w:rPr>
          <w:color w:val="414042" w:themeColor="text1"/>
          <w:highlight w:val="yellow"/>
        </w:rPr>
        <w:sectPr w:rsidR="00775BC5" w:rsidRPr="00DF3006" w:rsidSect="00C77834">
          <w:headerReference w:type="even" r:id="rId170"/>
          <w:headerReference w:type="default" r:id="rId171"/>
          <w:headerReference w:type="first" r:id="rId172"/>
          <w:pgSz w:w="11906" w:h="16838" w:code="9"/>
          <w:pgMar w:top="2155" w:right="1134" w:bottom="964" w:left="1134" w:header="720" w:footer="284" w:gutter="0"/>
          <w:cols w:space="567"/>
          <w:noEndnote/>
          <w:docGrid w:linePitch="272"/>
        </w:sectPr>
      </w:pPr>
    </w:p>
    <w:p w14:paraId="205F7FC3" w14:textId="77777777" w:rsidR="00775BC5" w:rsidRPr="00DF3006" w:rsidRDefault="00775BC5" w:rsidP="00775BC5">
      <w:pPr>
        <w:rPr>
          <w:color w:val="414042" w:themeColor="text1"/>
        </w:rPr>
      </w:pPr>
      <w:r w:rsidRPr="00DF3006">
        <w:rPr>
          <w:color w:val="414042" w:themeColor="text1"/>
        </w:rPr>
        <w:t xml:space="preserve">The Queensland Government’s five-year </w:t>
      </w:r>
      <w:r w:rsidRPr="00DF3006">
        <w:rPr>
          <w:i/>
          <w:color w:val="414042" w:themeColor="text1"/>
          <w:spacing w:val="2"/>
        </w:rPr>
        <w:t>Action on Ice</w:t>
      </w:r>
      <w:r w:rsidRPr="00DF3006">
        <w:rPr>
          <w:color w:val="414042" w:themeColor="text1"/>
        </w:rPr>
        <w:t xml:space="preserve"> plan commenced in 2018 to address the harms caused </w:t>
      </w:r>
      <w:r w:rsidRPr="00DF3006">
        <w:rPr>
          <w:color w:val="414042" w:themeColor="text1"/>
        </w:rPr>
        <w:br/>
        <w:t xml:space="preserve">by ice (methylamphetamine) by breaking the cycle of drug use and building upon existing efforts across government agencies. The key activities address every aspect of the path to addiction, with a focus on </w:t>
      </w:r>
      <w:r w:rsidRPr="00DF3006">
        <w:rPr>
          <w:color w:val="414042" w:themeColor="text1"/>
        </w:rPr>
        <w:br/>
        <w:t>reducing supply and demand for methylamphetamine, and minimising harm.</w:t>
      </w:r>
    </w:p>
    <w:p w14:paraId="0AB5140A" w14:textId="77777777" w:rsidR="00775BC5" w:rsidRPr="00DF3006" w:rsidRDefault="00775BC5" w:rsidP="00775BC5">
      <w:pPr>
        <w:rPr>
          <w:color w:val="414042" w:themeColor="text1"/>
        </w:rPr>
      </w:pPr>
      <w:r w:rsidRPr="00DF3006">
        <w:rPr>
          <w:color w:val="414042" w:themeColor="text1"/>
        </w:rPr>
        <w:t xml:space="preserve">We are committed to the Government’s plan to address and minimise the harmful impact of methylamphetamine upon Queensland communities. We support the Queensland Government’s </w:t>
      </w:r>
      <w:r w:rsidRPr="00DF3006">
        <w:rPr>
          <w:i/>
          <w:color w:val="414042" w:themeColor="text1"/>
          <w:spacing w:val="2"/>
        </w:rPr>
        <w:t>Action on Ice</w:t>
      </w:r>
      <w:r w:rsidRPr="00DF3006">
        <w:rPr>
          <w:color w:val="414042" w:themeColor="text1"/>
        </w:rPr>
        <w:t xml:space="preserve"> initiatives by prioritising investigations into high threat criminal networks that are trafficking methylamphetamine into Queensland.</w:t>
      </w:r>
    </w:p>
    <w:p w14:paraId="5FCE7FF3" w14:textId="77777777" w:rsidR="00775BC5" w:rsidRPr="00DF3006" w:rsidRDefault="00775BC5" w:rsidP="00775BC5">
      <w:pPr>
        <w:rPr>
          <w:color w:val="414042" w:themeColor="text1"/>
        </w:rPr>
      </w:pPr>
      <w:r w:rsidRPr="00DF3006">
        <w:rPr>
          <w:color w:val="414042" w:themeColor="text1"/>
        </w:rPr>
        <w:t>In 2022–23, we removed the financial benefit from trafficking in methylamphetamine by restraining</w:t>
      </w:r>
      <w:r w:rsidRPr="00DF3006">
        <w:rPr>
          <w:color w:val="414042" w:themeColor="text1"/>
        </w:rPr>
        <w:br/>
      </w:r>
      <w:r w:rsidRPr="00DF3006">
        <w:rPr>
          <w:color w:val="414042" w:themeColor="text1"/>
        </w:rPr>
        <w:t xml:space="preserve">$1.717 million worth of assets derived from, or associated with, methylamphetamine-related criminal activity, and obtained the court-ordered forfeiture of $3.447 million worth of assets derived from or associated with methylamphetamine-related criminal activity (see </w:t>
      </w:r>
      <w:r w:rsidRPr="00DF3006">
        <w:rPr>
          <w:b/>
          <w:bCs/>
          <w:color w:val="414042" w:themeColor="text1"/>
        </w:rPr>
        <w:t>Figure 19</w:t>
      </w:r>
      <w:r w:rsidRPr="00DF3006">
        <w:rPr>
          <w:color w:val="414042" w:themeColor="text1"/>
        </w:rPr>
        <w:t xml:space="preserve"> for breakdown).</w:t>
      </w:r>
    </w:p>
    <w:p w14:paraId="100F6F96" w14:textId="42597A89" w:rsidR="00775BC5" w:rsidRPr="00DF3006" w:rsidRDefault="00775BC5" w:rsidP="00775BC5">
      <w:pPr>
        <w:rPr>
          <w:color w:val="414042" w:themeColor="text1"/>
        </w:rPr>
      </w:pPr>
      <w:r w:rsidRPr="00DF3006">
        <w:rPr>
          <w:color w:val="414042" w:themeColor="text1"/>
        </w:rPr>
        <w:t>We also worked with the QPS to progress investigations into methylamphetamine trafficking by examining two witnesses over five hearing days.</w:t>
      </w:r>
    </w:p>
    <w:p w14:paraId="1732635F" w14:textId="77777777" w:rsidR="00775BC5" w:rsidRPr="00DF3006" w:rsidRDefault="00775BC5" w:rsidP="00775BC5">
      <w:pPr>
        <w:rPr>
          <w:color w:val="414042" w:themeColor="text1"/>
          <w:szCs w:val="20"/>
        </w:rPr>
      </w:pPr>
      <w:r w:rsidRPr="00DF3006">
        <w:rPr>
          <w:color w:val="414042" w:themeColor="text1"/>
        </w:rPr>
        <w:t>A defendant pleaded guilty and was sentenced to 15 years imprisonment for possessing 10 kg of crystal methylamphetamine, with an estimated wholesale value of $2 million. The drug was being trafficked f</w:t>
      </w:r>
      <w:r w:rsidRPr="00DF3006">
        <w:rPr>
          <w:color w:val="414042" w:themeColor="text1"/>
          <w:szCs w:val="20"/>
        </w:rPr>
        <w:t xml:space="preserve">rom Sydney to Brisbane as part of a syndicate operating in South-East Queensland, and </w:t>
      </w:r>
      <w:r w:rsidRPr="00DF3006">
        <w:rPr>
          <w:color w:val="414042" w:themeColor="text1"/>
        </w:rPr>
        <w:t>the conviction represents a significant disruption to the syndicate’s commercial supply chain</w:t>
      </w:r>
      <w:r w:rsidRPr="00DF3006">
        <w:rPr>
          <w:color w:val="414042" w:themeColor="text1"/>
          <w:szCs w:val="20"/>
        </w:rPr>
        <w:t>.</w:t>
      </w:r>
    </w:p>
    <w:p w14:paraId="3B388CF5" w14:textId="2F6E12E0" w:rsidR="00B43636" w:rsidRPr="00DF3006" w:rsidRDefault="00B43636" w:rsidP="00775BC5">
      <w:pPr>
        <w:rPr>
          <w:color w:val="414042" w:themeColor="text1"/>
          <w:szCs w:val="20"/>
        </w:rPr>
        <w:sectPr w:rsidR="00B43636" w:rsidRPr="00DF3006" w:rsidSect="00C77834">
          <w:type w:val="continuous"/>
          <w:pgSz w:w="11906" w:h="16838" w:code="9"/>
          <w:pgMar w:top="2155" w:right="1134" w:bottom="964" w:left="1134" w:header="720" w:footer="284" w:gutter="0"/>
          <w:cols w:num="2" w:space="566"/>
          <w:noEndnote/>
          <w:docGrid w:linePitch="272"/>
        </w:sectPr>
      </w:pPr>
    </w:p>
    <w:p w14:paraId="1D5FE476" w14:textId="4AA19226" w:rsidR="002A1326" w:rsidRPr="00DF3006" w:rsidRDefault="002A1326" w:rsidP="002A1326">
      <w:pPr>
        <w:rPr>
          <w:color w:val="414042" w:themeColor="text1"/>
        </w:rPr>
      </w:pPr>
    </w:p>
    <w:p w14:paraId="33708E60" w14:textId="0012D929" w:rsidR="00B43636" w:rsidRPr="00DF3006" w:rsidRDefault="00B43636" w:rsidP="002A1326">
      <w:pPr>
        <w:rPr>
          <w:color w:val="414042" w:themeColor="text1"/>
        </w:rPr>
      </w:pPr>
    </w:p>
    <w:p w14:paraId="6E21BD07" w14:textId="77777777" w:rsidR="00B43636" w:rsidRPr="00DF3006" w:rsidRDefault="00B43636" w:rsidP="002A1326">
      <w:pPr>
        <w:rPr>
          <w:color w:val="414042" w:themeColor="text1"/>
        </w:rPr>
      </w:pPr>
    </w:p>
    <w:p w14:paraId="03846714" w14:textId="1754702B" w:rsidR="00775BC5" w:rsidRPr="00DF3006" w:rsidRDefault="00775BC5" w:rsidP="00463FBB">
      <w:pPr>
        <w:pStyle w:val="Heading4b"/>
      </w:pPr>
      <w:r w:rsidRPr="00DF3006">
        <w:t>Figure 19: Methylamphetamine-related matters as a proportion of total proceeds of crime matters assessed, restraining orders and forfeiture orders issued in 2022–23</w:t>
      </w:r>
      <w:r w:rsidRPr="00DF3006">
        <w:drawing>
          <wp:anchor distT="0" distB="0" distL="114300" distR="114300" simplePos="0" relativeHeight="252338176" behindDoc="0" locked="0" layoutInCell="1" allowOverlap="1" wp14:anchorId="6AF1392D" wp14:editId="6F75CF59">
            <wp:simplePos x="0" y="0"/>
            <wp:positionH relativeFrom="margin">
              <wp:posOffset>-211147</wp:posOffset>
            </wp:positionH>
            <wp:positionV relativeFrom="paragraph">
              <wp:posOffset>283246</wp:posOffset>
            </wp:positionV>
            <wp:extent cx="2095500" cy="1695450"/>
            <wp:effectExtent l="0" t="0" r="0" b="0"/>
            <wp:wrapNone/>
            <wp:docPr id="3" name="Chart 3">
              <a:extLst xmlns:a="http://schemas.openxmlformats.org/drawingml/2006/main">
                <a:ext uri="{FF2B5EF4-FFF2-40B4-BE49-F238E27FC236}">
                  <a16:creationId xmlns:a16="http://schemas.microsoft.com/office/drawing/2014/main" id="{59A16EDD-9BE9-4889-9286-B83E3B66B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p>
    <w:p w14:paraId="0973161A" w14:textId="77777777" w:rsidR="00775BC5" w:rsidRPr="00DF3006" w:rsidRDefault="00775BC5" w:rsidP="00775BC5">
      <w:pPr>
        <w:rPr>
          <w:noProof/>
          <w:color w:val="414042" w:themeColor="text1"/>
        </w:rPr>
      </w:pPr>
      <w:r w:rsidRPr="00DF3006">
        <w:rPr>
          <w:noProof/>
          <w:color w:val="414042" w:themeColor="text1"/>
        </w:rPr>
        <w:drawing>
          <wp:inline distT="0" distB="0" distL="0" distR="0" wp14:anchorId="71ACC00B" wp14:editId="2D22DA67">
            <wp:extent cx="1800000" cy="162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DF3006">
        <w:rPr>
          <w:noProof/>
          <w:color w:val="414042" w:themeColor="text1"/>
        </w:rPr>
        <w:t xml:space="preserve"> </w:t>
      </w:r>
      <w:r w:rsidRPr="00DF3006">
        <w:rPr>
          <w:noProof/>
          <w:color w:val="414042" w:themeColor="text1"/>
        </w:rPr>
        <w:drawing>
          <wp:inline distT="0" distB="0" distL="0" distR="0" wp14:anchorId="249339B1" wp14:editId="0482E89F">
            <wp:extent cx="1800000" cy="162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Pr="00DF3006">
        <w:rPr>
          <w:noProof/>
          <w:color w:val="414042" w:themeColor="text1"/>
        </w:rPr>
        <w:t xml:space="preserve"> </w:t>
      </w:r>
      <w:r w:rsidRPr="00DF3006">
        <w:rPr>
          <w:noProof/>
          <w:color w:val="414042" w:themeColor="text1"/>
        </w:rPr>
        <w:drawing>
          <wp:inline distT="0" distB="0" distL="0" distR="0" wp14:anchorId="3AFD34EC" wp14:editId="77A7EE79">
            <wp:extent cx="1800000" cy="162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1F23A0E4" w14:textId="77777777" w:rsidR="00775BC5" w:rsidRPr="00DF3006" w:rsidRDefault="00775BC5" w:rsidP="00775BC5">
      <w:pPr>
        <w:rPr>
          <w:color w:val="414042" w:themeColor="text1"/>
        </w:rPr>
        <w:sectPr w:rsidR="00775BC5" w:rsidRPr="00DF3006" w:rsidSect="00C77834">
          <w:type w:val="continuous"/>
          <w:pgSz w:w="11906" w:h="16838" w:code="9"/>
          <w:pgMar w:top="2155" w:right="1134" w:bottom="964" w:left="1134" w:header="720" w:footer="284" w:gutter="0"/>
          <w:cols w:space="567"/>
          <w:noEndnote/>
          <w:docGrid w:linePitch="272"/>
        </w:sectPr>
      </w:pPr>
      <w:r w:rsidRPr="00DF3006">
        <w:rPr>
          <w:noProof/>
          <w:color w:val="414042" w:themeColor="text1"/>
        </w:rPr>
        <w:drawing>
          <wp:inline distT="0" distB="0" distL="0" distR="0" wp14:anchorId="2EDA9565" wp14:editId="290950C3">
            <wp:extent cx="5486400" cy="20548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C7611F0" w14:textId="77777777" w:rsidR="000A32C4" w:rsidRPr="00DF3006" w:rsidRDefault="000A32C4" w:rsidP="00E6066A">
      <w:pPr>
        <w:pStyle w:val="Heading3"/>
      </w:pPr>
      <w:r w:rsidRPr="00DF3006">
        <w:lastRenderedPageBreak/>
        <w:t>Strategic and research projects</w:t>
      </w:r>
    </w:p>
    <w:p w14:paraId="589B2656" w14:textId="5F8A761F" w:rsidR="000A32C4" w:rsidRPr="00DF3006" w:rsidRDefault="000A32C4" w:rsidP="000A32C4">
      <w:pPr>
        <w:rPr>
          <w:rFonts w:ascii="Calibri" w:hAnsi="Calibri" w:cs="Calibri"/>
          <w:b/>
          <w:bCs/>
          <w:color w:val="414042" w:themeColor="text1"/>
          <w:szCs w:val="20"/>
        </w:rPr>
      </w:pPr>
      <w:bookmarkStart w:id="1191" w:name="_Hlk74046124"/>
      <w:r w:rsidRPr="00DF3006">
        <w:rPr>
          <w:rFonts w:ascii="Calibri" w:hAnsi="Calibri" w:cs="Calibri"/>
          <w:b/>
          <w:bCs/>
          <w:color w:val="414042" w:themeColor="text1"/>
          <w:szCs w:val="20"/>
        </w:rPr>
        <w:t>Enhancing our cryptocurrency investigation capability</w:t>
      </w:r>
    </w:p>
    <w:bookmarkEnd w:id="1191"/>
    <w:p w14:paraId="2438F75A" w14:textId="77777777" w:rsidR="00FC242A" w:rsidRPr="00DF3006" w:rsidRDefault="00FC242A" w:rsidP="00FC242A">
      <w:pPr>
        <w:rPr>
          <w:color w:val="414042" w:themeColor="text1"/>
        </w:rPr>
      </w:pPr>
      <w:r w:rsidRPr="00DF3006">
        <w:rPr>
          <w:color w:val="414042" w:themeColor="text1"/>
        </w:rPr>
        <w:t>In March 2021, we commenced a project to uplift our cryptocurrency capability with a focus on the infrastructure, resources and policies and procedures to support the training, administrative and operational environments for investigations involving cryptocurrency transactions.</w:t>
      </w:r>
    </w:p>
    <w:p w14:paraId="3875FE21" w14:textId="77777777" w:rsidR="00FC242A" w:rsidRPr="00DF3006" w:rsidRDefault="00FC242A" w:rsidP="00FC242A">
      <w:pPr>
        <w:rPr>
          <w:color w:val="414042" w:themeColor="text1"/>
        </w:rPr>
      </w:pPr>
      <w:r w:rsidRPr="00DF3006">
        <w:rPr>
          <w:color w:val="414042" w:themeColor="text1"/>
        </w:rPr>
        <w:t xml:space="preserve">As cryptocurrencies operate globally and largely outside regulated financial markets and systems with a high level of anonymity, they </w:t>
      </w:r>
      <w:proofErr w:type="gramStart"/>
      <w:r w:rsidRPr="00DF3006">
        <w:rPr>
          <w:color w:val="414042" w:themeColor="text1"/>
        </w:rPr>
        <w:t>are able to</w:t>
      </w:r>
      <w:proofErr w:type="gramEnd"/>
      <w:r w:rsidRPr="00DF3006">
        <w:rPr>
          <w:color w:val="414042" w:themeColor="text1"/>
        </w:rPr>
        <w:t xml:space="preserve"> be exploited by criminal groups as a means of:</w:t>
      </w:r>
    </w:p>
    <w:p w14:paraId="21A307F0" w14:textId="77777777" w:rsidR="00FC242A" w:rsidRPr="00DF3006" w:rsidRDefault="00FC242A">
      <w:pPr>
        <w:pStyle w:val="Bullets"/>
        <w:rPr>
          <w:color w:val="414042" w:themeColor="text1"/>
        </w:rPr>
      </w:pPr>
      <w:r w:rsidRPr="00DF3006">
        <w:rPr>
          <w:color w:val="414042" w:themeColor="text1"/>
        </w:rPr>
        <w:t>securely making payments for illicit goods and services</w:t>
      </w:r>
    </w:p>
    <w:p w14:paraId="067454C3" w14:textId="77777777" w:rsidR="00FC242A" w:rsidRPr="00DF3006" w:rsidRDefault="00FC242A">
      <w:pPr>
        <w:pStyle w:val="Bullets"/>
        <w:rPr>
          <w:color w:val="414042" w:themeColor="text1"/>
        </w:rPr>
      </w:pPr>
      <w:r w:rsidRPr="00DF3006">
        <w:rPr>
          <w:color w:val="414042" w:themeColor="text1"/>
        </w:rPr>
        <w:t>raising revenue to finance criminal activity, and</w:t>
      </w:r>
    </w:p>
    <w:p w14:paraId="37E476C3" w14:textId="77777777" w:rsidR="00FC242A" w:rsidRPr="00DF3006" w:rsidRDefault="00FC242A">
      <w:pPr>
        <w:pStyle w:val="Bullets"/>
        <w:rPr>
          <w:color w:val="414042" w:themeColor="text1"/>
        </w:rPr>
      </w:pPr>
      <w:r w:rsidRPr="00DF3006">
        <w:rPr>
          <w:color w:val="414042" w:themeColor="text1"/>
        </w:rPr>
        <w:t>laundering criminal proceeds through complex networks of exchanges, brokers, and online services.</w:t>
      </w:r>
    </w:p>
    <w:p w14:paraId="52ACD9FA" w14:textId="1809546B" w:rsidR="00FC242A" w:rsidRPr="00DF3006" w:rsidRDefault="00FC242A" w:rsidP="00FC242A">
      <w:pPr>
        <w:rPr>
          <w:color w:val="414042" w:themeColor="text1"/>
          <w:spacing w:val="-4"/>
          <w:highlight w:val="yellow"/>
        </w:rPr>
      </w:pPr>
      <w:r w:rsidRPr="00DF3006">
        <w:rPr>
          <w:color w:val="414042" w:themeColor="text1"/>
        </w:rPr>
        <w:t>In May 2022, we established a training environment, and created a capability framework to guide future activities for crypto capability development.</w:t>
      </w:r>
    </w:p>
    <w:p w14:paraId="46DA7492" w14:textId="77777777" w:rsidR="00FC242A" w:rsidRPr="00DF3006" w:rsidRDefault="00FC242A" w:rsidP="00FC242A">
      <w:pPr>
        <w:rPr>
          <w:color w:val="414042" w:themeColor="text1"/>
        </w:rPr>
      </w:pPr>
      <w:r w:rsidRPr="00DF3006">
        <w:rPr>
          <w:color w:val="414042" w:themeColor="text1"/>
          <w:spacing w:val="-4"/>
        </w:rPr>
        <w:t xml:space="preserve">In 2022–23, we progressed the next stages of the project, focusing on </w:t>
      </w:r>
      <w:r w:rsidRPr="00DF3006">
        <w:rPr>
          <w:color w:val="414042" w:themeColor="text1"/>
        </w:rPr>
        <w:t xml:space="preserve">our </w:t>
      </w:r>
      <w:r w:rsidRPr="00DF3006">
        <w:rPr>
          <w:rFonts w:cs="Calibri"/>
          <w:bCs/>
          <w:color w:val="414042" w:themeColor="text1"/>
          <w:szCs w:val="20"/>
        </w:rPr>
        <w:t xml:space="preserve">operational </w:t>
      </w:r>
      <w:r w:rsidRPr="00DF3006">
        <w:rPr>
          <w:color w:val="414042" w:themeColor="text1"/>
        </w:rPr>
        <w:t>and administrative environments. Foundational cryptocurrency training was also delivered to key</w:t>
      </w:r>
      <w:r w:rsidRPr="00DF3006">
        <w:rPr>
          <w:rFonts w:cs="Calibri"/>
          <w:bCs/>
          <w:color w:val="414042" w:themeColor="text1"/>
          <w:szCs w:val="20"/>
        </w:rPr>
        <w:t xml:space="preserve"> investigation staff</w:t>
      </w:r>
      <w:r w:rsidRPr="00DF3006">
        <w:rPr>
          <w:color w:val="414042" w:themeColor="text1"/>
        </w:rPr>
        <w:t xml:space="preserve"> to ensure we continue to improve our crypto capability. The project will continue into 2023–24.</w:t>
      </w:r>
    </w:p>
    <w:p w14:paraId="30F00A31" w14:textId="77777777" w:rsidR="00732488" w:rsidRPr="00DF3006" w:rsidRDefault="00FC242A" w:rsidP="00732488">
      <w:pPr>
        <w:rPr>
          <w:color w:val="414042" w:themeColor="text1"/>
        </w:rPr>
      </w:pPr>
      <w:r w:rsidRPr="00DF3006">
        <w:rPr>
          <w:color w:val="414042" w:themeColor="text1"/>
        </w:rPr>
        <w:br w:type="column"/>
      </w:r>
    </w:p>
    <w:p w14:paraId="1E145863" w14:textId="03C3D7D7" w:rsidR="00C503D5" w:rsidRPr="00DF3006" w:rsidRDefault="00C503D5" w:rsidP="008741E9">
      <w:pPr>
        <w:rPr>
          <w:rFonts w:ascii="Calibri" w:hAnsi="Calibri" w:cs="Calibri"/>
          <w:b/>
          <w:bCs/>
          <w:color w:val="414042" w:themeColor="text1"/>
          <w:szCs w:val="20"/>
        </w:rPr>
      </w:pPr>
      <w:r w:rsidRPr="00DF3006">
        <w:rPr>
          <w:rFonts w:ascii="Calibri" w:hAnsi="Calibri" w:cs="Calibri"/>
          <w:b/>
          <w:bCs/>
          <w:color w:val="414042" w:themeColor="text1"/>
          <w:szCs w:val="20"/>
        </w:rPr>
        <w:t xml:space="preserve">Legislative reform – Strengthening the effectiveness of Queensland’s confiscation </w:t>
      </w:r>
      <w:proofErr w:type="gramStart"/>
      <w:r w:rsidRPr="00DF3006">
        <w:rPr>
          <w:rFonts w:ascii="Calibri" w:hAnsi="Calibri" w:cs="Calibri"/>
          <w:b/>
          <w:bCs/>
          <w:color w:val="414042" w:themeColor="text1"/>
          <w:szCs w:val="20"/>
        </w:rPr>
        <w:t>schemes</w:t>
      </w:r>
      <w:proofErr w:type="gramEnd"/>
    </w:p>
    <w:p w14:paraId="2FACF190" w14:textId="5864621A" w:rsidR="00FC242A" w:rsidRPr="00DF3006" w:rsidRDefault="00FC242A" w:rsidP="00FC242A">
      <w:pPr>
        <w:rPr>
          <w:color w:val="414042" w:themeColor="text1"/>
        </w:rPr>
      </w:pPr>
      <w:r w:rsidRPr="00DF3006">
        <w:rPr>
          <w:color w:val="414042" w:themeColor="text1"/>
        </w:rPr>
        <w:t>To strengthen the regulatory environment for proceeds of crime action, we continued to pursue policy and legislative change, including:</w:t>
      </w:r>
    </w:p>
    <w:p w14:paraId="18BBE5F3" w14:textId="77777777" w:rsidR="00FC242A" w:rsidRPr="00DF3006" w:rsidRDefault="00FC242A">
      <w:pPr>
        <w:pStyle w:val="Bullets"/>
        <w:rPr>
          <w:color w:val="414042" w:themeColor="text1"/>
        </w:rPr>
      </w:pPr>
      <w:r w:rsidRPr="00DF3006">
        <w:rPr>
          <w:color w:val="414042" w:themeColor="text1"/>
        </w:rPr>
        <w:t>to modernise Queensland’s money laundering offence</w:t>
      </w:r>
    </w:p>
    <w:p w14:paraId="7B715D70" w14:textId="77777777" w:rsidR="00FC242A" w:rsidRPr="00DF3006" w:rsidRDefault="00FC242A">
      <w:pPr>
        <w:pStyle w:val="Bullets"/>
        <w:rPr>
          <w:color w:val="414042" w:themeColor="text1"/>
        </w:rPr>
      </w:pPr>
      <w:r w:rsidRPr="00DF3006">
        <w:rPr>
          <w:color w:val="414042" w:themeColor="text1"/>
        </w:rPr>
        <w:t>improving avenues for national cooperation on unexplained wealth, and</w:t>
      </w:r>
    </w:p>
    <w:p w14:paraId="471A7A70" w14:textId="77777777" w:rsidR="00FC242A" w:rsidRPr="00DF3006" w:rsidRDefault="00FC242A">
      <w:pPr>
        <w:pStyle w:val="Bullets"/>
        <w:rPr>
          <w:color w:val="414042" w:themeColor="text1"/>
        </w:rPr>
      </w:pPr>
      <w:r w:rsidRPr="00DF3006">
        <w:rPr>
          <w:color w:val="414042" w:themeColor="text1"/>
        </w:rPr>
        <w:t>strengthening the administration of the scheme.</w:t>
      </w:r>
    </w:p>
    <w:p w14:paraId="5DD7F221" w14:textId="11CDC0C2" w:rsidR="00FC242A" w:rsidRPr="00DF3006" w:rsidRDefault="00FC242A" w:rsidP="00FC242A">
      <w:pPr>
        <w:rPr>
          <w:color w:val="414042" w:themeColor="text1"/>
        </w:rPr>
      </w:pPr>
      <w:r w:rsidRPr="00DF3006">
        <w:rPr>
          <w:color w:val="414042" w:themeColor="text1"/>
        </w:rPr>
        <w:t>In 2023–24</w:t>
      </w:r>
      <w:r w:rsidR="001C75A2" w:rsidRPr="00DF3006">
        <w:rPr>
          <w:color w:val="414042" w:themeColor="text1"/>
        </w:rPr>
        <w:t>,</w:t>
      </w:r>
      <w:r w:rsidRPr="00DF3006">
        <w:rPr>
          <w:color w:val="414042" w:themeColor="text1"/>
        </w:rPr>
        <w:t xml:space="preserve"> we will </w:t>
      </w:r>
      <w:r w:rsidR="00A6208D" w:rsidRPr="00DF3006">
        <w:rPr>
          <w:color w:val="414042" w:themeColor="text1"/>
        </w:rPr>
        <w:t xml:space="preserve">undertake </w:t>
      </w:r>
      <w:r w:rsidRPr="00DF3006">
        <w:rPr>
          <w:color w:val="414042" w:themeColor="text1"/>
        </w:rPr>
        <w:t xml:space="preserve">a legislative review of the </w:t>
      </w:r>
      <w:r w:rsidRPr="00DF3006">
        <w:rPr>
          <w:i/>
          <w:iCs/>
          <w:color w:val="414042" w:themeColor="text1"/>
        </w:rPr>
        <w:t>Criminal Proceeds Confiscation Act 2002</w:t>
      </w:r>
      <w:r w:rsidRPr="00DF3006">
        <w:rPr>
          <w:color w:val="414042" w:themeColor="text1"/>
        </w:rPr>
        <w:t>. This initiative is in response to the most pressing legislative gaps inhibiting our success and ability to remove the financial benefit of criminal activity and recover the proceeds of those crimes back to the State.</w:t>
      </w:r>
    </w:p>
    <w:p w14:paraId="44DEA459" w14:textId="77777777" w:rsidR="000A32C4" w:rsidRPr="00DF3006" w:rsidRDefault="000A32C4" w:rsidP="000A32C4">
      <w:pPr>
        <w:rPr>
          <w:color w:val="414042" w:themeColor="text1"/>
        </w:rPr>
      </w:pPr>
    </w:p>
    <w:p w14:paraId="2C53CFA3" w14:textId="77777777" w:rsidR="000A32C4" w:rsidRPr="00DF3006" w:rsidRDefault="000A32C4" w:rsidP="000A32C4">
      <w:pPr>
        <w:rPr>
          <w:rStyle w:val="Heading4Char"/>
          <w:b w:val="0"/>
        </w:rPr>
        <w:sectPr w:rsidR="000A32C4" w:rsidRPr="00DF3006" w:rsidSect="00C77834">
          <w:headerReference w:type="even" r:id="rId178"/>
          <w:headerReference w:type="default" r:id="rId179"/>
          <w:footerReference w:type="even" r:id="rId180"/>
          <w:headerReference w:type="first" r:id="rId181"/>
          <w:pgSz w:w="11906" w:h="16838" w:code="9"/>
          <w:pgMar w:top="2155" w:right="1134" w:bottom="964" w:left="1134" w:header="720" w:footer="284" w:gutter="0"/>
          <w:cols w:num="2" w:space="567"/>
          <w:noEndnote/>
          <w:docGrid w:linePitch="272"/>
        </w:sectPr>
      </w:pPr>
    </w:p>
    <w:p w14:paraId="265169DF" w14:textId="618270C8" w:rsidR="000A32C4" w:rsidRPr="00DF3006" w:rsidRDefault="00732488" w:rsidP="000A32C4">
      <w:pPr>
        <w:pStyle w:val="Heading2"/>
        <w:spacing w:after="480" w:line="204" w:lineRule="auto"/>
      </w:pPr>
      <w:bookmarkStart w:id="1192" w:name="_Toc102037934"/>
      <w:bookmarkStart w:id="1193" w:name="_Toc102038295"/>
      <w:bookmarkStart w:id="1194" w:name="_Toc102038656"/>
      <w:bookmarkStart w:id="1195" w:name="_Toc102039008"/>
      <w:bookmarkStart w:id="1196" w:name="_Toc102039357"/>
      <w:bookmarkStart w:id="1197" w:name="_Toc102039719"/>
      <w:bookmarkStart w:id="1198" w:name="_Toc102040076"/>
      <w:bookmarkStart w:id="1199" w:name="_Toc102040404"/>
      <w:bookmarkStart w:id="1200" w:name="_Toc102040738"/>
      <w:bookmarkStart w:id="1201" w:name="_Toc102041066"/>
      <w:bookmarkStart w:id="1202" w:name="_Toc102041395"/>
      <w:bookmarkStart w:id="1203" w:name="_Toc102041727"/>
      <w:bookmarkStart w:id="1204" w:name="_Toc102042054"/>
      <w:bookmarkStart w:id="1205" w:name="_Toc102042384"/>
      <w:bookmarkStart w:id="1206" w:name="_Toc102045514"/>
      <w:r w:rsidRPr="00DF3006">
        <w:rPr>
          <w:rFonts w:asciiTheme="minorHAnsi" w:hAnsiTheme="minorHAnsi" w:cstheme="minorHAnsi"/>
          <w:b/>
          <w:bCs/>
        </w:rPr>
        <w:lastRenderedPageBreak/>
        <w:t xml:space="preserve">FOCUS AREA </w:t>
      </w:r>
      <w:r w:rsidR="00DF3006">
        <w:t>|</w:t>
      </w:r>
      <w:r w:rsidR="00DF3006" w:rsidRPr="00DF3006">
        <w:t xml:space="preserve"> </w:t>
      </w:r>
      <w:r w:rsidR="000A32C4" w:rsidRPr="00DF3006">
        <w:t>Crimes i</w:t>
      </w:r>
      <w:bookmarkStart w:id="1207" w:name="lossoflife"/>
      <w:bookmarkEnd w:id="1207"/>
      <w:r w:rsidR="000A32C4" w:rsidRPr="00DF3006">
        <w:t xml:space="preserve">nvolving risk to, or actual loss of life or serious injury to a </w:t>
      </w:r>
      <w:proofErr w:type="gramStart"/>
      <w:r w:rsidR="000A32C4" w:rsidRPr="00DF3006">
        <w:t>person</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roofErr w:type="gramEnd"/>
    </w:p>
    <w:p w14:paraId="1C5758B2" w14:textId="72F8037E" w:rsidR="000A32C4" w:rsidRPr="00DF3006" w:rsidRDefault="000A32C4" w:rsidP="000008EC">
      <w:pPr>
        <w:pStyle w:val="Openingparagraph"/>
        <w:rPr>
          <w:lang w:val="en-AU"/>
        </w:rPr>
        <w:sectPr w:rsidR="000A32C4" w:rsidRPr="00DF3006" w:rsidSect="00C77834">
          <w:headerReference w:type="even" r:id="rId182"/>
          <w:headerReference w:type="default" r:id="rId183"/>
          <w:headerReference w:type="first" r:id="rId184"/>
          <w:pgSz w:w="11906" w:h="16838" w:code="9"/>
          <w:pgMar w:top="2155" w:right="1134" w:bottom="964" w:left="1134" w:header="720" w:footer="284" w:gutter="0"/>
          <w:cols w:space="567"/>
          <w:noEndnote/>
          <w:docGrid w:linePitch="272"/>
        </w:sectPr>
      </w:pPr>
      <w:bookmarkStart w:id="1208" w:name="_Hlk108618630"/>
      <w:r w:rsidRPr="00DF3006">
        <w:t>The</w:t>
      </w:r>
      <w:r w:rsidRPr="00DF3006">
        <w:rPr>
          <w:lang w:val="en-AU"/>
        </w:rPr>
        <w:t xml:space="preserve"> </w:t>
      </w:r>
      <w:r w:rsidRPr="00DF3006">
        <w:t>unlawful</w:t>
      </w:r>
      <w:r w:rsidRPr="00DF3006">
        <w:rPr>
          <w:lang w:val="en-AU"/>
        </w:rPr>
        <w:t xml:space="preserve"> killing of another is the most serious offence in Queensland, attracting a maximum sentence of </w:t>
      </w:r>
      <w:r w:rsidR="006F3054" w:rsidRPr="00DF3006">
        <w:rPr>
          <w:lang w:val="en-AU"/>
        </w:rPr>
        <w:t xml:space="preserve">life </w:t>
      </w:r>
      <w:r w:rsidRPr="00DF3006">
        <w:rPr>
          <w:lang w:val="en-AU"/>
        </w:rPr>
        <w:t xml:space="preserve">imprisonment, which is mandatory in the case of murder. Offences causing death, or serious and permanent injury or disability, cause enormous grief and are detrimental to the wellbeing and sense of safety of the community. </w:t>
      </w:r>
    </w:p>
    <w:p w14:paraId="14578F36" w14:textId="77777777" w:rsidR="006F3054" w:rsidRPr="00DF3006" w:rsidRDefault="006F3054" w:rsidP="006F3054">
      <w:pPr>
        <w:rPr>
          <w:color w:val="414042" w:themeColor="text1"/>
          <w:spacing w:val="-2"/>
        </w:rPr>
      </w:pPr>
      <w:bookmarkStart w:id="1209" w:name="_Hlk73713044"/>
      <w:bookmarkStart w:id="1210" w:name="_Hlk74046638"/>
      <w:bookmarkEnd w:id="1208"/>
      <w:r w:rsidRPr="00DF3006">
        <w:rPr>
          <w:color w:val="414042" w:themeColor="text1"/>
          <w:spacing w:val="-2"/>
        </w:rPr>
        <w:t>Offences of this kind are often premeditated or highly planned and may involve multiple motivated suspects. They may also involve domestic violence or have links to organised crime.</w:t>
      </w:r>
    </w:p>
    <w:p w14:paraId="5096C310" w14:textId="0A0CD99C" w:rsidR="00F15831" w:rsidRPr="00DF3006" w:rsidRDefault="00F15831" w:rsidP="00F15831">
      <w:pPr>
        <w:rPr>
          <w:color w:val="414042" w:themeColor="text1"/>
        </w:rPr>
      </w:pPr>
      <w:r w:rsidRPr="00DF3006">
        <w:rPr>
          <w:color w:val="414042" w:themeColor="text1"/>
        </w:rPr>
        <w:t xml:space="preserve">The QPS may seek our assistance to help solve serious violent crimes, and we are able respond to these requests in the early stages of a police investigation if the use of our </w:t>
      </w:r>
      <w:r w:rsidR="00A005CF" w:rsidRPr="00DF3006">
        <w:rPr>
          <w:color w:val="414042" w:themeColor="text1"/>
          <w:spacing w:val="-2"/>
        </w:rPr>
        <w:t xml:space="preserve">coercive hearing powers </w:t>
      </w:r>
      <w:r w:rsidRPr="00DF3006">
        <w:rPr>
          <w:color w:val="414042" w:themeColor="text1"/>
        </w:rPr>
        <w:t>would result in a more effective investigation.</w:t>
      </w:r>
    </w:p>
    <w:p w14:paraId="42C617C7" w14:textId="77777777" w:rsidR="00F15831" w:rsidRPr="00DF3006" w:rsidRDefault="00F15831" w:rsidP="00E6066A">
      <w:pPr>
        <w:pStyle w:val="Heading3"/>
        <w:rPr>
          <w:highlight w:val="yellow"/>
        </w:rPr>
      </w:pPr>
      <w:bookmarkStart w:id="1211" w:name="_Toc102037935"/>
      <w:bookmarkStart w:id="1212" w:name="_Toc102038296"/>
      <w:bookmarkStart w:id="1213" w:name="_Toc102038657"/>
      <w:bookmarkStart w:id="1214" w:name="_Toc102039009"/>
      <w:bookmarkStart w:id="1215" w:name="_Toc102039358"/>
      <w:bookmarkStart w:id="1216" w:name="_Toc102039720"/>
      <w:bookmarkStart w:id="1217" w:name="_Toc102040077"/>
      <w:bookmarkStart w:id="1218" w:name="_Toc102040405"/>
      <w:bookmarkStart w:id="1219" w:name="_Toc102040739"/>
      <w:bookmarkStart w:id="1220" w:name="_Toc102041067"/>
      <w:bookmarkStart w:id="1221" w:name="_Toc102041396"/>
      <w:bookmarkStart w:id="1222" w:name="_Toc102041728"/>
      <w:bookmarkStart w:id="1223" w:name="_Toc102042055"/>
      <w:bookmarkStart w:id="1224" w:name="_Toc102042385"/>
      <w:bookmarkStart w:id="1225" w:name="_Toc102045515"/>
      <w:bookmarkEnd w:id="1209"/>
      <w:r w:rsidRPr="00DF3006">
        <w:t>Investigating crime</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448AF466" w14:textId="77777777" w:rsidR="00F15831" w:rsidRPr="00DF3006" w:rsidRDefault="00F15831" w:rsidP="00F15831">
      <w:pPr>
        <w:rPr>
          <w:color w:val="414042" w:themeColor="text1"/>
        </w:rPr>
      </w:pPr>
      <w:r w:rsidRPr="00DF3006">
        <w:rPr>
          <w:color w:val="414042" w:themeColor="text1"/>
        </w:rPr>
        <w:t>During 2022–23, we supported several QPS operations involving homicides and other serious violent crimes by progressing four crime investigations and finalising 18 investigations. We held 61 days of hearings and examined 58 witnesses. Some investigative outcomes are summarised below.</w:t>
      </w:r>
    </w:p>
    <w:p w14:paraId="21CED55B" w14:textId="77777777" w:rsidR="00F15831" w:rsidRPr="00DF3006" w:rsidRDefault="00F15831" w:rsidP="00F15831">
      <w:pPr>
        <w:rPr>
          <w:rFonts w:ascii="Calibri" w:hAnsi="Calibri" w:cs="Calibri"/>
          <w:b/>
          <w:bCs/>
          <w:color w:val="414042" w:themeColor="text1"/>
          <w:szCs w:val="20"/>
        </w:rPr>
      </w:pPr>
      <w:r w:rsidRPr="00DF3006">
        <w:rPr>
          <w:rFonts w:ascii="Calibri" w:hAnsi="Calibri" w:cs="Calibri"/>
          <w:b/>
          <w:bCs/>
          <w:color w:val="414042" w:themeColor="text1"/>
          <w:szCs w:val="20"/>
        </w:rPr>
        <w:t>Homicide</w:t>
      </w:r>
      <w:r w:rsidRPr="00DF3006">
        <w:rPr>
          <w:rFonts w:ascii="Calibri" w:hAnsi="Calibri"/>
          <w:b/>
          <w:color w:val="414042" w:themeColor="text1"/>
        </w:rPr>
        <w:t xml:space="preserve"> of a </w:t>
      </w:r>
      <w:r w:rsidRPr="00DF3006">
        <w:rPr>
          <w:rFonts w:ascii="Calibri" w:hAnsi="Calibri" w:cs="Calibri"/>
          <w:b/>
          <w:bCs/>
          <w:color w:val="414042" w:themeColor="text1"/>
          <w:szCs w:val="20"/>
        </w:rPr>
        <w:t>32</w:t>
      </w:r>
      <w:r w:rsidRPr="00DF3006">
        <w:rPr>
          <w:rFonts w:ascii="Calibri" w:hAnsi="Calibri"/>
          <w:b/>
          <w:color w:val="414042" w:themeColor="text1"/>
        </w:rPr>
        <w:t xml:space="preserve">-year-old man </w:t>
      </w:r>
      <w:r w:rsidRPr="00DF3006">
        <w:rPr>
          <w:rFonts w:ascii="Calibri" w:hAnsi="Calibri" w:cs="Calibri"/>
          <w:b/>
          <w:bCs/>
          <w:color w:val="414042" w:themeColor="text1"/>
          <w:szCs w:val="20"/>
        </w:rPr>
        <w:t>on 26 January 2009</w:t>
      </w:r>
    </w:p>
    <w:p w14:paraId="16DBD7E8" w14:textId="586AB87D" w:rsidR="00F15831" w:rsidRPr="00DF3006" w:rsidRDefault="00F15831" w:rsidP="00F15831">
      <w:pPr>
        <w:rPr>
          <w:color w:val="414042" w:themeColor="text1"/>
        </w:rPr>
      </w:pPr>
      <w:proofErr w:type="gramStart"/>
      <w:r w:rsidRPr="00DF3006">
        <w:rPr>
          <w:color w:val="414042" w:themeColor="text1"/>
        </w:rPr>
        <w:t>A number of</w:t>
      </w:r>
      <w:proofErr w:type="gramEnd"/>
      <w:r w:rsidRPr="00DF3006">
        <w:rPr>
          <w:color w:val="414042" w:themeColor="text1"/>
        </w:rPr>
        <w:t xml:space="preserve"> hearings have been held at the Crime and Misconduct Commission (CMC) and CCC since 2009 in relation to homicide of a 32-year-old man on 26 January 2009 at Burleigh Heads.</w:t>
      </w:r>
    </w:p>
    <w:p w14:paraId="0F7A765B" w14:textId="77777777" w:rsidR="00A005CF" w:rsidRPr="00DF3006" w:rsidRDefault="00A005CF" w:rsidP="00A005CF">
      <w:pPr>
        <w:rPr>
          <w:color w:val="414042" w:themeColor="text1"/>
        </w:rPr>
      </w:pPr>
      <w:r w:rsidRPr="00DF3006">
        <w:rPr>
          <w:color w:val="414042" w:themeColor="text1"/>
        </w:rPr>
        <w:t xml:space="preserve">Following the hearing conducted over May, </w:t>
      </w:r>
      <w:proofErr w:type="gramStart"/>
      <w:r w:rsidRPr="00DF3006">
        <w:rPr>
          <w:color w:val="414042" w:themeColor="text1"/>
        </w:rPr>
        <w:t>June</w:t>
      </w:r>
      <w:proofErr w:type="gramEnd"/>
      <w:r w:rsidRPr="00DF3006">
        <w:rPr>
          <w:color w:val="414042" w:themeColor="text1"/>
        </w:rPr>
        <w:t xml:space="preserve"> and August 2022, and in combination with other investigative strategies, critical evidence was obtained which led to four people being charged in relation to the murder. </w:t>
      </w:r>
    </w:p>
    <w:p w14:paraId="31E17D35" w14:textId="77777777" w:rsidR="00F15831" w:rsidRPr="00DF3006" w:rsidRDefault="00F15831" w:rsidP="00F15831">
      <w:pPr>
        <w:rPr>
          <w:rFonts w:ascii="Calibri" w:hAnsi="Calibri" w:cs="Calibri"/>
          <w:b/>
          <w:bCs/>
          <w:color w:val="414042" w:themeColor="text1"/>
          <w:szCs w:val="20"/>
        </w:rPr>
      </w:pPr>
      <w:r w:rsidRPr="00DF3006">
        <w:rPr>
          <w:rFonts w:ascii="Calibri" w:hAnsi="Calibri" w:cs="Calibri"/>
          <w:b/>
          <w:bCs/>
          <w:color w:val="414042" w:themeColor="text1"/>
          <w:szCs w:val="20"/>
        </w:rPr>
        <w:t>Suspected murder of a 25-year-old male near Toowoomba on 15 March 2022</w:t>
      </w:r>
    </w:p>
    <w:p w14:paraId="328D30DF" w14:textId="77777777" w:rsidR="00F15831" w:rsidRPr="00DF3006" w:rsidRDefault="00F15831" w:rsidP="00F15831">
      <w:pPr>
        <w:autoSpaceDE w:val="0"/>
        <w:autoSpaceDN w:val="0"/>
        <w:adjustRightInd w:val="0"/>
        <w:rPr>
          <w:color w:val="414042" w:themeColor="text1"/>
        </w:rPr>
      </w:pPr>
      <w:r w:rsidRPr="00DF3006">
        <w:rPr>
          <w:color w:val="414042" w:themeColor="text1"/>
        </w:rPr>
        <w:t>Six witnesses were examined in Brisbane over five days between July and September 2022 about the suspected murder of a 25-year-old male near Toowoomba on 15 March 2022.</w:t>
      </w:r>
    </w:p>
    <w:p w14:paraId="6D98B3F3" w14:textId="62553ADA" w:rsidR="00F15831" w:rsidRPr="00DF3006" w:rsidRDefault="00DE7049" w:rsidP="00F15831">
      <w:pPr>
        <w:autoSpaceDE w:val="0"/>
        <w:autoSpaceDN w:val="0"/>
        <w:adjustRightInd w:val="0"/>
        <w:rPr>
          <w:color w:val="414042" w:themeColor="text1"/>
        </w:rPr>
      </w:pPr>
      <w:r w:rsidRPr="00DF3006">
        <w:rPr>
          <w:color w:val="414042" w:themeColor="text1"/>
        </w:rPr>
        <w:br w:type="column"/>
      </w:r>
      <w:r w:rsidR="00F15831" w:rsidRPr="00DF3006">
        <w:rPr>
          <w:color w:val="414042" w:themeColor="text1"/>
        </w:rPr>
        <w:t>The hearing yielded evidence about the location and subsequent recovery of the murder weapon, and evidence of the involvement of several other persons with accessorial liability.</w:t>
      </w:r>
    </w:p>
    <w:p w14:paraId="163C626C" w14:textId="77777777" w:rsidR="00F15831" w:rsidRPr="00DF3006" w:rsidRDefault="00F15831" w:rsidP="00F15831">
      <w:pPr>
        <w:autoSpaceDE w:val="0"/>
        <w:autoSpaceDN w:val="0"/>
        <w:adjustRightInd w:val="0"/>
        <w:rPr>
          <w:rFonts w:ascii="Calibri" w:hAnsi="Calibri"/>
          <w:b/>
          <w:color w:val="414042" w:themeColor="text1"/>
        </w:rPr>
      </w:pPr>
      <w:r w:rsidRPr="00DF3006">
        <w:rPr>
          <w:rFonts w:ascii="Calibri" w:hAnsi="Calibri" w:cs="Calibri"/>
          <w:b/>
          <w:bCs/>
          <w:color w:val="414042" w:themeColor="text1"/>
          <w:szCs w:val="20"/>
        </w:rPr>
        <w:t>Homicides of 47</w:t>
      </w:r>
      <w:r w:rsidRPr="00DF3006">
        <w:rPr>
          <w:rFonts w:ascii="Calibri" w:hAnsi="Calibri"/>
          <w:b/>
          <w:color w:val="414042" w:themeColor="text1"/>
        </w:rPr>
        <w:t xml:space="preserve">-year-old female </w:t>
      </w:r>
      <w:r w:rsidRPr="00DF3006">
        <w:rPr>
          <w:rFonts w:ascii="Calibri" w:hAnsi="Calibri" w:cs="Calibri"/>
          <w:b/>
          <w:bCs/>
          <w:color w:val="414042" w:themeColor="text1"/>
          <w:szCs w:val="20"/>
        </w:rPr>
        <w:t>and a 20-year-old male in Stretton on 8</w:t>
      </w:r>
      <w:r w:rsidRPr="00DF3006">
        <w:rPr>
          <w:rFonts w:ascii="Calibri" w:hAnsi="Calibri"/>
          <w:b/>
          <w:color w:val="414042" w:themeColor="text1"/>
        </w:rPr>
        <w:t xml:space="preserve"> August </w:t>
      </w:r>
      <w:r w:rsidRPr="00DF3006">
        <w:rPr>
          <w:rFonts w:ascii="Calibri" w:hAnsi="Calibri" w:cs="Calibri"/>
          <w:b/>
          <w:bCs/>
          <w:color w:val="414042" w:themeColor="text1"/>
          <w:szCs w:val="20"/>
        </w:rPr>
        <w:t>2022</w:t>
      </w:r>
    </w:p>
    <w:p w14:paraId="25988780" w14:textId="77777777" w:rsidR="00F15831" w:rsidRPr="00DF3006" w:rsidRDefault="00F15831" w:rsidP="00F15831">
      <w:pPr>
        <w:autoSpaceDE w:val="0"/>
        <w:autoSpaceDN w:val="0"/>
        <w:adjustRightInd w:val="0"/>
        <w:rPr>
          <w:color w:val="414042" w:themeColor="text1"/>
        </w:rPr>
      </w:pPr>
      <w:r w:rsidRPr="00DF3006">
        <w:rPr>
          <w:color w:val="414042" w:themeColor="text1"/>
        </w:rPr>
        <w:t>Hearings were held over two days in October 2022 and January 2023 into the homicides of a 47-year-old female and a 20-year-old male.</w:t>
      </w:r>
    </w:p>
    <w:p w14:paraId="6793112A" w14:textId="788BA5C2" w:rsidR="00F15831" w:rsidRPr="00DF3006" w:rsidRDefault="00F15831" w:rsidP="00F15831">
      <w:pPr>
        <w:autoSpaceDE w:val="0"/>
        <w:autoSpaceDN w:val="0"/>
        <w:adjustRightInd w:val="0"/>
        <w:rPr>
          <w:color w:val="414042" w:themeColor="text1"/>
        </w:rPr>
      </w:pPr>
      <w:r w:rsidRPr="00DF3006">
        <w:rPr>
          <w:color w:val="414042" w:themeColor="text1"/>
        </w:rPr>
        <w:t>The hearing resulted in further information being obtained about the suspect at the time of the homicides, as well as information about another witness’s involvement, which led to the charges being dropped against the witness.</w:t>
      </w:r>
    </w:p>
    <w:p w14:paraId="10066608" w14:textId="77777777" w:rsidR="00F15831" w:rsidRPr="00DF3006" w:rsidRDefault="00F15831" w:rsidP="00F15831">
      <w:pPr>
        <w:autoSpaceDE w:val="0"/>
        <w:autoSpaceDN w:val="0"/>
        <w:adjustRightInd w:val="0"/>
        <w:rPr>
          <w:rFonts w:ascii="Calibri" w:hAnsi="Calibri" w:cs="Calibri"/>
          <w:b/>
          <w:bCs/>
          <w:color w:val="414042" w:themeColor="text1"/>
          <w:szCs w:val="20"/>
        </w:rPr>
      </w:pPr>
      <w:r w:rsidRPr="00DF3006">
        <w:rPr>
          <w:rFonts w:ascii="Calibri" w:hAnsi="Calibri" w:cs="Calibri"/>
          <w:b/>
          <w:bCs/>
          <w:color w:val="414042" w:themeColor="text1"/>
          <w:szCs w:val="20"/>
        </w:rPr>
        <w:t>Multiple homicides at Bogie on 4 August 2022</w:t>
      </w:r>
    </w:p>
    <w:p w14:paraId="6084F85A" w14:textId="77777777" w:rsidR="00F15831" w:rsidRPr="00DF3006" w:rsidRDefault="00F15831" w:rsidP="00F15831">
      <w:pPr>
        <w:rPr>
          <w:color w:val="414042" w:themeColor="text1"/>
        </w:rPr>
      </w:pPr>
      <w:r w:rsidRPr="00DF3006">
        <w:rPr>
          <w:color w:val="414042" w:themeColor="text1"/>
        </w:rPr>
        <w:t>In November 2022, examinations were held into the multiple homicides of 71- and 35-year-old males, a 59-year-old female, and the non-fatal shooting of a 30-year-old male.</w:t>
      </w:r>
    </w:p>
    <w:p w14:paraId="57ECC919" w14:textId="77777777" w:rsidR="00C404D9" w:rsidRPr="00DF3006" w:rsidRDefault="00F15831" w:rsidP="00F15831">
      <w:pPr>
        <w:rPr>
          <w:color w:val="414042" w:themeColor="text1"/>
        </w:rPr>
      </w:pPr>
      <w:r w:rsidRPr="00DF3006">
        <w:rPr>
          <w:color w:val="414042" w:themeColor="text1"/>
        </w:rPr>
        <w:t>The hearing enabled versions of previously uncooperative witnesses to be obtained and to clarify events relevant to the investigation. The hearing also assisted in confirming the movements of two witnesses at the crime scene on the day of the offence as well as confirming the movements of the defendant. This provided crucial information to police in understanding the timeline of events surrounding the homicides.</w:t>
      </w:r>
    </w:p>
    <w:p w14:paraId="68387E6B" w14:textId="7AE90188" w:rsidR="00F15831" w:rsidRPr="00DF3006" w:rsidRDefault="00F15831" w:rsidP="00F15831">
      <w:pPr>
        <w:rPr>
          <w:color w:val="414042" w:themeColor="text1"/>
          <w:highlight w:val="red"/>
        </w:rPr>
      </w:pPr>
      <w:r w:rsidRPr="00DF3006">
        <w:rPr>
          <w:color w:val="414042" w:themeColor="text1"/>
          <w:highlight w:val="red"/>
        </w:rPr>
        <w:br w:type="page"/>
      </w:r>
    </w:p>
    <w:p w14:paraId="5A56B406" w14:textId="77777777" w:rsidR="00F15831" w:rsidRPr="00DF3006" w:rsidRDefault="00F15831" w:rsidP="00F15831">
      <w:pPr>
        <w:rPr>
          <w:rFonts w:ascii="Calibri" w:hAnsi="Calibri" w:cs="Calibri"/>
          <w:b/>
          <w:bCs/>
          <w:color w:val="414042" w:themeColor="text1"/>
          <w:szCs w:val="20"/>
        </w:rPr>
      </w:pPr>
      <w:r w:rsidRPr="00DF3006">
        <w:rPr>
          <w:rFonts w:ascii="Calibri" w:hAnsi="Calibri" w:cs="Calibri"/>
          <w:b/>
          <w:bCs/>
          <w:color w:val="414042" w:themeColor="text1"/>
          <w:szCs w:val="20"/>
        </w:rPr>
        <w:lastRenderedPageBreak/>
        <w:t>Cold case investigation into the homicide of a male at Logan Reserve on 1 November 2012</w:t>
      </w:r>
    </w:p>
    <w:p w14:paraId="4B452C43" w14:textId="785CAFC6" w:rsidR="00F15831" w:rsidRPr="00DF3006" w:rsidRDefault="00F15831" w:rsidP="00F15831">
      <w:pPr>
        <w:rPr>
          <w:color w:val="414042" w:themeColor="text1"/>
        </w:rPr>
      </w:pPr>
      <w:r w:rsidRPr="00DF3006">
        <w:rPr>
          <w:color w:val="414042" w:themeColor="text1"/>
        </w:rPr>
        <w:t xml:space="preserve">The CCC held a fourth hearing in March 2023 into the homicide of a male at Logan Reserve on 1 November 2012. Hearings in relation to this matter </w:t>
      </w:r>
      <w:r w:rsidR="001B34CD" w:rsidRPr="00DF3006">
        <w:rPr>
          <w:color w:val="414042" w:themeColor="text1"/>
        </w:rPr>
        <w:t>were</w:t>
      </w:r>
      <w:r w:rsidRPr="00DF3006">
        <w:rPr>
          <w:color w:val="414042" w:themeColor="text1"/>
        </w:rPr>
        <w:t xml:space="preserve"> previously held in </w:t>
      </w:r>
      <w:r w:rsidR="001B34CD" w:rsidRPr="00DF3006">
        <w:rPr>
          <w:color w:val="414042" w:themeColor="text1"/>
        </w:rPr>
        <w:t xml:space="preserve">February </w:t>
      </w:r>
      <w:r w:rsidRPr="00DF3006">
        <w:rPr>
          <w:color w:val="414042" w:themeColor="text1"/>
        </w:rPr>
        <w:t>2013</w:t>
      </w:r>
      <w:r w:rsidR="001B34CD" w:rsidRPr="00DF3006">
        <w:rPr>
          <w:color w:val="414042" w:themeColor="text1"/>
        </w:rPr>
        <w:t xml:space="preserve"> to December 20</w:t>
      </w:r>
      <w:r w:rsidRPr="00DF3006">
        <w:rPr>
          <w:color w:val="414042" w:themeColor="text1"/>
        </w:rPr>
        <w:t xml:space="preserve">14, </w:t>
      </w:r>
      <w:r w:rsidR="001B34CD" w:rsidRPr="00DF3006">
        <w:rPr>
          <w:color w:val="414042" w:themeColor="text1"/>
        </w:rPr>
        <w:t xml:space="preserve">August </w:t>
      </w:r>
      <w:proofErr w:type="gramStart"/>
      <w:r w:rsidRPr="00DF3006">
        <w:rPr>
          <w:color w:val="414042" w:themeColor="text1"/>
        </w:rPr>
        <w:t>2016</w:t>
      </w:r>
      <w:proofErr w:type="gramEnd"/>
      <w:r w:rsidRPr="00DF3006">
        <w:rPr>
          <w:color w:val="414042" w:themeColor="text1"/>
        </w:rPr>
        <w:t xml:space="preserve"> and </w:t>
      </w:r>
      <w:r w:rsidR="001B34CD" w:rsidRPr="00DF3006">
        <w:rPr>
          <w:color w:val="414042" w:themeColor="text1"/>
        </w:rPr>
        <w:t xml:space="preserve">November </w:t>
      </w:r>
      <w:r w:rsidRPr="00DF3006">
        <w:rPr>
          <w:color w:val="414042" w:themeColor="text1"/>
        </w:rPr>
        <w:t>2020.</w:t>
      </w:r>
    </w:p>
    <w:p w14:paraId="37BFD743" w14:textId="0E04932D" w:rsidR="00F15831" w:rsidRPr="00DF3006" w:rsidRDefault="00F15831" w:rsidP="00F15831">
      <w:pPr>
        <w:rPr>
          <w:color w:val="414042" w:themeColor="text1"/>
        </w:rPr>
      </w:pPr>
      <w:r w:rsidRPr="00DF3006">
        <w:rPr>
          <w:color w:val="414042" w:themeColor="text1"/>
        </w:rPr>
        <w:t xml:space="preserve">The hearing resulted in a substantial number of new inquiries in relation to the QPS investigation, including the identification of other potential witnesses, confirmed timelines and other lines of enquiries. </w:t>
      </w:r>
    </w:p>
    <w:p w14:paraId="55B205C6" w14:textId="77777777" w:rsidR="00F15831" w:rsidRPr="00DF3006" w:rsidRDefault="00F15831" w:rsidP="00F15831">
      <w:pPr>
        <w:autoSpaceDE w:val="0"/>
        <w:autoSpaceDN w:val="0"/>
        <w:adjustRightInd w:val="0"/>
        <w:rPr>
          <w:color w:val="414042" w:themeColor="text1"/>
        </w:rPr>
      </w:pPr>
      <w:r w:rsidRPr="00DF3006">
        <w:rPr>
          <w:rFonts w:ascii="Calibri" w:hAnsi="Calibri" w:cs="Calibri"/>
          <w:b/>
          <w:bCs/>
          <w:color w:val="414042" w:themeColor="text1"/>
          <w:szCs w:val="20"/>
        </w:rPr>
        <w:t>Homicide of a 19-year-old female at Bundamba on 5 February 2023</w:t>
      </w:r>
    </w:p>
    <w:p w14:paraId="29944E01" w14:textId="77777777" w:rsidR="00F15831" w:rsidRPr="00DF3006" w:rsidRDefault="00F15831" w:rsidP="00F15831">
      <w:pPr>
        <w:autoSpaceDE w:val="0"/>
        <w:autoSpaceDN w:val="0"/>
        <w:adjustRightInd w:val="0"/>
        <w:rPr>
          <w:color w:val="414042" w:themeColor="text1"/>
        </w:rPr>
      </w:pPr>
      <w:r w:rsidRPr="00DF3006">
        <w:rPr>
          <w:color w:val="414042" w:themeColor="text1"/>
        </w:rPr>
        <w:t xml:space="preserve">A witness was examined in March 2023 into the homicide of a 19-year-old female, believed to have been caused </w:t>
      </w:r>
      <w:proofErr w:type="gramStart"/>
      <w:r w:rsidRPr="00DF3006">
        <w:rPr>
          <w:color w:val="414042" w:themeColor="text1"/>
        </w:rPr>
        <w:t>as a result of</w:t>
      </w:r>
      <w:proofErr w:type="gramEnd"/>
      <w:r w:rsidRPr="00DF3006">
        <w:rPr>
          <w:color w:val="414042" w:themeColor="text1"/>
        </w:rPr>
        <w:t xml:space="preserve"> injuries sustained on 4 February 2023.</w:t>
      </w:r>
    </w:p>
    <w:p w14:paraId="3981445F" w14:textId="7AB70058" w:rsidR="00F15831" w:rsidRPr="00DF3006" w:rsidRDefault="00F15831" w:rsidP="00F15831">
      <w:pPr>
        <w:autoSpaceDE w:val="0"/>
        <w:autoSpaceDN w:val="0"/>
        <w:adjustRightInd w:val="0"/>
        <w:rPr>
          <w:color w:val="414042" w:themeColor="text1"/>
        </w:rPr>
      </w:pPr>
      <w:r w:rsidRPr="00DF3006">
        <w:rPr>
          <w:color w:val="414042" w:themeColor="text1"/>
        </w:rPr>
        <w:t xml:space="preserve">The information obtained </w:t>
      </w:r>
      <w:proofErr w:type="gramStart"/>
      <w:r w:rsidRPr="00DF3006">
        <w:rPr>
          <w:color w:val="414042" w:themeColor="text1"/>
        </w:rPr>
        <w:t>as a result of</w:t>
      </w:r>
      <w:proofErr w:type="gramEnd"/>
      <w:r w:rsidRPr="00DF3006">
        <w:rPr>
          <w:color w:val="414042" w:themeColor="text1"/>
        </w:rPr>
        <w:t xml:space="preserve"> the hearing assisted in exhausting lines of inquiry for the police investigation.</w:t>
      </w:r>
    </w:p>
    <w:p w14:paraId="2F28B958" w14:textId="77777777" w:rsidR="00F15831" w:rsidRPr="00DF3006" w:rsidRDefault="00F15831" w:rsidP="00F15831">
      <w:pPr>
        <w:autoSpaceDE w:val="0"/>
        <w:autoSpaceDN w:val="0"/>
        <w:adjustRightInd w:val="0"/>
        <w:rPr>
          <w:rFonts w:ascii="Calibri" w:hAnsi="Calibri" w:cs="Calibri"/>
          <w:b/>
          <w:bCs/>
          <w:color w:val="414042" w:themeColor="text1"/>
          <w:szCs w:val="20"/>
        </w:rPr>
      </w:pPr>
      <w:r w:rsidRPr="00DF3006">
        <w:rPr>
          <w:color w:val="414042" w:themeColor="text1"/>
        </w:rPr>
        <w:br w:type="column"/>
      </w:r>
      <w:r w:rsidRPr="00DF3006">
        <w:rPr>
          <w:rFonts w:ascii="Calibri" w:hAnsi="Calibri" w:cs="Calibri"/>
          <w:b/>
          <w:bCs/>
          <w:color w:val="414042" w:themeColor="text1"/>
          <w:szCs w:val="20"/>
        </w:rPr>
        <w:t>Acts of violence committed by three separate groups</w:t>
      </w:r>
      <w:r w:rsidRPr="00DF3006">
        <w:rPr>
          <w:rFonts w:ascii="Calibri" w:hAnsi="Calibri"/>
          <w:b/>
          <w:color w:val="414042" w:themeColor="text1"/>
        </w:rPr>
        <w:t xml:space="preserve"> over </w:t>
      </w:r>
      <w:r w:rsidRPr="00DF3006">
        <w:rPr>
          <w:rFonts w:ascii="Calibri" w:hAnsi="Calibri" w:cs="Calibri"/>
          <w:b/>
          <w:bCs/>
          <w:color w:val="414042" w:themeColor="text1"/>
          <w:szCs w:val="20"/>
        </w:rPr>
        <w:t xml:space="preserve">the course of </w:t>
      </w:r>
      <w:proofErr w:type="gramStart"/>
      <w:r w:rsidRPr="00DF3006">
        <w:rPr>
          <w:rFonts w:ascii="Calibri" w:hAnsi="Calibri" w:cs="Calibri"/>
          <w:b/>
          <w:bCs/>
          <w:color w:val="414042" w:themeColor="text1"/>
          <w:szCs w:val="20"/>
        </w:rPr>
        <w:t>2022</w:t>
      </w:r>
      <w:proofErr w:type="gramEnd"/>
    </w:p>
    <w:p w14:paraId="485B2DB9" w14:textId="030E260A" w:rsidR="00F15831" w:rsidRPr="00DF3006" w:rsidRDefault="00F15831" w:rsidP="00F15831">
      <w:pPr>
        <w:rPr>
          <w:color w:val="414042" w:themeColor="text1"/>
        </w:rPr>
      </w:pPr>
      <w:bookmarkStart w:id="1226" w:name="_Hlk136523341"/>
      <w:r w:rsidRPr="00DF3006">
        <w:rPr>
          <w:color w:val="414042" w:themeColor="text1"/>
        </w:rPr>
        <w:t>The CCC examin</w:t>
      </w:r>
      <w:r w:rsidR="00C034A2" w:rsidRPr="00DF3006">
        <w:rPr>
          <w:color w:val="414042" w:themeColor="text1"/>
        </w:rPr>
        <w:t>ed</w:t>
      </w:r>
      <w:r w:rsidRPr="00DF3006">
        <w:rPr>
          <w:color w:val="414042" w:themeColor="text1"/>
        </w:rPr>
        <w:t xml:space="preserve"> ten witnesses in Brisbane over 12 days in January and February 2023</w:t>
      </w:r>
      <w:r w:rsidR="00A005CF" w:rsidRPr="00DF3006">
        <w:rPr>
          <w:color w:val="414042" w:themeColor="text1"/>
        </w:rPr>
        <w:t xml:space="preserve">. The scope of the hearing concerned </w:t>
      </w:r>
      <w:r w:rsidRPr="00DF3006">
        <w:rPr>
          <w:color w:val="414042" w:themeColor="text1"/>
        </w:rPr>
        <w:t>five shootings and an arson occurring between April and October 2022. The attempted murders are believed to be committed by three separate rival gangs in which victims and witnesses are generally reluctant to cooperate with police.</w:t>
      </w:r>
    </w:p>
    <w:p w14:paraId="6CF5FA5B" w14:textId="640C9DB8" w:rsidR="00F15831" w:rsidRPr="00DF3006" w:rsidRDefault="00F15831" w:rsidP="00F15831">
      <w:pPr>
        <w:rPr>
          <w:color w:val="414042" w:themeColor="text1"/>
        </w:rPr>
      </w:pPr>
      <w:r w:rsidRPr="00DF3006">
        <w:rPr>
          <w:color w:val="414042" w:themeColor="text1"/>
        </w:rPr>
        <w:t>The CCC hearing assisted the police investigation by enabling the credibility of several witnesses to be assessed.</w:t>
      </w:r>
    </w:p>
    <w:p w14:paraId="33926155" w14:textId="77777777" w:rsidR="00F15831" w:rsidRPr="00DF3006" w:rsidRDefault="00F15831" w:rsidP="00F15831">
      <w:pPr>
        <w:rPr>
          <w:rFonts w:ascii="Calibri" w:hAnsi="Calibri" w:cs="Calibri"/>
          <w:b/>
          <w:bCs/>
          <w:color w:val="414042" w:themeColor="text1"/>
          <w:szCs w:val="20"/>
        </w:rPr>
      </w:pPr>
      <w:r w:rsidRPr="00DF3006">
        <w:rPr>
          <w:rFonts w:ascii="Calibri" w:hAnsi="Calibri" w:cs="Calibri"/>
          <w:b/>
          <w:bCs/>
          <w:color w:val="414042" w:themeColor="text1"/>
          <w:szCs w:val="20"/>
        </w:rPr>
        <w:t>Homicide of a 38-year-old male at Oxley on 4 October 2022</w:t>
      </w:r>
    </w:p>
    <w:p w14:paraId="11ACBF7E" w14:textId="1ADA3843" w:rsidR="00F15831" w:rsidRPr="00DF3006" w:rsidRDefault="00F15831" w:rsidP="00F15831">
      <w:pPr>
        <w:rPr>
          <w:color w:val="414042" w:themeColor="text1"/>
        </w:rPr>
      </w:pPr>
      <w:r w:rsidRPr="00DF3006">
        <w:rPr>
          <w:color w:val="414042" w:themeColor="text1"/>
        </w:rPr>
        <w:t xml:space="preserve">In April and May 2023, several witnesses were examined into the homicide of a 38-year-old male at Oxley on 4 October 2022. The hearing resulted in the identification of the possible storage location of the firearm used to commit the offence resulting in further lines of inquiry for the police investigation. The hearing also </w:t>
      </w:r>
      <w:r w:rsidR="00A005CF" w:rsidRPr="00DF3006">
        <w:rPr>
          <w:color w:val="414042" w:themeColor="text1"/>
        </w:rPr>
        <w:t>exposed</w:t>
      </w:r>
      <w:r w:rsidRPr="00DF3006">
        <w:rPr>
          <w:color w:val="414042" w:themeColor="text1"/>
        </w:rPr>
        <w:t xml:space="preserve"> a possible </w:t>
      </w:r>
      <w:r w:rsidR="00B84D95" w:rsidRPr="00DF3006">
        <w:rPr>
          <w:color w:val="414042" w:themeColor="text1"/>
        </w:rPr>
        <w:t>defence</w:t>
      </w:r>
      <w:r w:rsidRPr="00DF3006">
        <w:rPr>
          <w:color w:val="414042" w:themeColor="text1"/>
        </w:rPr>
        <w:t xml:space="preserve"> for a suspect, and another witness’s credibility was able to be assessed. </w:t>
      </w:r>
    </w:p>
    <w:p w14:paraId="2B3AEE6F" w14:textId="77777777" w:rsidR="00F15831" w:rsidRPr="00DF3006" w:rsidRDefault="00F15831" w:rsidP="00F15831">
      <w:pPr>
        <w:rPr>
          <w:rFonts w:ascii="Calibri" w:hAnsi="Calibri" w:cs="Calibri"/>
          <w:b/>
          <w:bCs/>
          <w:color w:val="414042" w:themeColor="text1"/>
          <w:szCs w:val="20"/>
        </w:rPr>
      </w:pPr>
      <w:r w:rsidRPr="00DF3006">
        <w:rPr>
          <w:rFonts w:ascii="Calibri" w:hAnsi="Calibri" w:cs="Calibri"/>
          <w:b/>
          <w:bCs/>
          <w:color w:val="414042" w:themeColor="text1"/>
          <w:szCs w:val="20"/>
        </w:rPr>
        <w:t>Shooting of at 34-year-old male at Spring Hill on 15 November 2021</w:t>
      </w:r>
    </w:p>
    <w:p w14:paraId="0ED9F1DE" w14:textId="385829EC" w:rsidR="00F15831" w:rsidRPr="00DF3006" w:rsidRDefault="00F15831" w:rsidP="00F15831">
      <w:pPr>
        <w:rPr>
          <w:color w:val="414042" w:themeColor="text1"/>
        </w:rPr>
      </w:pPr>
      <w:r w:rsidRPr="00DF3006">
        <w:rPr>
          <w:color w:val="414042" w:themeColor="text1"/>
        </w:rPr>
        <w:t>Seven witnesses were examined over nine days in July and August 2022 into the non-fatal shooting of a 34-year-old male. The hearing resulted in additional information being obtained to clarify aspects about the circumstances leading up to and following the offence which assisted the police investigation.</w:t>
      </w:r>
    </w:p>
    <w:p w14:paraId="294D1AED" w14:textId="77777777" w:rsidR="00C404D9" w:rsidRPr="00DF3006" w:rsidRDefault="00C404D9" w:rsidP="00F15831">
      <w:pPr>
        <w:rPr>
          <w:color w:val="414042" w:themeColor="text1"/>
        </w:rPr>
      </w:pPr>
    </w:p>
    <w:bookmarkEnd w:id="1210"/>
    <w:bookmarkEnd w:id="1226"/>
    <w:p w14:paraId="2B11FA10" w14:textId="77777777" w:rsidR="000A32C4" w:rsidRPr="00DF3006" w:rsidRDefault="000A32C4" w:rsidP="000A32C4">
      <w:pPr>
        <w:rPr>
          <w:color w:val="414042" w:themeColor="text1"/>
        </w:rPr>
        <w:sectPr w:rsidR="000A32C4" w:rsidRPr="00DF3006" w:rsidSect="00C77834">
          <w:headerReference w:type="even" r:id="rId185"/>
          <w:headerReference w:type="default" r:id="rId186"/>
          <w:headerReference w:type="first" r:id="rId187"/>
          <w:type w:val="continuous"/>
          <w:pgSz w:w="11906" w:h="16838" w:code="9"/>
          <w:pgMar w:top="2155" w:right="1134" w:bottom="964" w:left="1134" w:header="720" w:footer="284" w:gutter="0"/>
          <w:cols w:num="2" w:space="567"/>
          <w:noEndnote/>
          <w:docGrid w:linePitch="272"/>
        </w:sectPr>
      </w:pPr>
    </w:p>
    <w:p w14:paraId="6BB30AFB" w14:textId="1BBD833C" w:rsidR="000A32C4" w:rsidRPr="00DF3006" w:rsidRDefault="00732488" w:rsidP="000A32C4">
      <w:pPr>
        <w:pStyle w:val="Heading2"/>
        <w:spacing w:line="204" w:lineRule="auto"/>
      </w:pPr>
      <w:bookmarkStart w:id="1227" w:name="vulnerablevictims"/>
      <w:bookmarkStart w:id="1228" w:name="_Toc102037943"/>
      <w:bookmarkStart w:id="1229" w:name="_Toc102038304"/>
      <w:bookmarkStart w:id="1230" w:name="_Toc102038665"/>
      <w:bookmarkStart w:id="1231" w:name="_Toc102039017"/>
      <w:bookmarkStart w:id="1232" w:name="_Toc102039366"/>
      <w:bookmarkStart w:id="1233" w:name="_Toc102039728"/>
      <w:bookmarkStart w:id="1234" w:name="_Toc102040085"/>
      <w:bookmarkStart w:id="1235" w:name="_Toc102040413"/>
      <w:bookmarkStart w:id="1236" w:name="_Toc102040747"/>
      <w:bookmarkStart w:id="1237" w:name="_Toc102041075"/>
      <w:bookmarkStart w:id="1238" w:name="_Toc102041404"/>
      <w:bookmarkStart w:id="1239" w:name="_Toc102041736"/>
      <w:bookmarkStart w:id="1240" w:name="_Toc102042063"/>
      <w:bookmarkStart w:id="1241" w:name="_Toc102042393"/>
      <w:bookmarkStart w:id="1242" w:name="_Toc102045523"/>
      <w:bookmarkEnd w:id="1227"/>
      <w:r w:rsidRPr="00DF3006">
        <w:rPr>
          <w:rFonts w:asciiTheme="minorHAnsi" w:hAnsiTheme="minorHAnsi" w:cstheme="minorHAnsi"/>
          <w:b/>
          <w:bCs/>
        </w:rPr>
        <w:lastRenderedPageBreak/>
        <w:t xml:space="preserve">FOCUS AREA </w:t>
      </w:r>
      <w:r w:rsidR="00DF3006" w:rsidRPr="00DF3006">
        <w:rPr>
          <w:rFonts w:asciiTheme="minorHAnsi" w:hAnsiTheme="minorHAnsi" w:cstheme="minorHAnsi"/>
        </w:rPr>
        <w:t>|</w:t>
      </w:r>
      <w:r w:rsidR="00DF3006">
        <w:rPr>
          <w:rFonts w:asciiTheme="minorHAnsi" w:hAnsiTheme="minorHAnsi" w:cstheme="minorHAnsi"/>
        </w:rPr>
        <w:t xml:space="preserve"> </w:t>
      </w:r>
      <w:r w:rsidR="000A32C4" w:rsidRPr="00DF3006">
        <w:t>Crimes against children and vulnerable people</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4EB930D9" w14:textId="77777777" w:rsidR="000A32C4" w:rsidRPr="00DF3006" w:rsidRDefault="000A32C4" w:rsidP="000008EC">
      <w:pPr>
        <w:pStyle w:val="Openingparagraph"/>
        <w:rPr>
          <w:lang w:val="en-AU"/>
        </w:rPr>
      </w:pPr>
      <w:r w:rsidRPr="00DF3006">
        <w:t>We</w:t>
      </w:r>
      <w:r w:rsidRPr="00DF3006">
        <w:rPr>
          <w:lang w:val="en-AU"/>
        </w:rPr>
        <w:t xml:space="preserve"> work in </w:t>
      </w:r>
      <w:r w:rsidRPr="00DF3006">
        <w:t>cooperation</w:t>
      </w:r>
      <w:r w:rsidRPr="00DF3006">
        <w:rPr>
          <w:lang w:val="en-AU"/>
        </w:rPr>
        <w:t xml:space="preserve"> with other agencies to fight the most significant crimes involving physical or sexual abuse of children or other vulnerable people (such as the elderly or mentally or physically impaired persons), including homicide, grievous bodily harm (whether through violence, </w:t>
      </w:r>
      <w:r w:rsidRPr="00DF3006">
        <w:rPr>
          <w:lang w:val="en-AU"/>
        </w:rPr>
        <w:br/>
        <w:t>maltreatment, or neglect), torture and serious or organised sexual exploitation.</w:t>
      </w:r>
    </w:p>
    <w:p w14:paraId="3193E3CD" w14:textId="77777777" w:rsidR="000A32C4" w:rsidRPr="00DF3006" w:rsidRDefault="000A32C4" w:rsidP="000A32C4">
      <w:pPr>
        <w:rPr>
          <w:color w:val="414042" w:themeColor="text1"/>
        </w:rPr>
      </w:pPr>
    </w:p>
    <w:p w14:paraId="119709B1" w14:textId="77777777" w:rsidR="000A32C4" w:rsidRPr="00DF3006" w:rsidRDefault="000A32C4" w:rsidP="000A32C4">
      <w:pPr>
        <w:pStyle w:val="Openingparagraph"/>
        <w:spacing w:after="400"/>
        <w:ind w:right="-143"/>
        <w:sectPr w:rsidR="000A32C4" w:rsidRPr="00DF3006" w:rsidSect="00C77834">
          <w:headerReference w:type="even" r:id="rId188"/>
          <w:headerReference w:type="default" r:id="rId189"/>
          <w:footerReference w:type="even" r:id="rId190"/>
          <w:headerReference w:type="first" r:id="rId191"/>
          <w:pgSz w:w="11906" w:h="16838" w:code="9"/>
          <w:pgMar w:top="2155" w:right="1134" w:bottom="964" w:left="1134" w:header="720" w:footer="284" w:gutter="0"/>
          <w:cols w:space="567"/>
          <w:noEndnote/>
          <w:docGrid w:linePitch="272"/>
        </w:sectPr>
      </w:pPr>
    </w:p>
    <w:p w14:paraId="63C7EA59" w14:textId="77777777" w:rsidR="00F15831" w:rsidRPr="00DF3006" w:rsidRDefault="00F15831" w:rsidP="00F15831">
      <w:pPr>
        <w:rPr>
          <w:color w:val="414042" w:themeColor="text1"/>
        </w:rPr>
      </w:pPr>
      <w:r w:rsidRPr="00DF3006">
        <w:rPr>
          <w:color w:val="414042" w:themeColor="text1"/>
        </w:rPr>
        <w:t>These crimes can be particularly difficult to prevent, detect and solve through conventional methods of enquiry or investigation in an increasingly complex, borderless, and technology-enabled crime environment.</w:t>
      </w:r>
    </w:p>
    <w:p w14:paraId="07764CD9" w14:textId="77777777" w:rsidR="00F15831" w:rsidRPr="00DF3006" w:rsidRDefault="00F15831" w:rsidP="00F15831">
      <w:pPr>
        <w:rPr>
          <w:color w:val="414042" w:themeColor="text1"/>
        </w:rPr>
      </w:pPr>
      <w:r w:rsidRPr="00DF3006">
        <w:rPr>
          <w:color w:val="414042" w:themeColor="text1"/>
        </w:rPr>
        <w:t>Often offending occurs out of sight; physical or forensic evidence is compromised or destroyed; multiple suspects or offenders exist; offenders have authority over, or care for, the victim; and witnesses are unwilling to cooperate with authorities out of fear or due to their relationship with the offender.</w:t>
      </w:r>
    </w:p>
    <w:p w14:paraId="606EE59D" w14:textId="77777777" w:rsidR="00F15831" w:rsidRPr="00DF3006" w:rsidRDefault="00F15831" w:rsidP="00F15831">
      <w:pPr>
        <w:rPr>
          <w:color w:val="414042" w:themeColor="text1"/>
        </w:rPr>
      </w:pPr>
      <w:r w:rsidRPr="00DF3006">
        <w:rPr>
          <w:color w:val="414042" w:themeColor="text1"/>
        </w:rPr>
        <w:t>CCC hearings play a significant role in facilitating the identification of victims, offenders, and witnesses, and obtaining vital information about offenders and their criminal networks and methods.</w:t>
      </w:r>
    </w:p>
    <w:p w14:paraId="196BAE80" w14:textId="77777777" w:rsidR="00F15831" w:rsidRPr="00DF3006" w:rsidRDefault="00F15831" w:rsidP="00F15831">
      <w:pPr>
        <w:ind w:right="-1"/>
        <w:rPr>
          <w:color w:val="414042" w:themeColor="text1"/>
        </w:rPr>
      </w:pPr>
      <w:r w:rsidRPr="00DF3006">
        <w:rPr>
          <w:b/>
          <w:bCs/>
          <w:color w:val="414042" w:themeColor="text1"/>
        </w:rPr>
        <w:br w:type="column"/>
      </w:r>
      <w:r w:rsidRPr="00DF3006">
        <w:rPr>
          <w:rFonts w:asciiTheme="minorHAnsi" w:hAnsiTheme="minorHAnsi"/>
          <w:b/>
          <w:bCs/>
          <w:noProof/>
          <w:color w:val="414042" w:themeColor="text1"/>
          <w:sz w:val="28"/>
          <w:szCs w:val="28"/>
        </w:rPr>
        <w:t>Investigating crime</w:t>
      </w:r>
    </w:p>
    <w:p w14:paraId="53121EA5" w14:textId="77777777" w:rsidR="00F15831" w:rsidRPr="00DF3006" w:rsidRDefault="00F15831" w:rsidP="00F15831">
      <w:pPr>
        <w:rPr>
          <w:color w:val="414042" w:themeColor="text1"/>
        </w:rPr>
      </w:pPr>
      <w:r w:rsidRPr="00DF3006">
        <w:rPr>
          <w:color w:val="414042" w:themeColor="text1"/>
        </w:rPr>
        <w:t>In 2022–23, we continued to assist the QPS in investigating crimes against children and vulnerable people.</w:t>
      </w:r>
    </w:p>
    <w:p w14:paraId="792E77FB" w14:textId="77777777" w:rsidR="00F15831" w:rsidRPr="00DF3006" w:rsidRDefault="00F15831" w:rsidP="00F15831">
      <w:pPr>
        <w:rPr>
          <w:color w:val="414042" w:themeColor="text1"/>
        </w:rPr>
      </w:pPr>
      <w:r w:rsidRPr="00DF3006">
        <w:rPr>
          <w:color w:val="414042" w:themeColor="text1"/>
        </w:rPr>
        <w:t>We commenced four new investigations relating to this area of focus, and finalised six investigations, most of which commenced in the previous financial year.</w:t>
      </w:r>
    </w:p>
    <w:p w14:paraId="06BDC270" w14:textId="77777777" w:rsidR="00F15831" w:rsidRPr="00DF3006" w:rsidRDefault="00F15831" w:rsidP="00F15831">
      <w:pPr>
        <w:rPr>
          <w:color w:val="414042" w:themeColor="text1"/>
        </w:rPr>
      </w:pPr>
      <w:r w:rsidRPr="00DF3006">
        <w:rPr>
          <w:color w:val="414042" w:themeColor="text1"/>
        </w:rPr>
        <w:t>In 2022–23, we held 24 days of hearings and examined 22 witnesses to support and advance investigations into alleged crimes against children and vulnerable people.</w:t>
      </w:r>
    </w:p>
    <w:p w14:paraId="38D8E5AE" w14:textId="77777777" w:rsidR="00F15831" w:rsidRPr="00DF3006" w:rsidRDefault="00F15831" w:rsidP="00F15831">
      <w:pPr>
        <w:rPr>
          <w:color w:val="414042" w:themeColor="text1"/>
        </w:rPr>
      </w:pPr>
      <w:r w:rsidRPr="00DF3006">
        <w:rPr>
          <w:color w:val="414042" w:themeColor="text1"/>
        </w:rPr>
        <w:t>Some investigative outcomes are summarised below.</w:t>
      </w:r>
    </w:p>
    <w:p w14:paraId="73F01761" w14:textId="77777777" w:rsidR="00F15831" w:rsidRPr="00DF3006" w:rsidRDefault="00F15831" w:rsidP="00463FBB">
      <w:pPr>
        <w:pStyle w:val="Heading4"/>
      </w:pPr>
      <w:r w:rsidRPr="00DF3006">
        <w:t>Suspected homicide of 14-year-old child in 2019</w:t>
      </w:r>
    </w:p>
    <w:p w14:paraId="5CBDD5E7" w14:textId="77777777" w:rsidR="00F15831" w:rsidRPr="00DF3006" w:rsidRDefault="00F15831" w:rsidP="00F15831">
      <w:pPr>
        <w:rPr>
          <w:color w:val="414042" w:themeColor="text1"/>
        </w:rPr>
      </w:pPr>
      <w:r w:rsidRPr="00DF3006">
        <w:rPr>
          <w:color w:val="414042" w:themeColor="text1"/>
        </w:rPr>
        <w:t>In February and March 2023, the CCC held a hearing in Brisbane and Townsville in relation to the suspected homicide of a 14-year-old child on or about 18 March 2019.</w:t>
      </w:r>
    </w:p>
    <w:p w14:paraId="79C3EDE2" w14:textId="6E3C14BF" w:rsidR="00F15831" w:rsidRPr="00DF3006" w:rsidRDefault="00F15831" w:rsidP="00F15831">
      <w:pPr>
        <w:rPr>
          <w:color w:val="414042" w:themeColor="text1"/>
          <w:highlight w:val="lightGray"/>
        </w:rPr>
      </w:pPr>
      <w:r w:rsidRPr="00DF3006">
        <w:rPr>
          <w:color w:val="414042" w:themeColor="text1"/>
        </w:rPr>
        <w:t>The hearing resulted in obtaining evidence from witnesses who were reluctant to provide statements to police as well as eliminated potential suspects. The hearing also revealed further avenues for investigation by the QPS.</w:t>
      </w:r>
    </w:p>
    <w:p w14:paraId="6C89F7AD" w14:textId="77777777" w:rsidR="00F15831" w:rsidRPr="00DF3006" w:rsidRDefault="00F15831" w:rsidP="00463FBB">
      <w:pPr>
        <w:pStyle w:val="Heading4"/>
      </w:pPr>
      <w:r w:rsidRPr="00DF3006">
        <w:t xml:space="preserve">Suspected homicide of a six-year-old boy </w:t>
      </w:r>
      <w:proofErr w:type="gramStart"/>
      <w:r w:rsidRPr="00DF3006">
        <w:t>as a result of</w:t>
      </w:r>
      <w:proofErr w:type="gramEnd"/>
      <w:r w:rsidRPr="00DF3006">
        <w:t xml:space="preserve"> a vehicle incident</w:t>
      </w:r>
    </w:p>
    <w:p w14:paraId="03EF9C5D" w14:textId="77777777" w:rsidR="00F15831" w:rsidRPr="00DF3006" w:rsidRDefault="00F15831" w:rsidP="00F15831">
      <w:pPr>
        <w:rPr>
          <w:color w:val="414042" w:themeColor="text1"/>
        </w:rPr>
      </w:pPr>
      <w:r w:rsidRPr="00DF3006">
        <w:rPr>
          <w:color w:val="414042" w:themeColor="text1"/>
        </w:rPr>
        <w:t xml:space="preserve">In August 2022, we held a hearing into the suspected unlawful homicide of a six-year-old boy </w:t>
      </w:r>
      <w:proofErr w:type="gramStart"/>
      <w:r w:rsidRPr="00DF3006">
        <w:rPr>
          <w:color w:val="414042" w:themeColor="text1"/>
        </w:rPr>
        <w:t>as a result of</w:t>
      </w:r>
      <w:proofErr w:type="gramEnd"/>
      <w:r w:rsidRPr="00DF3006">
        <w:rPr>
          <w:color w:val="414042" w:themeColor="text1"/>
        </w:rPr>
        <w:t xml:space="preserve"> a vehicle crash earlier in 2022.</w:t>
      </w:r>
    </w:p>
    <w:p w14:paraId="1A4E60A6" w14:textId="4C52ED9D" w:rsidR="00F15831" w:rsidRPr="00DF3006" w:rsidRDefault="00F15831" w:rsidP="00F15831">
      <w:pPr>
        <w:rPr>
          <w:color w:val="414042" w:themeColor="text1"/>
        </w:rPr>
      </w:pPr>
      <w:r w:rsidRPr="00DF3006">
        <w:rPr>
          <w:color w:val="414042" w:themeColor="text1"/>
        </w:rPr>
        <w:t>The hearing provided some indication as to the validity of previously supplied version</w:t>
      </w:r>
      <w:r w:rsidR="00B84D95" w:rsidRPr="00DF3006">
        <w:rPr>
          <w:color w:val="414042" w:themeColor="text1"/>
        </w:rPr>
        <w:t>s</w:t>
      </w:r>
      <w:r w:rsidRPr="00DF3006">
        <w:rPr>
          <w:color w:val="414042" w:themeColor="text1"/>
        </w:rPr>
        <w:t xml:space="preserve"> of events </w:t>
      </w:r>
      <w:proofErr w:type="gramStart"/>
      <w:r w:rsidRPr="00DF3006">
        <w:rPr>
          <w:color w:val="414042" w:themeColor="text1"/>
        </w:rPr>
        <w:t>and also</w:t>
      </w:r>
      <w:proofErr w:type="gramEnd"/>
      <w:r w:rsidRPr="00DF3006">
        <w:rPr>
          <w:color w:val="414042" w:themeColor="text1"/>
        </w:rPr>
        <w:t xml:space="preserve"> assessed the witness’s credibility.</w:t>
      </w:r>
    </w:p>
    <w:p w14:paraId="12E47F2A" w14:textId="77777777" w:rsidR="00F15831" w:rsidRPr="00DF3006" w:rsidRDefault="000A32C4" w:rsidP="00F15831">
      <w:pPr>
        <w:rPr>
          <w:rFonts w:ascii="Calibri" w:hAnsi="Calibri" w:cs="Calibri"/>
          <w:b/>
          <w:bCs/>
          <w:color w:val="414042" w:themeColor="text1"/>
          <w:szCs w:val="20"/>
          <w:highlight w:val="yellow"/>
        </w:rPr>
      </w:pPr>
      <w:r w:rsidRPr="00DF3006">
        <w:rPr>
          <w:rFonts w:ascii="Calibri" w:hAnsi="Calibri" w:cs="Calibri"/>
          <w:b/>
          <w:bCs/>
          <w:color w:val="414042" w:themeColor="text1"/>
          <w:szCs w:val="20"/>
          <w:highlight w:val="yellow"/>
        </w:rPr>
        <w:br w:type="column"/>
      </w:r>
      <w:r w:rsidR="00F15831" w:rsidRPr="00DF3006">
        <w:rPr>
          <w:rFonts w:ascii="Calibri" w:hAnsi="Calibri" w:cs="Calibri"/>
          <w:b/>
          <w:bCs/>
          <w:color w:val="414042" w:themeColor="text1"/>
          <w:szCs w:val="20"/>
        </w:rPr>
        <w:lastRenderedPageBreak/>
        <w:t>Grievous bodily harm and torture of a six-week-old boy</w:t>
      </w:r>
    </w:p>
    <w:p w14:paraId="62EF252E" w14:textId="77777777" w:rsidR="00F15831" w:rsidRPr="00DF3006" w:rsidRDefault="00F15831" w:rsidP="00F15831">
      <w:pPr>
        <w:rPr>
          <w:color w:val="414042" w:themeColor="text1"/>
        </w:rPr>
      </w:pPr>
      <w:r w:rsidRPr="00DF3006">
        <w:rPr>
          <w:color w:val="414042" w:themeColor="text1"/>
        </w:rPr>
        <w:t>In September 2022, the CCC held a hearing into the grievous bodily harm and torture of a six-week-old male child between 14 May 2022 and 22 June 2022.</w:t>
      </w:r>
    </w:p>
    <w:p w14:paraId="0B723506" w14:textId="2F70CEE4" w:rsidR="00F15831" w:rsidRPr="00DF3006" w:rsidRDefault="00F15831" w:rsidP="00F15831">
      <w:pPr>
        <w:rPr>
          <w:color w:val="414042" w:themeColor="text1"/>
        </w:rPr>
      </w:pPr>
      <w:r w:rsidRPr="00DF3006">
        <w:rPr>
          <w:color w:val="414042" w:themeColor="text1"/>
        </w:rPr>
        <w:t xml:space="preserve">As a result of the hearing, additional witness statements were identified and obtained by QPS investigators, and all remaining lines of enquiry were exhausted. </w:t>
      </w:r>
    </w:p>
    <w:p w14:paraId="3768DC74" w14:textId="77777777" w:rsidR="00F15831" w:rsidRPr="00DF3006" w:rsidRDefault="00F15831" w:rsidP="00F15831">
      <w:pPr>
        <w:rPr>
          <w:color w:val="414042" w:themeColor="text1"/>
        </w:rPr>
      </w:pPr>
      <w:r w:rsidRPr="00DF3006">
        <w:rPr>
          <w:rFonts w:ascii="Calibri" w:hAnsi="Calibri"/>
          <w:b/>
          <w:color w:val="414042" w:themeColor="text1"/>
        </w:rPr>
        <w:t>Possession of child exploitation material</w:t>
      </w:r>
      <w:r w:rsidRPr="00DF3006">
        <w:rPr>
          <w:rFonts w:ascii="Calibri" w:hAnsi="Calibri" w:cs="Calibri"/>
          <w:b/>
          <w:bCs/>
          <w:color w:val="414042" w:themeColor="text1"/>
          <w:szCs w:val="20"/>
        </w:rPr>
        <w:t xml:space="preserve"> and other related offences</w:t>
      </w:r>
    </w:p>
    <w:p w14:paraId="4CDE2D99" w14:textId="023F839A" w:rsidR="00F15831" w:rsidRPr="00DF3006" w:rsidRDefault="00F15831" w:rsidP="00F15831">
      <w:pPr>
        <w:rPr>
          <w:color w:val="414042" w:themeColor="text1"/>
        </w:rPr>
      </w:pPr>
      <w:r w:rsidRPr="00DF3006">
        <w:rPr>
          <w:color w:val="414042" w:themeColor="text1"/>
        </w:rPr>
        <w:t xml:space="preserve">A witness was examined in May 2023 into child exploitation material offences and other offences of a sexual nature alleged to have been committed by a male in Queensland, New South </w:t>
      </w:r>
      <w:proofErr w:type="gramStart"/>
      <w:r w:rsidRPr="00DF3006">
        <w:rPr>
          <w:color w:val="414042" w:themeColor="text1"/>
        </w:rPr>
        <w:t>Wales</w:t>
      </w:r>
      <w:proofErr w:type="gramEnd"/>
      <w:r w:rsidRPr="00DF3006">
        <w:rPr>
          <w:color w:val="414042" w:themeColor="text1"/>
        </w:rPr>
        <w:t xml:space="preserve"> and Victoria.</w:t>
      </w:r>
    </w:p>
    <w:p w14:paraId="02883029" w14:textId="47955B08" w:rsidR="00F15831" w:rsidRPr="00DF3006" w:rsidRDefault="00F15831" w:rsidP="00F15831">
      <w:pPr>
        <w:rPr>
          <w:color w:val="414042" w:themeColor="text1"/>
        </w:rPr>
      </w:pPr>
      <w:r w:rsidRPr="00DF3006">
        <w:rPr>
          <w:color w:val="414042" w:themeColor="text1"/>
        </w:rPr>
        <w:t xml:space="preserve">The hearing identified the use of other electronic devices and access information which was previously unknown to police. Further enquiries were also identified which will assist with the police investigation. </w:t>
      </w:r>
    </w:p>
    <w:p w14:paraId="3DAC45C0" w14:textId="52462F9B" w:rsidR="00F15831" w:rsidRPr="00DF3006" w:rsidRDefault="00F15831" w:rsidP="00F15831">
      <w:pPr>
        <w:rPr>
          <w:color w:val="414042" w:themeColor="text1"/>
        </w:rPr>
      </w:pPr>
      <w:r w:rsidRPr="00DF3006">
        <w:rPr>
          <w:strike/>
          <w:color w:val="414042" w:themeColor="text1"/>
        </w:rPr>
        <w:br w:type="column"/>
      </w:r>
      <w:r w:rsidRPr="00DF3006">
        <w:rPr>
          <w:rFonts w:ascii="Calibri" w:hAnsi="Calibri" w:cs="Calibri"/>
          <w:b/>
          <w:bCs/>
          <w:color w:val="414042" w:themeColor="text1"/>
          <w:szCs w:val="20"/>
        </w:rPr>
        <w:t>Review of the Child Protection (Offender Reporting and Offender Prohibition Order) Act 2004</w:t>
      </w:r>
    </w:p>
    <w:p w14:paraId="6885398D" w14:textId="4A4CD3FB" w:rsidR="008960EA" w:rsidRPr="00DF3006" w:rsidRDefault="00F15831" w:rsidP="00F15831">
      <w:pPr>
        <w:rPr>
          <w:color w:val="414042" w:themeColor="text1"/>
        </w:rPr>
      </w:pPr>
      <w:r w:rsidRPr="00DF3006">
        <w:rPr>
          <w:color w:val="414042" w:themeColor="text1"/>
        </w:rPr>
        <w:t xml:space="preserve">In 2022–23, </w:t>
      </w:r>
      <w:r w:rsidR="008960EA" w:rsidRPr="00DF3006">
        <w:rPr>
          <w:color w:val="414042" w:themeColor="text1"/>
        </w:rPr>
        <w:t>we</w:t>
      </w:r>
      <w:r w:rsidRPr="00DF3006">
        <w:rPr>
          <w:color w:val="414042" w:themeColor="text1"/>
        </w:rPr>
        <w:t xml:space="preserve"> </w:t>
      </w:r>
      <w:r w:rsidR="00454CD3" w:rsidRPr="00DF3006">
        <w:rPr>
          <w:color w:val="414042" w:themeColor="text1"/>
        </w:rPr>
        <w:t>undertook</w:t>
      </w:r>
      <w:r w:rsidRPr="00DF3006">
        <w:rPr>
          <w:color w:val="414042" w:themeColor="text1"/>
        </w:rPr>
        <w:t xml:space="preserve"> a </w:t>
      </w:r>
      <w:r w:rsidR="00AE3B05" w:rsidRPr="00DF3006">
        <w:rPr>
          <w:color w:val="414042" w:themeColor="text1"/>
        </w:rPr>
        <w:t xml:space="preserve">scheduled legislative </w:t>
      </w:r>
      <w:r w:rsidRPr="00DF3006">
        <w:rPr>
          <w:color w:val="414042" w:themeColor="text1"/>
        </w:rPr>
        <w:t xml:space="preserve">review of the </w:t>
      </w:r>
      <w:r w:rsidRPr="00DF3006">
        <w:rPr>
          <w:i/>
          <w:iCs/>
          <w:color w:val="414042" w:themeColor="text1"/>
        </w:rPr>
        <w:t>Child Protection (Offender Reporting and Offender Prohibition Order) Act 2004</w:t>
      </w:r>
      <w:r w:rsidRPr="00DF3006">
        <w:rPr>
          <w:color w:val="414042" w:themeColor="text1"/>
        </w:rPr>
        <w:t xml:space="preserve"> (the Act) </w:t>
      </w:r>
      <w:r w:rsidR="008960EA" w:rsidRPr="00DF3006">
        <w:rPr>
          <w:color w:val="414042" w:themeColor="text1"/>
        </w:rPr>
        <w:t>in accordance with section 74C of the Act.</w:t>
      </w:r>
    </w:p>
    <w:p w14:paraId="44ED27C6" w14:textId="336FD3A7" w:rsidR="00F15831" w:rsidRPr="00DF3006" w:rsidRDefault="00AE3B05" w:rsidP="008960EA">
      <w:pPr>
        <w:rPr>
          <w:color w:val="414042" w:themeColor="text1"/>
        </w:rPr>
      </w:pPr>
      <w:r w:rsidRPr="00DF3006">
        <w:rPr>
          <w:color w:val="414042" w:themeColor="text1"/>
        </w:rPr>
        <w:t xml:space="preserve">Our review comprehensively examined the operation of the Act, </w:t>
      </w:r>
      <w:r w:rsidR="00F15831" w:rsidRPr="00DF3006">
        <w:rPr>
          <w:color w:val="414042" w:themeColor="text1"/>
        </w:rPr>
        <w:t>including policies, training, and practices that give effect to the Act, and</w:t>
      </w:r>
      <w:r w:rsidR="008960EA" w:rsidRPr="00DF3006">
        <w:rPr>
          <w:color w:val="414042" w:themeColor="text1"/>
        </w:rPr>
        <w:t xml:space="preserve"> </w:t>
      </w:r>
      <w:r w:rsidR="00F15831" w:rsidRPr="00DF3006">
        <w:rPr>
          <w:color w:val="414042" w:themeColor="text1"/>
        </w:rPr>
        <w:t>how well the options provided in the Act protect children, by managing or mitigating the risks posed by offenders defined under the Act.</w:t>
      </w:r>
    </w:p>
    <w:p w14:paraId="591BC17A" w14:textId="77777777" w:rsidR="00F15831" w:rsidRPr="00DF3006" w:rsidRDefault="00F15831" w:rsidP="00F15831">
      <w:pPr>
        <w:rPr>
          <w:color w:val="414042" w:themeColor="text1"/>
        </w:rPr>
      </w:pPr>
      <w:r w:rsidRPr="00DF3006">
        <w:rPr>
          <w:color w:val="414042" w:themeColor="text1"/>
        </w:rPr>
        <w:t>During the review we:</w:t>
      </w:r>
    </w:p>
    <w:p w14:paraId="18DA4A67" w14:textId="77777777" w:rsidR="00F15831" w:rsidRPr="00DF3006" w:rsidRDefault="00F15831">
      <w:pPr>
        <w:pStyle w:val="Bullets"/>
        <w:rPr>
          <w:color w:val="414042" w:themeColor="text1"/>
        </w:rPr>
      </w:pPr>
      <w:r w:rsidRPr="00DF3006">
        <w:rPr>
          <w:color w:val="414042" w:themeColor="text1"/>
        </w:rPr>
        <w:t xml:space="preserve">published a discussion paper and called for public </w:t>
      </w:r>
      <w:proofErr w:type="gramStart"/>
      <w:r w:rsidRPr="00DF3006">
        <w:rPr>
          <w:color w:val="414042" w:themeColor="text1"/>
        </w:rPr>
        <w:t>submissions</w:t>
      </w:r>
      <w:proofErr w:type="gramEnd"/>
    </w:p>
    <w:p w14:paraId="0965062C" w14:textId="2C58C3B2" w:rsidR="00F15831" w:rsidRPr="00DF3006" w:rsidRDefault="00F15831">
      <w:pPr>
        <w:pStyle w:val="Bullets"/>
        <w:rPr>
          <w:color w:val="414042" w:themeColor="text1"/>
        </w:rPr>
      </w:pPr>
      <w:r w:rsidRPr="00DF3006">
        <w:rPr>
          <w:color w:val="414042" w:themeColor="text1"/>
        </w:rPr>
        <w:t xml:space="preserve">interviewed specialist police who administer the Act, and prosecutors from the </w:t>
      </w:r>
      <w:proofErr w:type="gramStart"/>
      <w:r w:rsidRPr="00DF3006">
        <w:rPr>
          <w:color w:val="414042" w:themeColor="text1"/>
        </w:rPr>
        <w:t>O</w:t>
      </w:r>
      <w:r w:rsidR="0064700D" w:rsidRPr="00DF3006">
        <w:rPr>
          <w:color w:val="414042" w:themeColor="text1"/>
        </w:rPr>
        <w:t>DPP</w:t>
      </w:r>
      <w:proofErr w:type="gramEnd"/>
    </w:p>
    <w:p w14:paraId="03AA74AB" w14:textId="64584CB8" w:rsidR="00F15831" w:rsidRPr="00DF3006" w:rsidRDefault="00F15831">
      <w:pPr>
        <w:pStyle w:val="Bullets"/>
        <w:rPr>
          <w:color w:val="414042" w:themeColor="text1"/>
        </w:rPr>
      </w:pPr>
      <w:r w:rsidRPr="00DF3006">
        <w:rPr>
          <w:color w:val="414042" w:themeColor="text1"/>
        </w:rPr>
        <w:t xml:space="preserve">received official quantitative data from the </w:t>
      </w:r>
      <w:r w:rsidR="00D0414D" w:rsidRPr="00DF3006">
        <w:rPr>
          <w:color w:val="414042" w:themeColor="text1"/>
        </w:rPr>
        <w:t>QPS</w:t>
      </w:r>
      <w:r w:rsidRPr="00DF3006">
        <w:rPr>
          <w:color w:val="414042" w:themeColor="text1"/>
        </w:rPr>
        <w:t>, Queensland Courts</w:t>
      </w:r>
      <w:r w:rsidR="0064700D" w:rsidRPr="00DF3006">
        <w:rPr>
          <w:color w:val="414042" w:themeColor="text1"/>
        </w:rPr>
        <w:t xml:space="preserve"> and</w:t>
      </w:r>
      <w:r w:rsidRPr="00DF3006">
        <w:rPr>
          <w:color w:val="414042" w:themeColor="text1"/>
        </w:rPr>
        <w:t xml:space="preserve"> Queensland Corrective Services</w:t>
      </w:r>
    </w:p>
    <w:p w14:paraId="3D4A7DD1" w14:textId="77777777" w:rsidR="00F15831" w:rsidRPr="00DF3006" w:rsidRDefault="00F15831">
      <w:pPr>
        <w:pStyle w:val="Bullets"/>
        <w:rPr>
          <w:color w:val="414042" w:themeColor="text1"/>
        </w:rPr>
      </w:pPr>
      <w:r w:rsidRPr="00DF3006">
        <w:rPr>
          <w:color w:val="414042" w:themeColor="text1"/>
        </w:rPr>
        <w:t xml:space="preserve">reviewed peer-reviewed journal </w:t>
      </w:r>
      <w:proofErr w:type="gramStart"/>
      <w:r w:rsidRPr="00DF3006">
        <w:rPr>
          <w:color w:val="414042" w:themeColor="text1"/>
        </w:rPr>
        <w:t>articles</w:t>
      </w:r>
      <w:proofErr w:type="gramEnd"/>
    </w:p>
    <w:p w14:paraId="6DC98F84" w14:textId="77777777" w:rsidR="00F15831" w:rsidRPr="00DF3006" w:rsidRDefault="00F15831">
      <w:pPr>
        <w:pStyle w:val="Bullets"/>
        <w:rPr>
          <w:color w:val="414042" w:themeColor="text1"/>
        </w:rPr>
      </w:pPr>
      <w:r w:rsidRPr="00DF3006">
        <w:rPr>
          <w:color w:val="414042" w:themeColor="text1"/>
        </w:rPr>
        <w:t>conducted legal comparison and analysis on specific topics arising from our review, and</w:t>
      </w:r>
    </w:p>
    <w:p w14:paraId="6893BDED" w14:textId="77777777" w:rsidR="00F15831" w:rsidRPr="00DF3006" w:rsidRDefault="00F15831">
      <w:pPr>
        <w:pStyle w:val="Bullets"/>
        <w:rPr>
          <w:color w:val="414042" w:themeColor="text1"/>
        </w:rPr>
      </w:pPr>
      <w:r w:rsidRPr="00DF3006">
        <w:rPr>
          <w:color w:val="414042" w:themeColor="text1"/>
        </w:rPr>
        <w:t>monitored the progress of two Bills introduced to Queensland Parliament that sought to amend the Act.</w:t>
      </w:r>
    </w:p>
    <w:p w14:paraId="5E04553C" w14:textId="1D08B664" w:rsidR="00F15831" w:rsidRPr="00DF3006" w:rsidRDefault="0064700D" w:rsidP="00F15831">
      <w:pPr>
        <w:rPr>
          <w:color w:val="414042" w:themeColor="text1"/>
        </w:rPr>
      </w:pPr>
      <w:r w:rsidRPr="00DF3006">
        <w:rPr>
          <w:color w:val="414042" w:themeColor="text1"/>
        </w:rPr>
        <w:t>O</w:t>
      </w:r>
      <w:r w:rsidR="008960EA" w:rsidRPr="00DF3006">
        <w:rPr>
          <w:color w:val="414042" w:themeColor="text1"/>
        </w:rPr>
        <w:t>ur</w:t>
      </w:r>
      <w:r w:rsidR="00F15831" w:rsidRPr="00DF3006">
        <w:rPr>
          <w:color w:val="414042" w:themeColor="text1"/>
        </w:rPr>
        <w:t xml:space="preserve"> report</w:t>
      </w:r>
      <w:r w:rsidR="008960EA" w:rsidRPr="00DF3006">
        <w:rPr>
          <w:color w:val="414042" w:themeColor="text1"/>
        </w:rPr>
        <w:t xml:space="preserve">, which included 23 recommendations to improve the Act and how it operates, </w:t>
      </w:r>
      <w:r w:rsidRPr="00DF3006">
        <w:rPr>
          <w:color w:val="414042" w:themeColor="text1"/>
        </w:rPr>
        <w:t xml:space="preserve">was tabled by the Acting </w:t>
      </w:r>
      <w:r w:rsidR="00F15831" w:rsidRPr="00DF3006">
        <w:rPr>
          <w:color w:val="414042" w:themeColor="text1"/>
        </w:rPr>
        <w:t>Speaker in the Legislative Assembly on 21 June 2023.</w:t>
      </w:r>
    </w:p>
    <w:p w14:paraId="02145DC3" w14:textId="6746BAE2" w:rsidR="00805088" w:rsidRPr="00DF3006" w:rsidRDefault="00805088" w:rsidP="00F15831">
      <w:pPr>
        <w:rPr>
          <w:color w:val="414042" w:themeColor="text1"/>
        </w:rPr>
      </w:pPr>
    </w:p>
    <w:p w14:paraId="56FBCB35" w14:textId="11EE67E4" w:rsidR="00805088" w:rsidRPr="00DF3006" w:rsidRDefault="00805088" w:rsidP="0063530E">
      <w:pPr>
        <w:spacing w:after="100" w:line="204" w:lineRule="auto"/>
        <w:rPr>
          <w:color w:val="414042" w:themeColor="text1"/>
        </w:rPr>
        <w:sectPr w:rsidR="00805088" w:rsidRPr="00DF3006" w:rsidSect="00C77834">
          <w:headerReference w:type="even" r:id="rId192"/>
          <w:headerReference w:type="default" r:id="rId193"/>
          <w:headerReference w:type="first" r:id="rId194"/>
          <w:type w:val="continuous"/>
          <w:pgSz w:w="11906" w:h="16838" w:code="9"/>
          <w:pgMar w:top="2155" w:right="1134" w:bottom="964" w:left="1134" w:header="720" w:footer="284" w:gutter="0"/>
          <w:cols w:num="2" w:space="567"/>
          <w:noEndnote/>
          <w:docGrid w:linePitch="272"/>
        </w:sectPr>
      </w:pPr>
    </w:p>
    <w:p w14:paraId="63E8E6C9" w14:textId="28750F3A" w:rsidR="0007058E" w:rsidRPr="00DF3006" w:rsidRDefault="0007058E" w:rsidP="0063530E">
      <w:pPr>
        <w:spacing w:after="100" w:line="204" w:lineRule="auto"/>
        <w:rPr>
          <w:rFonts w:cs="Calibri"/>
          <w:color w:val="414042" w:themeColor="text1"/>
          <w:spacing w:val="-5"/>
          <w:sz w:val="16"/>
          <w:szCs w:val="16"/>
        </w:rPr>
      </w:pPr>
      <w:bookmarkStart w:id="1243" w:name="corruptioncp"/>
      <w:bookmarkStart w:id="1244" w:name="_Hlk111554300"/>
      <w:bookmarkStart w:id="1245" w:name="_Hlk111555144"/>
      <w:bookmarkStart w:id="1246" w:name="_Hlk111554592"/>
      <w:bookmarkStart w:id="1247" w:name="_Hlk111554442"/>
      <w:bookmarkEnd w:id="1243"/>
    </w:p>
    <w:p w14:paraId="4B907978" w14:textId="4A5CC470" w:rsidR="00DA23C2" w:rsidRPr="00DF3006" w:rsidRDefault="00DA23C2">
      <w:pPr>
        <w:spacing w:before="120" w:after="0" w:line="260" w:lineRule="exact"/>
        <w:rPr>
          <w:rFonts w:cs="Calibri"/>
          <w:color w:val="414042" w:themeColor="text1"/>
          <w:spacing w:val="-5"/>
          <w:sz w:val="16"/>
          <w:szCs w:val="16"/>
        </w:rPr>
        <w:sectPr w:rsidR="00DA23C2" w:rsidRPr="00DF3006" w:rsidSect="00C77834">
          <w:type w:val="continuous"/>
          <w:pgSz w:w="11906" w:h="16838" w:code="9"/>
          <w:pgMar w:top="2155" w:right="1134" w:bottom="964" w:left="1134" w:header="720" w:footer="284" w:gutter="0"/>
          <w:cols w:space="567"/>
          <w:noEndnote/>
          <w:docGrid w:linePitch="272"/>
        </w:sectPr>
      </w:pPr>
    </w:p>
    <w:p w14:paraId="40A19F1A" w14:textId="555C6749" w:rsidR="00DA23C2" w:rsidRPr="00DF3006" w:rsidRDefault="00732488" w:rsidP="00DA23C2">
      <w:pPr>
        <w:pStyle w:val="Heading2"/>
        <w:spacing w:line="204" w:lineRule="auto"/>
      </w:pPr>
      <w:bookmarkStart w:id="1248" w:name="_Toc102037949"/>
      <w:bookmarkStart w:id="1249" w:name="_Toc102038310"/>
      <w:bookmarkStart w:id="1250" w:name="_Toc102038671"/>
      <w:bookmarkStart w:id="1251" w:name="_Toc102039023"/>
      <w:bookmarkStart w:id="1252" w:name="_Toc102039372"/>
      <w:bookmarkStart w:id="1253" w:name="_Toc102039734"/>
      <w:bookmarkStart w:id="1254" w:name="_Toc102040091"/>
      <w:bookmarkStart w:id="1255" w:name="_Toc102040419"/>
      <w:bookmarkStart w:id="1256" w:name="_Toc102040753"/>
      <w:bookmarkStart w:id="1257" w:name="_Toc102041081"/>
      <w:bookmarkStart w:id="1258" w:name="_Toc102041410"/>
      <w:bookmarkStart w:id="1259" w:name="_Toc102041742"/>
      <w:bookmarkStart w:id="1260" w:name="_Toc102042069"/>
      <w:bookmarkStart w:id="1261" w:name="_Toc102042399"/>
      <w:bookmarkStart w:id="1262" w:name="_Toc102045529"/>
      <w:bookmarkStart w:id="1263" w:name="_Hlk143525626"/>
      <w:r w:rsidRPr="00DF3006">
        <w:rPr>
          <w:rFonts w:asciiTheme="minorHAnsi" w:hAnsiTheme="minorHAnsi" w:cstheme="minorHAnsi"/>
          <w:b/>
          <w:bCs/>
        </w:rPr>
        <w:lastRenderedPageBreak/>
        <w:t>FOCUS AREA</w:t>
      </w:r>
      <w:r w:rsidR="00DA23C2" w:rsidRPr="00DF3006">
        <w:rPr>
          <w:rFonts w:asciiTheme="minorHAnsi" w:hAnsiTheme="minorHAnsi" w:cstheme="minorHAnsi"/>
          <w:b/>
          <w:bCs/>
        </w:rPr>
        <w:t xml:space="preserve"> </w:t>
      </w:r>
      <w:r w:rsidR="00DF3006" w:rsidRPr="00DF3006">
        <w:rPr>
          <w:rFonts w:asciiTheme="minorHAnsi" w:hAnsiTheme="minorHAnsi" w:cstheme="minorHAnsi"/>
        </w:rPr>
        <w:t>|</w:t>
      </w:r>
      <w:r w:rsidR="00DF3006">
        <w:rPr>
          <w:rFonts w:asciiTheme="minorHAnsi" w:hAnsiTheme="minorHAnsi" w:cstheme="minorHAnsi"/>
        </w:rPr>
        <w:t xml:space="preserve"> </w:t>
      </w:r>
      <w:r w:rsidR="00DA23C2" w:rsidRPr="00DF3006">
        <w:t xml:space="preserve">Corruption involving improper influence, abuse of authority and exploitation of public sector </w:t>
      </w:r>
      <w:proofErr w:type="gramStart"/>
      <w:r w:rsidR="00DA23C2" w:rsidRPr="00DF3006">
        <w:t>resources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roofErr w:type="gramEnd"/>
    </w:p>
    <w:p w14:paraId="13618549" w14:textId="6F91D690" w:rsidR="00DA23C2" w:rsidRPr="00DF3006" w:rsidRDefault="00DA23C2" w:rsidP="00E52781">
      <w:pPr>
        <w:pStyle w:val="Openingparagraph"/>
      </w:pPr>
      <w:r w:rsidRPr="00DF3006">
        <w:t xml:space="preserve">This year we continued to investigate allegations of serious and systemic corruption within Queensland’s public sector. Our focus was on the conduct of people who sought to exploit the authority and resources entrusted to them through their public sector employment. Third parties who also seek to influence the way a UPA employee </w:t>
      </w:r>
      <w:proofErr w:type="gramStart"/>
      <w:r w:rsidRPr="00DF3006">
        <w:t>makes a decision</w:t>
      </w:r>
      <w:proofErr w:type="gramEnd"/>
      <w:r w:rsidRPr="00DF3006">
        <w:t>, exercises a discretion or undertakes an activity w</w:t>
      </w:r>
      <w:r w:rsidR="00F037EA" w:rsidRPr="00DF3006">
        <w:t>ere</w:t>
      </w:r>
      <w:r w:rsidRPr="00DF3006">
        <w:t xml:space="preserve"> also a focus area.</w:t>
      </w:r>
    </w:p>
    <w:p w14:paraId="48E150A4" w14:textId="77777777" w:rsidR="00B329FD" w:rsidRPr="00DF3006" w:rsidRDefault="00B329FD" w:rsidP="00B329FD">
      <w:pPr>
        <w:rPr>
          <w:color w:val="414042" w:themeColor="text1"/>
        </w:rPr>
      </w:pPr>
    </w:p>
    <w:p w14:paraId="1F42F705" w14:textId="77777777" w:rsidR="00DA23C2" w:rsidRPr="00DF3006" w:rsidRDefault="00DA23C2" w:rsidP="00DA23C2">
      <w:pPr>
        <w:pStyle w:val="Openingparagraph"/>
        <w:ind w:right="-285"/>
        <w:rPr>
          <w:strike/>
          <w:highlight w:val="green"/>
          <w:lang w:val="en-AU"/>
        </w:rPr>
        <w:sectPr w:rsidR="00DA23C2" w:rsidRPr="00DF3006" w:rsidSect="00C77834">
          <w:headerReference w:type="even" r:id="rId195"/>
          <w:headerReference w:type="default" r:id="rId196"/>
          <w:headerReference w:type="first" r:id="rId197"/>
          <w:pgSz w:w="11906" w:h="16838" w:code="9"/>
          <w:pgMar w:top="2155" w:right="1134" w:bottom="964" w:left="1134" w:header="720" w:footer="284" w:gutter="0"/>
          <w:cols w:space="567"/>
          <w:noEndnote/>
          <w:docGrid w:linePitch="272"/>
        </w:sectPr>
      </w:pPr>
    </w:p>
    <w:p w14:paraId="3CF10BC4" w14:textId="3611CDC3" w:rsidR="00D62D83" w:rsidRPr="00DF3006" w:rsidRDefault="00D62D83" w:rsidP="00D62D83">
      <w:pPr>
        <w:rPr>
          <w:color w:val="414042" w:themeColor="text1"/>
        </w:rPr>
      </w:pPr>
      <w:bookmarkStart w:id="1264" w:name="_Hlk73614666"/>
      <w:bookmarkStart w:id="1265" w:name="_Toc102037950"/>
      <w:bookmarkStart w:id="1266" w:name="_Toc102038311"/>
      <w:bookmarkStart w:id="1267" w:name="_Toc102038672"/>
      <w:bookmarkStart w:id="1268" w:name="_Toc102039024"/>
      <w:bookmarkStart w:id="1269" w:name="_Toc102039373"/>
      <w:bookmarkStart w:id="1270" w:name="_Toc102039735"/>
      <w:bookmarkStart w:id="1271" w:name="_Toc102040092"/>
      <w:bookmarkStart w:id="1272" w:name="_Toc102040420"/>
      <w:bookmarkStart w:id="1273" w:name="_Toc102040754"/>
      <w:bookmarkStart w:id="1274" w:name="_Toc102041082"/>
      <w:bookmarkStart w:id="1275" w:name="_Toc102041411"/>
      <w:bookmarkStart w:id="1276" w:name="_Toc102041743"/>
      <w:bookmarkStart w:id="1277" w:name="_Toc102042070"/>
      <w:bookmarkStart w:id="1278" w:name="_Toc102042400"/>
      <w:bookmarkStart w:id="1279" w:name="_Toc102045530"/>
      <w:bookmarkStart w:id="1280" w:name="_Hlk73614692"/>
      <w:r w:rsidRPr="00DF3006">
        <w:rPr>
          <w:color w:val="414042" w:themeColor="text1"/>
        </w:rPr>
        <w:t>In 2022–23, we received 3,931 complaints of suspected corruption. As one complaint may be comprised of multiple allegations, often against more than one person and describing various types of conduct, we received a total of 8,398 allegations.</w:t>
      </w:r>
    </w:p>
    <w:p w14:paraId="33630082" w14:textId="7D2582BC" w:rsidR="00FA1162" w:rsidRPr="00DF3006" w:rsidRDefault="00D62D83" w:rsidP="00D62D83">
      <w:pPr>
        <w:rPr>
          <w:color w:val="414042" w:themeColor="text1"/>
          <w:lang w:val="en-GB"/>
        </w:rPr>
      </w:pPr>
      <w:r w:rsidRPr="00DF3006">
        <w:rPr>
          <w:color w:val="414042" w:themeColor="text1"/>
          <w:spacing w:val="-4"/>
        </w:rPr>
        <w:t xml:space="preserve">The number of complaints we receive has been steadily increasing since 2015–16, with a </w:t>
      </w:r>
      <w:r w:rsidR="000211DF" w:rsidRPr="00DF3006">
        <w:rPr>
          <w:color w:val="414042" w:themeColor="text1"/>
          <w:spacing w:val="-4"/>
        </w:rPr>
        <w:t>one</w:t>
      </w:r>
      <w:r w:rsidRPr="00DF3006">
        <w:rPr>
          <w:color w:val="414042" w:themeColor="text1"/>
          <w:spacing w:val="-4"/>
        </w:rPr>
        <w:t xml:space="preserve"> per cent increase this year (up from 3,889 last year). An </w:t>
      </w:r>
      <w:r w:rsidR="00FA1162" w:rsidRPr="00DF3006">
        <w:rPr>
          <w:color w:val="414042" w:themeColor="text1"/>
          <w:lang w:val="en-GB"/>
        </w:rPr>
        <w:t xml:space="preserve">18 per cent </w:t>
      </w:r>
      <w:r w:rsidRPr="00DF3006">
        <w:rPr>
          <w:color w:val="414042" w:themeColor="text1"/>
          <w:spacing w:val="-4"/>
        </w:rPr>
        <w:t xml:space="preserve">increase in complaints against the QPS is largely attributable to an increase in notifications regarding domestic and family violence matters, </w:t>
      </w:r>
      <w:proofErr w:type="gramStart"/>
      <w:r w:rsidRPr="00DF3006">
        <w:rPr>
          <w:color w:val="414042" w:themeColor="text1"/>
          <w:spacing w:val="-4"/>
        </w:rPr>
        <w:t>as a result of</w:t>
      </w:r>
      <w:proofErr w:type="gramEnd"/>
      <w:r w:rsidRPr="00DF3006">
        <w:rPr>
          <w:color w:val="414042" w:themeColor="text1"/>
          <w:spacing w:val="-4"/>
        </w:rPr>
        <w:t xml:space="preserve"> the </w:t>
      </w:r>
      <w:r w:rsidRPr="00DF3006">
        <w:rPr>
          <w:i/>
          <w:iCs/>
          <w:color w:val="414042" w:themeColor="text1"/>
          <w:spacing w:val="-4"/>
        </w:rPr>
        <w:t>DFV Inquiry</w:t>
      </w:r>
      <w:r w:rsidR="00CC7FA0" w:rsidRPr="00DF3006">
        <w:rPr>
          <w:color w:val="414042" w:themeColor="text1"/>
          <w:spacing w:val="-4"/>
        </w:rPr>
        <w:t>,</w:t>
      </w:r>
      <w:r w:rsidR="00CC7FA0" w:rsidRPr="00DF3006">
        <w:rPr>
          <w:color w:val="414042" w:themeColor="text1"/>
          <w:lang w:val="en-GB"/>
        </w:rPr>
        <w:t xml:space="preserve"> as well as complaints relating to police culture (including bullying, harassment and discrimination).</w:t>
      </w:r>
    </w:p>
    <w:p w14:paraId="1F0CDF3A" w14:textId="79AD2A36" w:rsidR="00FA1162" w:rsidRPr="00DF3006" w:rsidRDefault="00FA1162" w:rsidP="00D62D83">
      <w:pPr>
        <w:rPr>
          <w:color w:val="414042" w:themeColor="text1"/>
          <w:lang w:val="en-GB"/>
        </w:rPr>
      </w:pPr>
      <w:r w:rsidRPr="00DF3006">
        <w:rPr>
          <w:color w:val="414042" w:themeColor="text1"/>
          <w:lang w:val="en-GB"/>
        </w:rPr>
        <w:t>Overall c</w:t>
      </w:r>
      <w:r w:rsidR="00CC7FA0" w:rsidRPr="00DF3006">
        <w:rPr>
          <w:color w:val="414042" w:themeColor="text1"/>
          <w:lang w:val="en-GB"/>
        </w:rPr>
        <w:t xml:space="preserve">omplaints involving local governments </w:t>
      </w:r>
      <w:r w:rsidRPr="00DF3006">
        <w:rPr>
          <w:color w:val="414042" w:themeColor="text1"/>
          <w:lang w:val="en-GB"/>
        </w:rPr>
        <w:t xml:space="preserve">decreased by </w:t>
      </w:r>
      <w:r w:rsidR="00CC7FA0" w:rsidRPr="00DF3006">
        <w:rPr>
          <w:color w:val="414042" w:themeColor="text1"/>
          <w:lang w:val="en-GB"/>
        </w:rPr>
        <w:t>19</w:t>
      </w:r>
      <w:r w:rsidRPr="00DF3006">
        <w:rPr>
          <w:color w:val="414042" w:themeColor="text1"/>
          <w:lang w:val="en-GB"/>
        </w:rPr>
        <w:t xml:space="preserve"> per cent </w:t>
      </w:r>
      <w:r w:rsidR="00CC7FA0" w:rsidRPr="00DF3006">
        <w:rPr>
          <w:color w:val="414042" w:themeColor="text1"/>
          <w:lang w:val="en-GB"/>
        </w:rPr>
        <w:t>when compared to 2021</w:t>
      </w:r>
      <w:r w:rsidR="00CC7FA0" w:rsidRPr="00DF3006">
        <w:rPr>
          <w:color w:val="414042" w:themeColor="text1"/>
          <w:spacing w:val="-4"/>
        </w:rPr>
        <w:t>–</w:t>
      </w:r>
      <w:r w:rsidR="00CC7FA0" w:rsidRPr="00DF3006">
        <w:rPr>
          <w:color w:val="414042" w:themeColor="text1"/>
          <w:lang w:val="en-GB"/>
        </w:rPr>
        <w:t>22 and have continued a downward trend over the last 3 years</w:t>
      </w:r>
      <w:r w:rsidRPr="00DF3006">
        <w:rPr>
          <w:color w:val="414042" w:themeColor="text1"/>
          <w:lang w:val="en-GB"/>
        </w:rPr>
        <w:t>, while n</w:t>
      </w:r>
      <w:r w:rsidR="00B11156" w:rsidRPr="00DF3006">
        <w:rPr>
          <w:color w:val="414042" w:themeColor="text1"/>
          <w:lang w:val="en-GB"/>
        </w:rPr>
        <w:t>otifications from UPA</w:t>
      </w:r>
      <w:r w:rsidR="00C4241F" w:rsidRPr="00DF3006">
        <w:rPr>
          <w:color w:val="414042" w:themeColor="text1"/>
          <w:lang w:val="en-GB"/>
        </w:rPr>
        <w:t>s</w:t>
      </w:r>
      <w:r w:rsidR="00B11156" w:rsidRPr="00DF3006">
        <w:rPr>
          <w:color w:val="414042" w:themeColor="text1"/>
          <w:lang w:val="en-GB"/>
        </w:rPr>
        <w:t xml:space="preserve"> about local governments decreased by </w:t>
      </w:r>
      <w:r w:rsidRPr="00DF3006">
        <w:rPr>
          <w:color w:val="414042" w:themeColor="text1"/>
          <w:lang w:val="en-GB"/>
        </w:rPr>
        <w:t>eight per cent</w:t>
      </w:r>
      <w:r w:rsidR="00B11156" w:rsidRPr="00DF3006">
        <w:rPr>
          <w:color w:val="414042" w:themeColor="text1"/>
          <w:lang w:val="en-GB"/>
        </w:rPr>
        <w:t>.</w:t>
      </w:r>
    </w:p>
    <w:p w14:paraId="07EC1B7E" w14:textId="18A644D5" w:rsidR="00B11156" w:rsidRPr="00DF3006" w:rsidRDefault="00B11156" w:rsidP="00D62D83">
      <w:pPr>
        <w:rPr>
          <w:color w:val="414042" w:themeColor="text1"/>
          <w:lang w:val="en-GB"/>
        </w:rPr>
      </w:pPr>
      <w:r w:rsidRPr="00DF3006">
        <w:rPr>
          <w:color w:val="414042" w:themeColor="text1"/>
          <w:lang w:val="en-GB"/>
        </w:rPr>
        <w:t>Complaints about other UPA</w:t>
      </w:r>
      <w:r w:rsidR="00E0040A" w:rsidRPr="00DF3006">
        <w:rPr>
          <w:color w:val="414042" w:themeColor="text1"/>
          <w:lang w:val="en-GB"/>
        </w:rPr>
        <w:t>s</w:t>
      </w:r>
      <w:r w:rsidRPr="00DF3006">
        <w:rPr>
          <w:color w:val="414042" w:themeColor="text1"/>
          <w:lang w:val="en-GB"/>
        </w:rPr>
        <w:t xml:space="preserve"> (excluding QPS and local government) are down 16</w:t>
      </w:r>
      <w:r w:rsidR="00FA1162" w:rsidRPr="00DF3006">
        <w:rPr>
          <w:color w:val="414042" w:themeColor="text1"/>
          <w:lang w:val="en-GB"/>
        </w:rPr>
        <w:t xml:space="preserve"> per cent</w:t>
      </w:r>
      <w:r w:rsidRPr="00DF3006">
        <w:rPr>
          <w:color w:val="414042" w:themeColor="text1"/>
          <w:lang w:val="en-GB"/>
        </w:rPr>
        <w:t xml:space="preserve"> when compared to 2021</w:t>
      </w:r>
      <w:r w:rsidRPr="00DF3006">
        <w:rPr>
          <w:color w:val="414042" w:themeColor="text1"/>
          <w:spacing w:val="-4"/>
        </w:rPr>
        <w:t>–</w:t>
      </w:r>
      <w:r w:rsidRPr="00DF3006">
        <w:rPr>
          <w:color w:val="414042" w:themeColor="text1"/>
          <w:lang w:val="en-GB"/>
        </w:rPr>
        <w:t xml:space="preserve">22. While it is not clear what has led to this decrease, initiatives within our new </w:t>
      </w:r>
      <w:r w:rsidRPr="00DF3006">
        <w:rPr>
          <w:i/>
          <w:iCs/>
          <w:color w:val="414042" w:themeColor="text1"/>
          <w:lang w:val="en-GB"/>
        </w:rPr>
        <w:t>Corruption Strategy</w:t>
      </w:r>
      <w:r w:rsidR="00462149" w:rsidRPr="00DF3006">
        <w:rPr>
          <w:i/>
          <w:iCs/>
          <w:color w:val="414042" w:themeColor="text1"/>
          <w:lang w:val="en-GB"/>
        </w:rPr>
        <w:t xml:space="preserve"> </w:t>
      </w:r>
      <w:r w:rsidR="00462149" w:rsidRPr="00DF3006">
        <w:rPr>
          <w:i/>
          <w:iCs/>
          <w:color w:val="414042" w:themeColor="text1"/>
        </w:rPr>
        <w:t>2023</w:t>
      </w:r>
      <w:r w:rsidR="00462149" w:rsidRPr="00DF3006">
        <w:rPr>
          <w:i/>
          <w:iCs/>
          <w:color w:val="414042" w:themeColor="text1"/>
          <w:spacing w:val="-4"/>
        </w:rPr>
        <w:t>–</w:t>
      </w:r>
      <w:r w:rsidR="00462149" w:rsidRPr="00DF3006">
        <w:rPr>
          <w:i/>
          <w:iCs/>
          <w:color w:val="414042" w:themeColor="text1"/>
        </w:rPr>
        <w:t>27</w:t>
      </w:r>
      <w:r w:rsidR="00462149" w:rsidRPr="00DF3006">
        <w:rPr>
          <w:color w:val="414042" w:themeColor="text1"/>
        </w:rPr>
        <w:t xml:space="preserve"> </w:t>
      </w:r>
      <w:r w:rsidRPr="00DF3006">
        <w:rPr>
          <w:color w:val="414042" w:themeColor="text1"/>
          <w:lang w:val="en-GB"/>
        </w:rPr>
        <w:t xml:space="preserve">include </w:t>
      </w:r>
      <w:r w:rsidR="00E0040A" w:rsidRPr="00DF3006">
        <w:rPr>
          <w:color w:val="414042" w:themeColor="text1"/>
          <w:lang w:val="en-GB"/>
        </w:rPr>
        <w:t xml:space="preserve">projects </w:t>
      </w:r>
      <w:r w:rsidRPr="00DF3006">
        <w:rPr>
          <w:color w:val="414042" w:themeColor="text1"/>
          <w:lang w:val="en-GB"/>
        </w:rPr>
        <w:t>designed to allow us to better understand trends in reporting.</w:t>
      </w:r>
    </w:p>
    <w:p w14:paraId="69A6D443" w14:textId="109218A8" w:rsidR="00FA1162" w:rsidRPr="00DF3006" w:rsidRDefault="00FA1162" w:rsidP="00FA1162">
      <w:pPr>
        <w:rPr>
          <w:color w:val="414042" w:themeColor="text1"/>
          <w:lang w:val="en-GB"/>
        </w:rPr>
      </w:pPr>
      <w:r w:rsidRPr="00DF3006">
        <w:rPr>
          <w:color w:val="414042" w:themeColor="text1"/>
          <w:lang w:val="en-GB"/>
        </w:rPr>
        <w:t xml:space="preserve">There has been a decrease in timeliness of our assessments. This is expected for </w:t>
      </w:r>
      <w:proofErr w:type="gramStart"/>
      <w:r w:rsidRPr="00DF3006">
        <w:rPr>
          <w:color w:val="414042" w:themeColor="text1"/>
          <w:lang w:val="en-GB"/>
        </w:rPr>
        <w:t>a period of time</w:t>
      </w:r>
      <w:proofErr w:type="gramEnd"/>
      <w:r w:rsidRPr="00DF3006">
        <w:rPr>
          <w:color w:val="414042" w:themeColor="text1"/>
          <w:lang w:val="en-GB"/>
        </w:rPr>
        <w:t xml:space="preserve"> noting the significant change processes implemented within our complaint intake and assessment unit earlier this year (see page </w:t>
      </w:r>
      <w:r w:rsidR="00BA05C1" w:rsidRPr="00DF3006">
        <w:rPr>
          <w:color w:val="414042" w:themeColor="text1"/>
          <w:lang w:val="en-GB"/>
        </w:rPr>
        <w:t>27</w:t>
      </w:r>
      <w:r w:rsidRPr="00DF3006">
        <w:rPr>
          <w:color w:val="414042" w:themeColor="text1"/>
          <w:lang w:val="en-GB"/>
        </w:rPr>
        <w:t>).</w:t>
      </w:r>
    </w:p>
    <w:p w14:paraId="3EE30AB3" w14:textId="445D919C" w:rsidR="00D62D83" w:rsidRPr="00DF3006" w:rsidRDefault="00732488" w:rsidP="00D62D83">
      <w:pPr>
        <w:rPr>
          <w:color w:val="414042" w:themeColor="text1"/>
        </w:rPr>
      </w:pPr>
      <w:r w:rsidRPr="00DF3006">
        <w:rPr>
          <w:color w:val="414042" w:themeColor="text1"/>
        </w:rPr>
        <w:br w:type="column"/>
      </w:r>
      <w:r w:rsidR="00D62D83" w:rsidRPr="00DF3006">
        <w:rPr>
          <w:color w:val="414042" w:themeColor="text1"/>
        </w:rPr>
        <w:t>Of the matters that fell within our jurisdiction, we commenced 51 investigations and finalised 39 investigations (some having commenced in previous years) resulting in:</w:t>
      </w:r>
    </w:p>
    <w:p w14:paraId="271E395D" w14:textId="1E3B3F73" w:rsidR="00D62D83" w:rsidRPr="00DF3006" w:rsidRDefault="000211DF" w:rsidP="00C404D9">
      <w:pPr>
        <w:pStyle w:val="Bullets"/>
        <w:rPr>
          <w:color w:val="414042" w:themeColor="text1"/>
        </w:rPr>
      </w:pPr>
      <w:r w:rsidRPr="00DF3006">
        <w:rPr>
          <w:color w:val="414042" w:themeColor="text1"/>
        </w:rPr>
        <w:t>two</w:t>
      </w:r>
      <w:r w:rsidR="00D62D83" w:rsidRPr="00DF3006">
        <w:rPr>
          <w:color w:val="414042" w:themeColor="text1"/>
        </w:rPr>
        <w:t xml:space="preserve"> criminal charges against </w:t>
      </w:r>
      <w:r w:rsidRPr="00DF3006">
        <w:rPr>
          <w:color w:val="414042" w:themeColor="text1"/>
        </w:rPr>
        <w:t>one</w:t>
      </w:r>
      <w:r w:rsidR="00D62D83" w:rsidRPr="00DF3006">
        <w:rPr>
          <w:color w:val="414042" w:themeColor="text1"/>
        </w:rPr>
        <w:t xml:space="preserve"> person</w:t>
      </w:r>
    </w:p>
    <w:p w14:paraId="4D8B7170" w14:textId="257B1E75" w:rsidR="00D62D83" w:rsidRPr="00DF3006" w:rsidRDefault="000211DF" w:rsidP="00C404D9">
      <w:pPr>
        <w:pStyle w:val="Bullets"/>
        <w:rPr>
          <w:color w:val="414042" w:themeColor="text1"/>
        </w:rPr>
      </w:pPr>
      <w:r w:rsidRPr="00DF3006">
        <w:rPr>
          <w:color w:val="414042" w:themeColor="text1"/>
        </w:rPr>
        <w:t>seven</w:t>
      </w:r>
      <w:r w:rsidR="00D62D83" w:rsidRPr="00DF3006">
        <w:rPr>
          <w:color w:val="414042" w:themeColor="text1"/>
        </w:rPr>
        <w:t xml:space="preserve"> recommendations for disciplinary action involving </w:t>
      </w:r>
      <w:r w:rsidRPr="00DF3006">
        <w:rPr>
          <w:color w:val="414042" w:themeColor="text1"/>
        </w:rPr>
        <w:t>three</w:t>
      </w:r>
      <w:r w:rsidR="00D62D83" w:rsidRPr="00DF3006">
        <w:rPr>
          <w:color w:val="414042" w:themeColor="text1"/>
        </w:rPr>
        <w:t xml:space="preserve"> people, and</w:t>
      </w:r>
    </w:p>
    <w:p w14:paraId="798BA88E" w14:textId="4428BF34" w:rsidR="00D62D83" w:rsidRPr="00DF3006" w:rsidRDefault="00D62D83" w:rsidP="00C404D9">
      <w:pPr>
        <w:pStyle w:val="Bullets"/>
        <w:rPr>
          <w:color w:val="414042" w:themeColor="text1"/>
        </w:rPr>
      </w:pPr>
      <w:r w:rsidRPr="00DF3006">
        <w:rPr>
          <w:color w:val="414042" w:themeColor="text1"/>
        </w:rPr>
        <w:t>21 prevention recommendations.</w:t>
      </w:r>
    </w:p>
    <w:p w14:paraId="7DCE4BBD" w14:textId="56641D6E" w:rsidR="00D62D83" w:rsidRPr="00DF3006" w:rsidRDefault="00D62D83" w:rsidP="00D62D83">
      <w:pPr>
        <w:rPr>
          <w:color w:val="414042" w:themeColor="text1"/>
        </w:rPr>
      </w:pPr>
      <w:r w:rsidRPr="00DF3006">
        <w:rPr>
          <w:color w:val="414042" w:themeColor="text1"/>
        </w:rPr>
        <w:t xml:space="preserve">We referred 3,057 complaints to other agencies for investigation; of those, we identified 119 matters as requiring oversight (monitoring and review). Our reviews of external investigations led us to make </w:t>
      </w:r>
      <w:r w:rsidR="007C79F2" w:rsidRPr="00DF3006">
        <w:rPr>
          <w:color w:val="414042" w:themeColor="text1"/>
        </w:rPr>
        <w:t>14</w:t>
      </w:r>
      <w:r w:rsidRPr="00DF3006">
        <w:rPr>
          <w:color w:val="414042" w:themeColor="text1"/>
        </w:rPr>
        <w:t xml:space="preserve"> prevention recommendations.</w:t>
      </w:r>
    </w:p>
    <w:p w14:paraId="20435F04" w14:textId="40DB9D27" w:rsidR="007C79F2" w:rsidRPr="00DF3006" w:rsidRDefault="00D62D83" w:rsidP="00D62D83">
      <w:pPr>
        <w:rPr>
          <w:color w:val="414042" w:themeColor="text1"/>
        </w:rPr>
      </w:pPr>
      <w:r w:rsidRPr="00DF3006">
        <w:rPr>
          <w:color w:val="414042" w:themeColor="text1"/>
        </w:rPr>
        <w:t xml:space="preserve">When deciding on where to invest our resources, statistics are not the only factor we </w:t>
      </w:r>
      <w:proofErr w:type="gramStart"/>
      <w:r w:rsidRPr="00DF3006">
        <w:rPr>
          <w:color w:val="414042" w:themeColor="text1"/>
        </w:rPr>
        <w:t>take into account</w:t>
      </w:r>
      <w:proofErr w:type="gramEnd"/>
      <w:r w:rsidRPr="00DF3006">
        <w:rPr>
          <w:color w:val="414042" w:themeColor="text1"/>
        </w:rPr>
        <w:t xml:space="preserve">. In line with the insights derived from the different stages of the complaints process, and </w:t>
      </w:r>
      <w:proofErr w:type="gramStart"/>
      <w:r w:rsidRPr="00DF3006">
        <w:rPr>
          <w:color w:val="414042" w:themeColor="text1"/>
        </w:rPr>
        <w:t>in order to</w:t>
      </w:r>
      <w:proofErr w:type="gramEnd"/>
      <w:r w:rsidRPr="00DF3006">
        <w:rPr>
          <w:color w:val="414042" w:themeColor="text1"/>
        </w:rPr>
        <w:t xml:space="preserve"> remain responsive to serious and emerging risks in the public sector, each year we review and may realign our areas of focus.</w:t>
      </w:r>
    </w:p>
    <w:p w14:paraId="6E3C911C" w14:textId="7D82DA88" w:rsidR="00D62D83" w:rsidRPr="00DF3006" w:rsidRDefault="00D62D83" w:rsidP="00D62D83">
      <w:pPr>
        <w:rPr>
          <w:color w:val="414042" w:themeColor="text1"/>
          <w:spacing w:val="-4"/>
        </w:rPr>
      </w:pPr>
      <w:r w:rsidRPr="00DF3006">
        <w:rPr>
          <w:color w:val="414042" w:themeColor="text1"/>
        </w:rPr>
        <w:t xml:space="preserve">In 2022–23, we expanded our focus area to include allegations involving improper influence. This area of focus seeks to identify third parties who influence, or attempt to influence, the way a UPA employee </w:t>
      </w:r>
      <w:proofErr w:type="gramStart"/>
      <w:r w:rsidRPr="00DF3006">
        <w:rPr>
          <w:color w:val="414042" w:themeColor="text1"/>
        </w:rPr>
        <w:t>makes a decision</w:t>
      </w:r>
      <w:proofErr w:type="gramEnd"/>
      <w:r w:rsidRPr="00DF3006">
        <w:rPr>
          <w:color w:val="414042" w:themeColor="text1"/>
        </w:rPr>
        <w:t>, exercises a discretion or undertakes an activity.</w:t>
      </w:r>
    </w:p>
    <w:bookmarkEnd w:id="1264"/>
    <w:p w14:paraId="01DD0D16" w14:textId="770BA309" w:rsidR="00DA23C2" w:rsidRPr="00DF3006" w:rsidRDefault="00730BD6" w:rsidP="00DA23C2">
      <w:pPr>
        <w:rPr>
          <w:color w:val="414042" w:themeColor="text1"/>
          <w:lang w:val="en-GB"/>
        </w:rPr>
      </w:pPr>
      <w:r w:rsidRPr="00DF3006">
        <w:rPr>
          <w:color w:val="414042" w:themeColor="text1"/>
        </w:rPr>
        <w:t xml:space="preserve">This year, </w:t>
      </w:r>
      <w:r w:rsidR="00F2595B" w:rsidRPr="00DF3006">
        <w:rPr>
          <w:color w:val="414042" w:themeColor="text1"/>
        </w:rPr>
        <w:t xml:space="preserve">we also invested considerable resources to continue </w:t>
      </w:r>
      <w:r w:rsidRPr="00DF3006">
        <w:rPr>
          <w:color w:val="414042" w:themeColor="text1"/>
          <w:szCs w:val="20"/>
        </w:rPr>
        <w:t>improving our service delivery, our capabilities, and our ways of working.</w:t>
      </w:r>
    </w:p>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14:paraId="184BB15A" w14:textId="77777777" w:rsidR="00DA23C2" w:rsidRPr="00DF3006" w:rsidRDefault="00DA23C2" w:rsidP="00DA23C2">
      <w:pPr>
        <w:rPr>
          <w:color w:val="414042" w:themeColor="text1"/>
        </w:rPr>
        <w:sectPr w:rsidR="00DA23C2" w:rsidRPr="00DF3006" w:rsidSect="00C77834">
          <w:headerReference w:type="even" r:id="rId198"/>
          <w:headerReference w:type="default" r:id="rId199"/>
          <w:headerReference w:type="first" r:id="rId200"/>
          <w:type w:val="continuous"/>
          <w:pgSz w:w="11906" w:h="16838" w:code="9"/>
          <w:pgMar w:top="2155" w:right="1134" w:bottom="964" w:left="1134" w:header="720" w:footer="284" w:gutter="0"/>
          <w:cols w:num="2" w:space="567"/>
          <w:noEndnote/>
          <w:docGrid w:linePitch="272"/>
        </w:sectPr>
      </w:pPr>
    </w:p>
    <w:bookmarkEnd w:id="1280"/>
    <w:p w14:paraId="2C86674B" w14:textId="77777777" w:rsidR="00770507" w:rsidRPr="00DF3006" w:rsidRDefault="00DA23C2" w:rsidP="00770507">
      <w:pPr>
        <w:pStyle w:val="Heading2"/>
      </w:pPr>
      <w:r w:rsidRPr="00DF3006">
        <w:lastRenderedPageBreak/>
        <w:t>Improper influence</w:t>
      </w:r>
    </w:p>
    <w:p w14:paraId="278B23F3" w14:textId="7CD257FC" w:rsidR="00DA23C2" w:rsidRPr="00DF3006" w:rsidRDefault="00DA23C2" w:rsidP="00770507">
      <w:pPr>
        <w:rPr>
          <w:rFonts w:ascii="Calibri" w:hAnsi="Calibri" w:cs="Calibri"/>
          <w:b/>
          <w:bCs/>
          <w:color w:val="414042" w:themeColor="text1"/>
          <w:spacing w:val="-6"/>
          <w:sz w:val="24"/>
          <w:szCs w:val="24"/>
          <w:lang w:val="en-US"/>
        </w:rPr>
      </w:pPr>
      <w:r w:rsidRPr="00DF3006">
        <w:rPr>
          <w:rFonts w:ascii="Calibri" w:hAnsi="Calibri" w:cs="Calibri"/>
          <w:b/>
          <w:bCs/>
          <w:color w:val="414042" w:themeColor="text1"/>
          <w:spacing w:val="-6"/>
          <w:sz w:val="24"/>
          <w:szCs w:val="24"/>
          <w:lang w:val="en-US"/>
        </w:rPr>
        <w:t xml:space="preserve">The public expects government decisions to be made in the best interests of the community, and that their state and local governments will be open to ideas and advocacy that enhance the quality of those decisions. For all views to be properly considered, access to decision-makers must be equitable and transparent. This will give the public confidence that </w:t>
      </w:r>
      <w:r w:rsidR="00D27350" w:rsidRPr="00DF3006">
        <w:rPr>
          <w:rFonts w:ascii="Calibri" w:hAnsi="Calibri" w:cs="Calibri"/>
          <w:b/>
          <w:bCs/>
          <w:color w:val="414042" w:themeColor="text1"/>
          <w:spacing w:val="-6"/>
          <w:sz w:val="24"/>
          <w:szCs w:val="24"/>
          <w:lang w:val="en-US"/>
        </w:rPr>
        <w:t xml:space="preserve">the outcome is not affected by </w:t>
      </w:r>
      <w:r w:rsidRPr="00DF3006">
        <w:rPr>
          <w:rFonts w:ascii="Calibri" w:hAnsi="Calibri" w:cs="Calibri"/>
          <w:b/>
          <w:bCs/>
          <w:color w:val="414042" w:themeColor="text1"/>
          <w:spacing w:val="-6"/>
          <w:sz w:val="24"/>
          <w:szCs w:val="24"/>
          <w:lang w:val="en-US"/>
        </w:rPr>
        <w:t xml:space="preserve">improper influence </w:t>
      </w:r>
      <w:r w:rsidR="00D27350" w:rsidRPr="00DF3006">
        <w:rPr>
          <w:rFonts w:ascii="Calibri" w:hAnsi="Calibri" w:cs="Calibri"/>
          <w:b/>
          <w:bCs/>
          <w:color w:val="414042" w:themeColor="text1"/>
          <w:spacing w:val="-6"/>
          <w:sz w:val="24"/>
          <w:szCs w:val="24"/>
          <w:lang w:val="en-US"/>
        </w:rPr>
        <w:t>and</w:t>
      </w:r>
      <w:r w:rsidRPr="00DF3006">
        <w:rPr>
          <w:rFonts w:ascii="Calibri" w:hAnsi="Calibri" w:cs="Calibri"/>
          <w:b/>
          <w:bCs/>
          <w:color w:val="414042" w:themeColor="text1"/>
          <w:spacing w:val="-6"/>
          <w:sz w:val="24"/>
          <w:szCs w:val="24"/>
          <w:lang w:val="en-US"/>
        </w:rPr>
        <w:t xml:space="preserve"> will reduce the potential risk of corruption.</w:t>
      </w:r>
    </w:p>
    <w:p w14:paraId="28AF7E6D" w14:textId="77777777" w:rsidR="00B329FD" w:rsidRPr="00DF3006" w:rsidRDefault="00B329FD" w:rsidP="00B329FD">
      <w:pPr>
        <w:rPr>
          <w:color w:val="414042" w:themeColor="text1"/>
        </w:rPr>
      </w:pPr>
    </w:p>
    <w:p w14:paraId="411F410C" w14:textId="1FEED6B4" w:rsidR="00B329FD" w:rsidRPr="00DF3006" w:rsidRDefault="00B329FD" w:rsidP="00E52781">
      <w:pPr>
        <w:pStyle w:val="Openingparagraph"/>
        <w:sectPr w:rsidR="00B329FD" w:rsidRPr="00DF3006" w:rsidSect="00C77834">
          <w:headerReference w:type="even" r:id="rId201"/>
          <w:headerReference w:type="default" r:id="rId202"/>
          <w:footerReference w:type="even" r:id="rId203"/>
          <w:headerReference w:type="first" r:id="rId204"/>
          <w:type w:val="continuous"/>
          <w:pgSz w:w="11906" w:h="16838" w:code="9"/>
          <w:pgMar w:top="2155" w:right="1134" w:bottom="964" w:left="1134" w:header="720" w:footer="284" w:gutter="0"/>
          <w:cols w:space="567"/>
          <w:noEndnote/>
          <w:docGrid w:linePitch="272"/>
        </w:sectPr>
      </w:pPr>
    </w:p>
    <w:p w14:paraId="4D708FF3" w14:textId="77777777" w:rsidR="00531F64" w:rsidRPr="00DF3006" w:rsidRDefault="00531F64" w:rsidP="00531F64">
      <w:pPr>
        <w:rPr>
          <w:color w:val="414042" w:themeColor="text1"/>
        </w:rPr>
      </w:pPr>
      <w:r w:rsidRPr="00DF3006">
        <w:rPr>
          <w:color w:val="414042" w:themeColor="text1"/>
        </w:rPr>
        <w:t>People can seek to influence government decisions in many ways, including through leveraging political and personal associations, political donations, providing gifts or benefits, or engaging the services of well-connected individuals or organisations such as registered lobbyists.</w:t>
      </w:r>
    </w:p>
    <w:p w14:paraId="724F3CBC" w14:textId="77777777" w:rsidR="00531F64" w:rsidRPr="00DF3006" w:rsidRDefault="00531F64" w:rsidP="00531F64">
      <w:pPr>
        <w:rPr>
          <w:rFonts w:ascii="Calibri" w:hAnsi="Calibri"/>
          <w:color w:val="414042" w:themeColor="text1"/>
        </w:rPr>
      </w:pPr>
      <w:r w:rsidRPr="00DF3006">
        <w:rPr>
          <w:color w:val="414042" w:themeColor="text1"/>
        </w:rPr>
        <w:t>Improper influence encompasses any allegation that involves a third party seeking to influence an outcome. Some examples include:</w:t>
      </w:r>
    </w:p>
    <w:p w14:paraId="64D9E1DE" w14:textId="77777777" w:rsidR="00531F64" w:rsidRPr="00DF3006" w:rsidRDefault="00531F64">
      <w:pPr>
        <w:pStyle w:val="Bullets"/>
        <w:rPr>
          <w:color w:val="414042" w:themeColor="text1"/>
        </w:rPr>
      </w:pPr>
      <w:r w:rsidRPr="00DF3006">
        <w:rPr>
          <w:color w:val="414042" w:themeColor="text1"/>
        </w:rPr>
        <w:t>A recruitment process is being undertaken by an appropriately constituted panel. The influencer is not a member of the panel, but is senior to the panel members, and seeks to apply pressure to ensure that a candidate of their preference is offered the position.</w:t>
      </w:r>
    </w:p>
    <w:p w14:paraId="15BAFF4E" w14:textId="69BE4681" w:rsidR="00531F64" w:rsidRPr="00DF3006" w:rsidRDefault="00531F64">
      <w:pPr>
        <w:pStyle w:val="Bullets"/>
        <w:rPr>
          <w:color w:val="414042" w:themeColor="text1"/>
        </w:rPr>
      </w:pPr>
      <w:r w:rsidRPr="00DF3006">
        <w:rPr>
          <w:color w:val="414042" w:themeColor="text1"/>
        </w:rPr>
        <w:t xml:space="preserve">A person develops a close association with a Minister ingratiating themselves through a series of activities over a long period of time. The activities building that relationship may be varied – giving of gifts, genuine friendship, doing favours – but the result is a close relationship. The person leverages that relationship, and the favourable view of them held by the Minister, to either further their own purposes or to assist other persons </w:t>
      </w:r>
      <w:r w:rsidR="006F3054" w:rsidRPr="00DF3006">
        <w:rPr>
          <w:color w:val="414042" w:themeColor="text1"/>
        </w:rPr>
        <w:t>gain</w:t>
      </w:r>
      <w:r w:rsidRPr="00DF3006">
        <w:rPr>
          <w:color w:val="414042" w:themeColor="text1"/>
        </w:rPr>
        <w:t xml:space="preserve"> access to the Minister for the furtherance of their purposes.</w:t>
      </w:r>
    </w:p>
    <w:p w14:paraId="76CBAB4F" w14:textId="2BC2CF25" w:rsidR="00DA23C2" w:rsidRPr="00DF3006" w:rsidRDefault="005C0F89" w:rsidP="00E6066A">
      <w:pPr>
        <w:pStyle w:val="Heading3"/>
      </w:pPr>
      <w:r w:rsidRPr="00DF3006">
        <w:br w:type="column"/>
      </w:r>
      <w:r w:rsidR="00DA23C2" w:rsidRPr="00DF3006">
        <w:t>Investigating corruption</w:t>
      </w:r>
    </w:p>
    <w:p w14:paraId="2B39BA68" w14:textId="36051295" w:rsidR="00531F64" w:rsidRPr="00DF3006" w:rsidRDefault="00531F64" w:rsidP="00531F64">
      <w:pPr>
        <w:rPr>
          <w:color w:val="414042" w:themeColor="text1"/>
        </w:rPr>
      </w:pPr>
      <w:bookmarkStart w:id="1281" w:name="_Hlk74233934"/>
      <w:r w:rsidRPr="00DF3006">
        <w:rPr>
          <w:color w:val="414042" w:themeColor="text1"/>
        </w:rPr>
        <w:t xml:space="preserve">In 2022–23, the CCC received 60 complaints relating to improper influence, which represented </w:t>
      </w:r>
      <w:r w:rsidR="000211DF" w:rsidRPr="00DF3006">
        <w:rPr>
          <w:color w:val="414042" w:themeColor="text1"/>
        </w:rPr>
        <w:t>two</w:t>
      </w:r>
      <w:r w:rsidRPr="00DF3006">
        <w:rPr>
          <w:color w:val="414042" w:themeColor="text1"/>
        </w:rPr>
        <w:t xml:space="preserve"> per cent of all complaints received during the year.</w:t>
      </w:r>
    </w:p>
    <w:p w14:paraId="60B0E871" w14:textId="77777777" w:rsidR="00531F64" w:rsidRPr="00DF3006" w:rsidRDefault="00531F64" w:rsidP="00531F64">
      <w:pPr>
        <w:rPr>
          <w:color w:val="414042" w:themeColor="text1"/>
        </w:rPr>
      </w:pPr>
      <w:r w:rsidRPr="00DF3006">
        <w:rPr>
          <w:color w:val="414042" w:themeColor="text1"/>
        </w:rPr>
        <w:t>A total of 181 allegations were received, with the most common allegation relating to the building of close relationships and the leveraging of those relationships to further personal purposes.</w:t>
      </w:r>
    </w:p>
    <w:p w14:paraId="7DD22DE2" w14:textId="3977077A" w:rsidR="00531F64" w:rsidRPr="00DF3006" w:rsidRDefault="00531F64" w:rsidP="00531F64">
      <w:pPr>
        <w:rPr>
          <w:color w:val="414042" w:themeColor="text1"/>
        </w:rPr>
      </w:pPr>
      <w:r w:rsidRPr="00DF3006">
        <w:rPr>
          <w:b/>
          <w:bCs/>
          <w:color w:val="414042" w:themeColor="text1"/>
        </w:rPr>
        <w:t xml:space="preserve">Table </w:t>
      </w:r>
      <w:r w:rsidR="00A2421F" w:rsidRPr="00DF3006">
        <w:rPr>
          <w:b/>
          <w:bCs/>
          <w:color w:val="414042" w:themeColor="text1"/>
        </w:rPr>
        <w:t>2</w:t>
      </w:r>
      <w:r w:rsidRPr="00DF3006">
        <w:rPr>
          <w:color w:val="414042" w:themeColor="text1"/>
        </w:rPr>
        <w:t xml:space="preserve"> shows the breakdown of investigative outcomes and referrals this year. In 2022–23, we finalised one investigation relating to improper influence.</w:t>
      </w:r>
    </w:p>
    <w:p w14:paraId="73800204" w14:textId="77777777" w:rsidR="00DA23C2" w:rsidRPr="00DF3006" w:rsidRDefault="00DA23C2" w:rsidP="00DA23C2">
      <w:pPr>
        <w:spacing w:before="120" w:after="0" w:line="260" w:lineRule="exact"/>
        <w:rPr>
          <w:color w:val="414042" w:themeColor="text1"/>
        </w:rPr>
      </w:pPr>
      <w:r w:rsidRPr="00DF3006">
        <w:rPr>
          <w:color w:val="414042" w:themeColor="text1"/>
        </w:rPr>
        <w:br w:type="page"/>
      </w:r>
    </w:p>
    <w:p w14:paraId="30AC3715" w14:textId="77777777" w:rsidR="00763BE2" w:rsidRPr="00DF3006" w:rsidRDefault="00763BE2" w:rsidP="00725123">
      <w:pPr>
        <w:rPr>
          <w:rFonts w:asciiTheme="minorHAnsi" w:eastAsia="Times New Roman" w:hAnsiTheme="minorHAnsi" w:cs="Times New Roman"/>
          <w:b/>
          <w:bCs/>
          <w:noProof/>
          <w:color w:val="414042" w:themeColor="text1"/>
          <w:sz w:val="28"/>
          <w:szCs w:val="28"/>
          <w:lang w:eastAsia="en-AU"/>
        </w:rPr>
        <w:sectPr w:rsidR="00763BE2" w:rsidRPr="00DF3006" w:rsidSect="00C77834">
          <w:headerReference w:type="even" r:id="rId205"/>
          <w:headerReference w:type="default" r:id="rId206"/>
          <w:headerReference w:type="first" r:id="rId207"/>
          <w:type w:val="continuous"/>
          <w:pgSz w:w="11906" w:h="16838" w:code="9"/>
          <w:pgMar w:top="2155" w:right="1134" w:bottom="964" w:left="1134" w:header="720" w:footer="284" w:gutter="0"/>
          <w:cols w:num="2" w:space="567"/>
          <w:noEndnote/>
          <w:docGrid w:linePitch="272"/>
        </w:sectPr>
      </w:pPr>
    </w:p>
    <w:p w14:paraId="2091DF55" w14:textId="2EB10CF0" w:rsidR="00DA23C2" w:rsidRPr="00DF3006" w:rsidRDefault="00DA23C2" w:rsidP="00E6066A">
      <w:pPr>
        <w:pStyle w:val="Heading3"/>
      </w:pPr>
      <w:r w:rsidRPr="00DF3006">
        <w:lastRenderedPageBreak/>
        <w:t>Oversight of agency investigations: reviews and monitoring</w:t>
      </w:r>
    </w:p>
    <w:bookmarkEnd w:id="1281"/>
    <w:p w14:paraId="5AF90889" w14:textId="158B71DE" w:rsidR="00425FE0" w:rsidRPr="00DF3006" w:rsidRDefault="00425FE0" w:rsidP="00425FE0">
      <w:pPr>
        <w:rPr>
          <w:color w:val="414042" w:themeColor="text1"/>
        </w:rPr>
      </w:pPr>
      <w:r w:rsidRPr="00DF3006">
        <w:rPr>
          <w:color w:val="414042" w:themeColor="text1"/>
        </w:rPr>
        <w:t xml:space="preserve">We commenced </w:t>
      </w:r>
      <w:r w:rsidR="000211DF" w:rsidRPr="00DF3006">
        <w:rPr>
          <w:color w:val="414042" w:themeColor="text1"/>
        </w:rPr>
        <w:t>seven</w:t>
      </w:r>
      <w:r w:rsidRPr="00DF3006">
        <w:rPr>
          <w:color w:val="414042" w:themeColor="text1"/>
        </w:rPr>
        <w:t xml:space="preserve"> reviews and finalised </w:t>
      </w:r>
      <w:r w:rsidR="000211DF" w:rsidRPr="00DF3006">
        <w:rPr>
          <w:color w:val="414042" w:themeColor="text1"/>
        </w:rPr>
        <w:t>seven</w:t>
      </w:r>
      <w:r w:rsidRPr="00DF3006">
        <w:rPr>
          <w:color w:val="414042" w:themeColor="text1"/>
        </w:rPr>
        <w:t xml:space="preserve"> reviews of matters dealt with by UPA</w:t>
      </w:r>
      <w:r w:rsidR="00BC6A87" w:rsidRPr="00DF3006">
        <w:rPr>
          <w:color w:val="414042" w:themeColor="text1"/>
        </w:rPr>
        <w:t>s</w:t>
      </w:r>
      <w:r w:rsidRPr="00DF3006">
        <w:rPr>
          <w:color w:val="414042" w:themeColor="text1"/>
        </w:rPr>
        <w:t xml:space="preserve"> subject to our monitoring function.</w:t>
      </w:r>
    </w:p>
    <w:p w14:paraId="2B7399BA" w14:textId="4B78564A" w:rsidR="00425FE0" w:rsidRPr="00DF3006" w:rsidRDefault="00425FE0" w:rsidP="00463FBB">
      <w:pPr>
        <w:pStyle w:val="Heading4b"/>
      </w:pPr>
      <w:bookmarkStart w:id="1282" w:name="_Toc102037955"/>
      <w:bookmarkStart w:id="1283" w:name="_Toc102038316"/>
      <w:bookmarkStart w:id="1284" w:name="_Toc102038677"/>
      <w:bookmarkStart w:id="1285" w:name="_Toc102039029"/>
      <w:bookmarkStart w:id="1286" w:name="_Toc102039378"/>
      <w:bookmarkStart w:id="1287" w:name="_Toc102039740"/>
      <w:bookmarkStart w:id="1288" w:name="_Toc102040097"/>
      <w:bookmarkStart w:id="1289" w:name="_Toc102040425"/>
      <w:bookmarkStart w:id="1290" w:name="_Toc102040759"/>
      <w:bookmarkStart w:id="1291" w:name="_Toc102041087"/>
      <w:bookmarkStart w:id="1292" w:name="_Toc102041416"/>
      <w:bookmarkStart w:id="1293" w:name="_Toc102041748"/>
      <w:bookmarkStart w:id="1294" w:name="_Toc102042075"/>
      <w:bookmarkStart w:id="1295" w:name="_Toc102042405"/>
      <w:bookmarkStart w:id="1296" w:name="_Toc102045535"/>
      <w:r w:rsidRPr="00DF3006">
        <w:t xml:space="preserve">Table </w:t>
      </w:r>
      <w:r w:rsidR="00A2421F" w:rsidRPr="00DF3006">
        <w:t>2</w:t>
      </w:r>
      <w:r w:rsidRPr="00DF3006">
        <w:t>: Improper influence — summary of outcomes 2022–23</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222"/>
        <w:gridCol w:w="1416"/>
      </w:tblGrid>
      <w:tr w:rsidR="00DF3006" w:rsidRPr="00DF3006" w14:paraId="080B7F85" w14:textId="77777777" w:rsidTr="00074501">
        <w:trPr>
          <w:cnfStyle w:val="100000000000" w:firstRow="1" w:lastRow="0" w:firstColumn="0" w:lastColumn="0" w:oddVBand="0" w:evenVBand="0" w:oddHBand="0" w:evenHBand="0" w:firstRowFirstColumn="0" w:firstRowLastColumn="0" w:lastRowFirstColumn="0" w:lastRowLastColumn="0"/>
        </w:trPr>
        <w:tc>
          <w:tcPr>
            <w:tcW w:w="8222" w:type="dxa"/>
            <w:vAlign w:val="top"/>
          </w:tcPr>
          <w:p w14:paraId="0CDD2CB2" w14:textId="77777777" w:rsidR="00425FE0" w:rsidRPr="00DF3006" w:rsidRDefault="00425FE0" w:rsidP="00074501">
            <w:pPr>
              <w:spacing w:after="0" w:line="260" w:lineRule="exact"/>
              <w:jc w:val="left"/>
              <w:rPr>
                <w:rFonts w:asciiTheme="minorHAnsi" w:hAnsiTheme="minorHAnsi" w:cstheme="minorHAnsi"/>
                <w:color w:val="414042" w:themeColor="text1"/>
              </w:rPr>
            </w:pPr>
            <w:r w:rsidRPr="00DF3006">
              <w:rPr>
                <w:rFonts w:asciiTheme="minorHAnsi" w:hAnsiTheme="minorHAnsi" w:cstheme="minorHAnsi"/>
                <w:color w:val="414042" w:themeColor="text1"/>
              </w:rPr>
              <w:t>Description</w:t>
            </w:r>
          </w:p>
        </w:tc>
        <w:tc>
          <w:tcPr>
            <w:tcW w:w="1416" w:type="dxa"/>
            <w:vAlign w:val="top"/>
          </w:tcPr>
          <w:p w14:paraId="1C085E04" w14:textId="77777777" w:rsidR="00425FE0" w:rsidRPr="00DF3006" w:rsidRDefault="00425FE0" w:rsidP="00074501">
            <w:pPr>
              <w:spacing w:after="0" w:line="260" w:lineRule="exact"/>
              <w:rPr>
                <w:rFonts w:asciiTheme="minorHAnsi" w:hAnsiTheme="minorHAnsi" w:cstheme="minorHAnsi"/>
                <w:color w:val="414042" w:themeColor="text1"/>
              </w:rPr>
            </w:pPr>
            <w:r w:rsidRPr="00DF3006">
              <w:rPr>
                <w:rFonts w:asciiTheme="minorHAnsi" w:hAnsiTheme="minorHAnsi" w:cstheme="minorHAnsi"/>
                <w:color w:val="414042" w:themeColor="text1"/>
              </w:rPr>
              <w:t>Number</w:t>
            </w:r>
          </w:p>
        </w:tc>
      </w:tr>
      <w:tr w:rsidR="00DF3006" w:rsidRPr="00DF3006" w14:paraId="7C6F0C4F" w14:textId="77777777" w:rsidTr="00CF61AD">
        <w:tc>
          <w:tcPr>
            <w:tcW w:w="8222" w:type="dxa"/>
            <w:shd w:val="clear" w:color="auto" w:fill="auto"/>
          </w:tcPr>
          <w:p w14:paraId="3C27D068" w14:textId="77777777" w:rsidR="00425FE0" w:rsidRPr="00DF3006" w:rsidRDefault="00425FE0" w:rsidP="00074501">
            <w:pPr>
              <w:spacing w:after="0" w:line="260" w:lineRule="exact"/>
              <w:rPr>
                <w:color w:val="414042" w:themeColor="text1"/>
              </w:rPr>
            </w:pPr>
            <w:r w:rsidRPr="00DF3006">
              <w:rPr>
                <w:color w:val="414042" w:themeColor="text1"/>
              </w:rPr>
              <w:t xml:space="preserve">Investigations commenced </w:t>
            </w:r>
          </w:p>
        </w:tc>
        <w:tc>
          <w:tcPr>
            <w:tcW w:w="1416" w:type="dxa"/>
            <w:shd w:val="clear" w:color="auto" w:fill="auto"/>
          </w:tcPr>
          <w:p w14:paraId="5E72FD5F" w14:textId="77777777" w:rsidR="00425FE0" w:rsidRPr="00DF3006" w:rsidRDefault="00425FE0" w:rsidP="00C404D9">
            <w:pPr>
              <w:spacing w:after="0" w:line="260" w:lineRule="exact"/>
              <w:jc w:val="center"/>
              <w:rPr>
                <w:color w:val="414042" w:themeColor="text1"/>
              </w:rPr>
            </w:pPr>
            <w:r w:rsidRPr="00DF3006">
              <w:rPr>
                <w:color w:val="414042" w:themeColor="text1"/>
              </w:rPr>
              <w:t>7</w:t>
            </w:r>
          </w:p>
        </w:tc>
      </w:tr>
      <w:tr w:rsidR="00DF3006" w:rsidRPr="00DF3006" w14:paraId="65999B4E" w14:textId="77777777" w:rsidTr="00CF61AD">
        <w:tc>
          <w:tcPr>
            <w:tcW w:w="8222" w:type="dxa"/>
            <w:shd w:val="clear" w:color="auto" w:fill="auto"/>
          </w:tcPr>
          <w:p w14:paraId="4B383AFE" w14:textId="77777777" w:rsidR="00425FE0" w:rsidRPr="00DF3006" w:rsidRDefault="00425FE0" w:rsidP="00074501">
            <w:pPr>
              <w:spacing w:after="0" w:line="260" w:lineRule="exact"/>
              <w:rPr>
                <w:color w:val="414042" w:themeColor="text1"/>
              </w:rPr>
            </w:pPr>
            <w:r w:rsidRPr="00DF3006">
              <w:rPr>
                <w:color w:val="414042" w:themeColor="text1"/>
              </w:rPr>
              <w:t>Investigations finalised</w:t>
            </w:r>
          </w:p>
        </w:tc>
        <w:tc>
          <w:tcPr>
            <w:tcW w:w="1416" w:type="dxa"/>
            <w:shd w:val="clear" w:color="auto" w:fill="auto"/>
          </w:tcPr>
          <w:p w14:paraId="473C0BB3" w14:textId="77777777" w:rsidR="00425FE0" w:rsidRPr="00DF3006" w:rsidRDefault="00425FE0" w:rsidP="00C404D9">
            <w:pPr>
              <w:spacing w:after="0" w:line="260" w:lineRule="exact"/>
              <w:jc w:val="center"/>
              <w:rPr>
                <w:color w:val="414042" w:themeColor="text1"/>
              </w:rPr>
            </w:pPr>
            <w:r w:rsidRPr="00DF3006">
              <w:rPr>
                <w:color w:val="414042" w:themeColor="text1"/>
              </w:rPr>
              <w:t>1</w:t>
            </w:r>
          </w:p>
        </w:tc>
      </w:tr>
      <w:tr w:rsidR="00DF3006" w:rsidRPr="00DF3006" w14:paraId="178BCA21" w14:textId="77777777" w:rsidTr="00CF61AD">
        <w:tc>
          <w:tcPr>
            <w:tcW w:w="8222" w:type="dxa"/>
            <w:shd w:val="clear" w:color="auto" w:fill="auto"/>
          </w:tcPr>
          <w:p w14:paraId="50E7F1E7" w14:textId="77777777" w:rsidR="00425FE0" w:rsidRPr="00DF3006" w:rsidRDefault="00425FE0" w:rsidP="00074501">
            <w:pPr>
              <w:spacing w:after="0" w:line="260" w:lineRule="exact"/>
              <w:rPr>
                <w:color w:val="414042" w:themeColor="text1"/>
              </w:rPr>
            </w:pPr>
            <w:r w:rsidRPr="00DF3006">
              <w:rPr>
                <w:color w:val="414042" w:themeColor="text1"/>
              </w:rPr>
              <w:t xml:space="preserve">People charged </w:t>
            </w:r>
          </w:p>
        </w:tc>
        <w:tc>
          <w:tcPr>
            <w:tcW w:w="1416" w:type="dxa"/>
            <w:shd w:val="clear" w:color="auto" w:fill="auto"/>
          </w:tcPr>
          <w:p w14:paraId="6D37FA57" w14:textId="77777777" w:rsidR="00425FE0" w:rsidRPr="00DF3006" w:rsidRDefault="00425FE0" w:rsidP="00C404D9">
            <w:pPr>
              <w:spacing w:after="0" w:line="260" w:lineRule="exact"/>
              <w:jc w:val="center"/>
              <w:rPr>
                <w:color w:val="414042" w:themeColor="text1"/>
              </w:rPr>
            </w:pPr>
            <w:r w:rsidRPr="00DF3006">
              <w:rPr>
                <w:color w:val="414042" w:themeColor="text1"/>
              </w:rPr>
              <w:t>0</w:t>
            </w:r>
          </w:p>
        </w:tc>
      </w:tr>
      <w:tr w:rsidR="00DF3006" w:rsidRPr="00DF3006" w14:paraId="532BB8AE" w14:textId="77777777" w:rsidTr="00CF61AD">
        <w:tc>
          <w:tcPr>
            <w:tcW w:w="8222" w:type="dxa"/>
            <w:shd w:val="clear" w:color="auto" w:fill="auto"/>
          </w:tcPr>
          <w:p w14:paraId="68D60477" w14:textId="77777777" w:rsidR="00425FE0" w:rsidRPr="00DF3006" w:rsidRDefault="00425FE0" w:rsidP="00074501">
            <w:pPr>
              <w:spacing w:after="0" w:line="260" w:lineRule="exact"/>
              <w:rPr>
                <w:color w:val="414042" w:themeColor="text1"/>
              </w:rPr>
            </w:pPr>
            <w:r w:rsidRPr="00DF3006">
              <w:rPr>
                <w:color w:val="414042" w:themeColor="text1"/>
              </w:rPr>
              <w:t>Criminal charges laid</w:t>
            </w:r>
          </w:p>
        </w:tc>
        <w:tc>
          <w:tcPr>
            <w:tcW w:w="1416" w:type="dxa"/>
            <w:shd w:val="clear" w:color="auto" w:fill="auto"/>
          </w:tcPr>
          <w:p w14:paraId="75763713" w14:textId="77777777" w:rsidR="00425FE0" w:rsidRPr="00DF3006" w:rsidRDefault="00425FE0" w:rsidP="00C404D9">
            <w:pPr>
              <w:spacing w:after="0" w:line="260" w:lineRule="exact"/>
              <w:jc w:val="center"/>
              <w:rPr>
                <w:color w:val="414042" w:themeColor="text1"/>
              </w:rPr>
            </w:pPr>
            <w:r w:rsidRPr="00DF3006">
              <w:rPr>
                <w:color w:val="414042" w:themeColor="text1"/>
              </w:rPr>
              <w:t>0</w:t>
            </w:r>
          </w:p>
        </w:tc>
      </w:tr>
      <w:tr w:rsidR="00DF3006" w:rsidRPr="00DF3006" w14:paraId="012A37CF" w14:textId="77777777" w:rsidTr="00CF61AD">
        <w:tc>
          <w:tcPr>
            <w:tcW w:w="8222" w:type="dxa"/>
            <w:shd w:val="clear" w:color="auto" w:fill="auto"/>
          </w:tcPr>
          <w:p w14:paraId="4F58D0E3" w14:textId="5962BCEF" w:rsidR="00425FE0" w:rsidRPr="00DF3006" w:rsidRDefault="00425FE0" w:rsidP="00074501">
            <w:pPr>
              <w:spacing w:after="0" w:line="260" w:lineRule="exact"/>
              <w:rPr>
                <w:color w:val="414042" w:themeColor="text1"/>
              </w:rPr>
            </w:pPr>
            <w:r w:rsidRPr="00DF3006">
              <w:rPr>
                <w:color w:val="414042" w:themeColor="text1"/>
              </w:rPr>
              <w:t xml:space="preserve">Referred to a </w:t>
            </w:r>
            <w:r w:rsidR="00BC6A87" w:rsidRPr="00DF3006">
              <w:rPr>
                <w:color w:val="414042" w:themeColor="text1"/>
              </w:rPr>
              <w:t>UPA</w:t>
            </w:r>
            <w:r w:rsidRPr="00DF3006">
              <w:rPr>
                <w:color w:val="414042" w:themeColor="text1"/>
              </w:rPr>
              <w:t xml:space="preserve"> as a disciplinary matter</w:t>
            </w:r>
          </w:p>
        </w:tc>
        <w:tc>
          <w:tcPr>
            <w:tcW w:w="1416" w:type="dxa"/>
            <w:shd w:val="clear" w:color="auto" w:fill="auto"/>
          </w:tcPr>
          <w:p w14:paraId="1D5280F7" w14:textId="77777777" w:rsidR="00425FE0" w:rsidRPr="00DF3006" w:rsidRDefault="00425FE0" w:rsidP="00C404D9">
            <w:pPr>
              <w:spacing w:after="0" w:line="260" w:lineRule="exact"/>
              <w:jc w:val="center"/>
              <w:rPr>
                <w:color w:val="414042" w:themeColor="text1"/>
              </w:rPr>
            </w:pPr>
            <w:r w:rsidRPr="00DF3006">
              <w:rPr>
                <w:color w:val="414042" w:themeColor="text1"/>
              </w:rPr>
              <w:t>0</w:t>
            </w:r>
          </w:p>
        </w:tc>
      </w:tr>
      <w:tr w:rsidR="00DF3006" w:rsidRPr="00DF3006" w14:paraId="6E3344B8" w14:textId="77777777" w:rsidTr="00CF61AD">
        <w:tc>
          <w:tcPr>
            <w:tcW w:w="8222" w:type="dxa"/>
            <w:shd w:val="clear" w:color="auto" w:fill="auto"/>
          </w:tcPr>
          <w:p w14:paraId="4BABBCE4" w14:textId="70EA42DE" w:rsidR="00425FE0" w:rsidRPr="00DF3006" w:rsidRDefault="00425FE0" w:rsidP="00074501">
            <w:pPr>
              <w:spacing w:after="0" w:line="260" w:lineRule="exact"/>
              <w:rPr>
                <w:color w:val="414042" w:themeColor="text1"/>
              </w:rPr>
            </w:pPr>
            <w:r w:rsidRPr="00DF3006">
              <w:rPr>
                <w:color w:val="414042" w:themeColor="text1"/>
              </w:rPr>
              <w:t xml:space="preserve">Referred to a </w:t>
            </w:r>
            <w:r w:rsidR="00BC6A87" w:rsidRPr="00DF3006">
              <w:rPr>
                <w:color w:val="414042" w:themeColor="text1"/>
              </w:rPr>
              <w:t>UPA</w:t>
            </w:r>
            <w:r w:rsidRPr="00DF3006">
              <w:rPr>
                <w:color w:val="414042" w:themeColor="text1"/>
              </w:rPr>
              <w:t xml:space="preserve"> to investigate subject to monitoring by the CCC</w:t>
            </w:r>
          </w:p>
        </w:tc>
        <w:tc>
          <w:tcPr>
            <w:tcW w:w="1416" w:type="dxa"/>
            <w:shd w:val="clear" w:color="auto" w:fill="auto"/>
          </w:tcPr>
          <w:p w14:paraId="167A559E" w14:textId="1BD77081" w:rsidR="00425FE0" w:rsidRPr="00DF3006" w:rsidRDefault="00425FE0" w:rsidP="00C404D9">
            <w:pPr>
              <w:spacing w:after="0" w:line="260" w:lineRule="exact"/>
              <w:jc w:val="center"/>
              <w:rPr>
                <w:color w:val="414042" w:themeColor="text1"/>
              </w:rPr>
            </w:pPr>
            <w:r w:rsidRPr="00DF3006">
              <w:rPr>
                <w:color w:val="414042" w:themeColor="text1"/>
              </w:rPr>
              <w:t>1</w:t>
            </w:r>
            <w:r w:rsidR="00723D38" w:rsidRPr="00DF3006">
              <w:rPr>
                <w:color w:val="414042" w:themeColor="text1"/>
              </w:rPr>
              <w:t>3</w:t>
            </w:r>
          </w:p>
        </w:tc>
      </w:tr>
      <w:tr w:rsidR="00DF3006" w:rsidRPr="00DF3006" w14:paraId="51986CAE" w14:textId="77777777" w:rsidTr="00CF61AD">
        <w:tc>
          <w:tcPr>
            <w:tcW w:w="8222" w:type="dxa"/>
            <w:shd w:val="clear" w:color="auto" w:fill="auto"/>
          </w:tcPr>
          <w:p w14:paraId="3FE03B22" w14:textId="77777777" w:rsidR="00425FE0" w:rsidRPr="00DF3006" w:rsidRDefault="00425FE0" w:rsidP="00074501">
            <w:pPr>
              <w:spacing w:after="0" w:line="260" w:lineRule="exact"/>
              <w:rPr>
                <w:color w:val="414042" w:themeColor="text1"/>
              </w:rPr>
            </w:pPr>
            <w:r w:rsidRPr="00DF3006">
              <w:rPr>
                <w:color w:val="414042" w:themeColor="text1"/>
              </w:rPr>
              <w:t>Reviews commenced</w:t>
            </w:r>
          </w:p>
        </w:tc>
        <w:tc>
          <w:tcPr>
            <w:tcW w:w="1416" w:type="dxa"/>
            <w:shd w:val="clear" w:color="auto" w:fill="auto"/>
          </w:tcPr>
          <w:p w14:paraId="18495D99" w14:textId="77777777" w:rsidR="00425FE0" w:rsidRPr="00DF3006" w:rsidRDefault="00425FE0" w:rsidP="00C404D9">
            <w:pPr>
              <w:spacing w:after="0" w:line="260" w:lineRule="exact"/>
              <w:jc w:val="center"/>
              <w:rPr>
                <w:color w:val="414042" w:themeColor="text1"/>
              </w:rPr>
            </w:pPr>
            <w:r w:rsidRPr="00DF3006">
              <w:rPr>
                <w:color w:val="414042" w:themeColor="text1"/>
              </w:rPr>
              <w:t>7</w:t>
            </w:r>
          </w:p>
        </w:tc>
      </w:tr>
      <w:tr w:rsidR="00DF3006" w:rsidRPr="00DF3006" w14:paraId="12CEFCFE" w14:textId="77777777" w:rsidTr="00CF61AD">
        <w:trPr>
          <w:trHeight w:val="57"/>
        </w:trPr>
        <w:tc>
          <w:tcPr>
            <w:tcW w:w="8222" w:type="dxa"/>
            <w:shd w:val="clear" w:color="auto" w:fill="auto"/>
          </w:tcPr>
          <w:p w14:paraId="5F8E2E98" w14:textId="77777777" w:rsidR="00425FE0" w:rsidRPr="00DF3006" w:rsidRDefault="00425FE0" w:rsidP="00074501">
            <w:pPr>
              <w:spacing w:after="0" w:line="260" w:lineRule="exact"/>
              <w:rPr>
                <w:color w:val="414042" w:themeColor="text1"/>
              </w:rPr>
            </w:pPr>
            <w:r w:rsidRPr="00DF3006">
              <w:rPr>
                <w:color w:val="414042" w:themeColor="text1"/>
              </w:rPr>
              <w:t>Reviews finalised</w:t>
            </w:r>
          </w:p>
        </w:tc>
        <w:tc>
          <w:tcPr>
            <w:tcW w:w="1416" w:type="dxa"/>
            <w:shd w:val="clear" w:color="auto" w:fill="auto"/>
          </w:tcPr>
          <w:p w14:paraId="6C9E5FD2" w14:textId="77777777" w:rsidR="00425FE0" w:rsidRPr="00DF3006" w:rsidRDefault="00425FE0" w:rsidP="00C404D9">
            <w:pPr>
              <w:spacing w:after="0" w:line="260" w:lineRule="exact"/>
              <w:jc w:val="center"/>
              <w:rPr>
                <w:color w:val="414042" w:themeColor="text1"/>
              </w:rPr>
            </w:pPr>
            <w:r w:rsidRPr="00DF3006">
              <w:rPr>
                <w:color w:val="414042" w:themeColor="text1"/>
              </w:rPr>
              <w:t>7</w:t>
            </w:r>
          </w:p>
        </w:tc>
      </w:tr>
      <w:tr w:rsidR="00DF3006" w:rsidRPr="00DF3006" w14:paraId="49C94302" w14:textId="77777777" w:rsidTr="00CF61AD">
        <w:tc>
          <w:tcPr>
            <w:tcW w:w="8222" w:type="dxa"/>
            <w:shd w:val="clear" w:color="auto" w:fill="auto"/>
          </w:tcPr>
          <w:p w14:paraId="29CC5FEF" w14:textId="77777777" w:rsidR="00425FE0" w:rsidRPr="00DF3006" w:rsidRDefault="00425FE0" w:rsidP="00074501">
            <w:pPr>
              <w:spacing w:after="0" w:line="260" w:lineRule="exact"/>
              <w:rPr>
                <w:color w:val="414042" w:themeColor="text1"/>
              </w:rPr>
            </w:pPr>
            <w:r w:rsidRPr="00DF3006">
              <w:rPr>
                <w:color w:val="414042" w:themeColor="text1"/>
              </w:rPr>
              <w:t>Prevention recommendations made</w:t>
            </w:r>
          </w:p>
        </w:tc>
        <w:tc>
          <w:tcPr>
            <w:tcW w:w="1416" w:type="dxa"/>
            <w:shd w:val="clear" w:color="auto" w:fill="auto"/>
          </w:tcPr>
          <w:p w14:paraId="20892E7D" w14:textId="77777777" w:rsidR="00425FE0" w:rsidRPr="00DF3006" w:rsidRDefault="00425FE0" w:rsidP="00C404D9">
            <w:pPr>
              <w:spacing w:after="0" w:line="260" w:lineRule="exact"/>
              <w:jc w:val="center"/>
              <w:rPr>
                <w:color w:val="414042" w:themeColor="text1"/>
              </w:rPr>
            </w:pPr>
            <w:r w:rsidRPr="00DF3006">
              <w:rPr>
                <w:color w:val="414042" w:themeColor="text1"/>
              </w:rPr>
              <w:t>0</w:t>
            </w:r>
          </w:p>
        </w:tc>
      </w:tr>
    </w:tbl>
    <w:p w14:paraId="6318F353" w14:textId="77777777" w:rsidR="00425FE0" w:rsidRPr="00DF3006" w:rsidRDefault="00425FE0" w:rsidP="000008EC">
      <w:pPr>
        <w:rPr>
          <w:color w:val="414042" w:themeColor="text1"/>
        </w:rPr>
      </w:pPr>
    </w:p>
    <w:p w14:paraId="711E7A65" w14:textId="30DEE445" w:rsidR="000008EC" w:rsidRPr="00DF3006" w:rsidRDefault="008741E9" w:rsidP="000008EC">
      <w:pPr>
        <w:rPr>
          <w:color w:val="414042" w:themeColor="text1"/>
        </w:rPr>
        <w:sectPr w:rsidR="000008EC" w:rsidRPr="00DF3006" w:rsidSect="00C77834">
          <w:headerReference w:type="even" r:id="rId208"/>
          <w:headerReference w:type="default" r:id="rId209"/>
          <w:footerReference w:type="even" r:id="rId210"/>
          <w:headerReference w:type="first" r:id="rId211"/>
          <w:pgSz w:w="11906" w:h="16838" w:code="9"/>
          <w:pgMar w:top="2155" w:right="1134" w:bottom="964" w:left="1134" w:header="720" w:footer="284" w:gutter="0"/>
          <w:cols w:space="567"/>
          <w:noEndnote/>
          <w:docGrid w:linePitch="272"/>
        </w:sectPr>
      </w:pPr>
      <w:r>
        <w:rPr>
          <w:color w:val="414042" w:themeColor="text1"/>
        </w:rPr>
        <w:br/>
      </w:r>
    </w:p>
    <w:p w14:paraId="394A6456" w14:textId="5C81ED41" w:rsidR="00DA23C2" w:rsidRPr="00DF3006" w:rsidRDefault="00DA23C2" w:rsidP="00E6066A">
      <w:pPr>
        <w:pStyle w:val="Heading3"/>
      </w:pPr>
      <w:r w:rsidRPr="00DF3006">
        <w:t>Preventing corruption</w:t>
      </w:r>
    </w:p>
    <w:p w14:paraId="75F80397" w14:textId="77777777" w:rsidR="00DA23C2" w:rsidRPr="00DF3006" w:rsidRDefault="00DA23C2" w:rsidP="00463FBB">
      <w:pPr>
        <w:pStyle w:val="Heading4"/>
      </w:pPr>
      <w:r w:rsidRPr="00DF3006">
        <w:t>Targeting significant corruption risks: lobbying and influence</w:t>
      </w:r>
    </w:p>
    <w:p w14:paraId="7C1B2DBB" w14:textId="77777777" w:rsidR="00732488" w:rsidRPr="00DF3006" w:rsidRDefault="00763BE2" w:rsidP="00732488">
      <w:pPr>
        <w:rPr>
          <w:color w:val="414042" w:themeColor="text1"/>
        </w:rPr>
      </w:pPr>
      <w:r w:rsidRPr="00DF3006">
        <w:rPr>
          <w:color w:val="414042" w:themeColor="text1"/>
        </w:rPr>
        <w:t xml:space="preserve">Work continued throughout 2022–23 in relation to possible corruption risks surrounding lobbying and influence. </w:t>
      </w:r>
      <w:r w:rsidR="00DA23C2" w:rsidRPr="00DF3006">
        <w:rPr>
          <w:color w:val="414042" w:themeColor="text1"/>
        </w:rPr>
        <w:t xml:space="preserve">In June 2022 we released an issues paper entitled </w:t>
      </w:r>
      <w:r w:rsidR="00DA23C2" w:rsidRPr="00DF3006">
        <w:rPr>
          <w:i/>
          <w:iCs/>
          <w:color w:val="414042" w:themeColor="text1"/>
        </w:rPr>
        <w:t>Influencing practices in Queensland: Have your say</w:t>
      </w:r>
      <w:r w:rsidR="00DA23C2" w:rsidRPr="00DF3006">
        <w:rPr>
          <w:color w:val="414042" w:themeColor="text1"/>
        </w:rPr>
        <w:t>, with a call for public submissions on this topic. We received 54 submissions from a broad range of individuals and organisations.</w:t>
      </w:r>
    </w:p>
    <w:p w14:paraId="5086C6B1" w14:textId="7400B27F" w:rsidR="00DA23C2" w:rsidRPr="00DF3006" w:rsidRDefault="00DA23C2" w:rsidP="00732488">
      <w:pPr>
        <w:rPr>
          <w:color w:val="414042" w:themeColor="text1"/>
        </w:rPr>
      </w:pPr>
      <w:r w:rsidRPr="00DF3006">
        <w:rPr>
          <w:color w:val="414042" w:themeColor="text1"/>
        </w:rPr>
        <w:t xml:space="preserve">On 30 January 2023, we published a corruption prevention report summarising </w:t>
      </w:r>
      <w:r w:rsidR="00095DAF" w:rsidRPr="00DF3006">
        <w:rPr>
          <w:color w:val="414042" w:themeColor="text1"/>
        </w:rPr>
        <w:t>insights into</w:t>
      </w:r>
      <w:r w:rsidR="00981A7E" w:rsidRPr="00DF3006">
        <w:rPr>
          <w:color w:val="414042" w:themeColor="text1"/>
        </w:rPr>
        <w:t xml:space="preserve"> the risks associated with </w:t>
      </w:r>
      <w:r w:rsidRPr="00DF3006">
        <w:rPr>
          <w:color w:val="414042" w:themeColor="text1"/>
        </w:rPr>
        <w:t>influencing practices. The report discusses key themes and highlights areas of continuing risk and opportunities to improve confidence and transparency across state and local government decision-making.</w:t>
      </w:r>
      <w:r w:rsidR="00732488" w:rsidRPr="00DF3006">
        <w:rPr>
          <w:color w:val="414042" w:themeColor="text1"/>
        </w:rPr>
        <w:br w:type="column"/>
      </w:r>
      <w:r w:rsidRPr="00DF3006">
        <w:rPr>
          <w:color w:val="414042" w:themeColor="text1"/>
        </w:rPr>
        <w:t xml:space="preserve">Seven reforms </w:t>
      </w:r>
      <w:r w:rsidR="00981A7E" w:rsidRPr="00DF3006">
        <w:rPr>
          <w:color w:val="414042" w:themeColor="text1"/>
        </w:rPr>
        <w:t>were</w:t>
      </w:r>
      <w:r w:rsidRPr="00DF3006">
        <w:rPr>
          <w:color w:val="414042" w:themeColor="text1"/>
        </w:rPr>
        <w:t xml:space="preserve"> proposed to minimise the risk of improper influence:</w:t>
      </w:r>
    </w:p>
    <w:p w14:paraId="5D81563B" w14:textId="2E946498" w:rsidR="00DA23C2" w:rsidRPr="00DF3006" w:rsidRDefault="00DA23C2">
      <w:pPr>
        <w:pStyle w:val="ListParagraph"/>
        <w:numPr>
          <w:ilvl w:val="0"/>
          <w:numId w:val="56"/>
        </w:numPr>
        <w:rPr>
          <w:color w:val="414042" w:themeColor="text1"/>
        </w:rPr>
      </w:pPr>
      <w:r w:rsidRPr="00DF3006">
        <w:rPr>
          <w:color w:val="414042" w:themeColor="text1"/>
        </w:rPr>
        <w:t xml:space="preserve">amend definitions to capture all types of </w:t>
      </w:r>
      <w:proofErr w:type="gramStart"/>
      <w:r w:rsidRPr="00DF3006">
        <w:rPr>
          <w:color w:val="414042" w:themeColor="text1"/>
        </w:rPr>
        <w:t>influence</w:t>
      </w:r>
      <w:proofErr w:type="gramEnd"/>
    </w:p>
    <w:p w14:paraId="45D5FEC8" w14:textId="77777777" w:rsidR="00DA23C2" w:rsidRPr="00DF3006" w:rsidRDefault="00DA23C2">
      <w:pPr>
        <w:pStyle w:val="ListParagraph"/>
        <w:numPr>
          <w:ilvl w:val="0"/>
          <w:numId w:val="56"/>
        </w:numPr>
        <w:rPr>
          <w:color w:val="414042" w:themeColor="text1"/>
        </w:rPr>
      </w:pPr>
      <w:r w:rsidRPr="00DF3006">
        <w:rPr>
          <w:color w:val="414042" w:themeColor="text1"/>
        </w:rPr>
        <w:t xml:space="preserve">ensure greater visibility of influence at state and local government </w:t>
      </w:r>
      <w:proofErr w:type="gramStart"/>
      <w:r w:rsidRPr="00DF3006">
        <w:rPr>
          <w:color w:val="414042" w:themeColor="text1"/>
        </w:rPr>
        <w:t>level</w:t>
      </w:r>
      <w:proofErr w:type="gramEnd"/>
    </w:p>
    <w:p w14:paraId="3D9C2755" w14:textId="77777777" w:rsidR="00DA23C2" w:rsidRPr="00DF3006" w:rsidRDefault="00DA23C2">
      <w:pPr>
        <w:pStyle w:val="ListParagraph"/>
        <w:numPr>
          <w:ilvl w:val="0"/>
          <w:numId w:val="56"/>
        </w:numPr>
        <w:rPr>
          <w:color w:val="414042" w:themeColor="text1"/>
        </w:rPr>
      </w:pPr>
      <w:r w:rsidRPr="00DF3006">
        <w:rPr>
          <w:color w:val="414042" w:themeColor="text1"/>
        </w:rPr>
        <w:t xml:space="preserve">introduce better controls over the influence of former government or Opposition </w:t>
      </w:r>
      <w:proofErr w:type="gramStart"/>
      <w:r w:rsidRPr="00DF3006">
        <w:rPr>
          <w:color w:val="414042" w:themeColor="text1"/>
        </w:rPr>
        <w:t>representatives</w:t>
      </w:r>
      <w:proofErr w:type="gramEnd"/>
    </w:p>
    <w:p w14:paraId="2A9DB834" w14:textId="77777777" w:rsidR="00DA23C2" w:rsidRPr="00DF3006" w:rsidRDefault="00DA23C2">
      <w:pPr>
        <w:pStyle w:val="ListParagraph"/>
        <w:numPr>
          <w:ilvl w:val="0"/>
          <w:numId w:val="56"/>
        </w:numPr>
        <w:rPr>
          <w:color w:val="414042" w:themeColor="text1"/>
        </w:rPr>
      </w:pPr>
      <w:r w:rsidRPr="00DF3006">
        <w:rPr>
          <w:color w:val="414042" w:themeColor="text1"/>
        </w:rPr>
        <w:t>audit compliance with post-separation restrictions</w:t>
      </w:r>
    </w:p>
    <w:p w14:paraId="7FB071F0" w14:textId="77777777" w:rsidR="00DA23C2" w:rsidRPr="00DF3006" w:rsidRDefault="00DA23C2">
      <w:pPr>
        <w:pStyle w:val="ListParagraph"/>
        <w:numPr>
          <w:ilvl w:val="0"/>
          <w:numId w:val="56"/>
        </w:numPr>
        <w:rPr>
          <w:color w:val="414042" w:themeColor="text1"/>
        </w:rPr>
      </w:pPr>
      <w:r w:rsidRPr="00DF3006">
        <w:rPr>
          <w:color w:val="414042" w:themeColor="text1"/>
        </w:rPr>
        <w:t xml:space="preserve">introduce a dual reporting </w:t>
      </w:r>
      <w:proofErr w:type="gramStart"/>
      <w:r w:rsidRPr="00DF3006">
        <w:rPr>
          <w:color w:val="414042" w:themeColor="text1"/>
        </w:rPr>
        <w:t>platform</w:t>
      </w:r>
      <w:proofErr w:type="gramEnd"/>
    </w:p>
    <w:p w14:paraId="2F0FF63B" w14:textId="731B0C52" w:rsidR="00DA23C2" w:rsidRPr="00DF3006" w:rsidRDefault="00DA23C2">
      <w:pPr>
        <w:pStyle w:val="ListParagraph"/>
        <w:numPr>
          <w:ilvl w:val="0"/>
          <w:numId w:val="56"/>
        </w:numPr>
        <w:rPr>
          <w:color w:val="414042" w:themeColor="text1"/>
        </w:rPr>
      </w:pPr>
      <w:r w:rsidRPr="00DF3006">
        <w:rPr>
          <w:color w:val="414042" w:themeColor="text1"/>
        </w:rPr>
        <w:t>manage the risks associated with government board appointments, and</w:t>
      </w:r>
    </w:p>
    <w:p w14:paraId="1265FA98" w14:textId="7D9AB2C1" w:rsidR="00DA23C2" w:rsidRPr="00DF3006" w:rsidRDefault="00DA23C2">
      <w:pPr>
        <w:pStyle w:val="ListParagraph"/>
        <w:numPr>
          <w:ilvl w:val="0"/>
          <w:numId w:val="56"/>
        </w:numPr>
        <w:rPr>
          <w:color w:val="414042" w:themeColor="text1"/>
        </w:rPr>
      </w:pPr>
      <w:r w:rsidRPr="00DF3006">
        <w:rPr>
          <w:color w:val="414042" w:themeColor="text1"/>
        </w:rPr>
        <w:t>deliver education about transparency requirements an</w:t>
      </w:r>
      <w:r w:rsidR="00725123" w:rsidRPr="00DF3006">
        <w:rPr>
          <w:color w:val="414042" w:themeColor="text1"/>
        </w:rPr>
        <w:t>d</w:t>
      </w:r>
      <w:r w:rsidRPr="00DF3006">
        <w:rPr>
          <w:color w:val="414042" w:themeColor="text1"/>
        </w:rPr>
        <w:t xml:space="preserve"> how to prevent improper influence.</w:t>
      </w:r>
    </w:p>
    <w:p w14:paraId="6D4B65CB" w14:textId="28E045F8" w:rsidR="00DA23C2" w:rsidRPr="00DF3006" w:rsidRDefault="00DA23C2" w:rsidP="00DA23C2">
      <w:pPr>
        <w:rPr>
          <w:color w:val="414042" w:themeColor="text1"/>
        </w:rPr>
      </w:pPr>
      <w:r w:rsidRPr="00DF3006">
        <w:rPr>
          <w:color w:val="414042" w:themeColor="text1"/>
        </w:rPr>
        <w:t>To accompany the release of the report, we wrote to all public sector agencies advising them of this report and encouraging them to share it with their colleagues to raise awareness across the public sector of what could be considered “improper” attempts to influence decision-making.</w:t>
      </w:r>
    </w:p>
    <w:p w14:paraId="16084E9A" w14:textId="3BDBF84C" w:rsidR="00763BE2" w:rsidRPr="00DF3006" w:rsidRDefault="00DA23C2" w:rsidP="009B2566">
      <w:pPr>
        <w:rPr>
          <w:color w:val="414042" w:themeColor="text1"/>
        </w:rPr>
      </w:pPr>
      <w:r w:rsidRPr="00DF3006">
        <w:rPr>
          <w:color w:val="414042" w:themeColor="text1"/>
        </w:rPr>
        <w:t xml:space="preserve">The Queensland Government advised it will consider the CCC’s report in the context of implementing outstanding recommendations of the </w:t>
      </w:r>
      <w:r w:rsidRPr="00DF3006">
        <w:rPr>
          <w:i/>
          <w:iCs/>
          <w:color w:val="414042" w:themeColor="text1"/>
        </w:rPr>
        <w:t xml:space="preserve">Coaldrake </w:t>
      </w:r>
      <w:r w:rsidR="009B2566" w:rsidRPr="00DF3006">
        <w:rPr>
          <w:i/>
          <w:iCs/>
          <w:color w:val="414042" w:themeColor="text1"/>
        </w:rPr>
        <w:t>Review</w:t>
      </w:r>
      <w:r w:rsidR="009B2566" w:rsidRPr="00DF3006">
        <w:rPr>
          <w:color w:val="414042" w:themeColor="text1"/>
        </w:rPr>
        <w:t xml:space="preserve"> </w:t>
      </w:r>
      <w:r w:rsidRPr="00DF3006">
        <w:rPr>
          <w:color w:val="414042" w:themeColor="text1"/>
        </w:rPr>
        <w:t xml:space="preserve">and </w:t>
      </w:r>
      <w:r w:rsidR="009B2566" w:rsidRPr="00DF3006">
        <w:rPr>
          <w:i/>
          <w:iCs/>
          <w:color w:val="414042" w:themeColor="text1"/>
        </w:rPr>
        <w:t xml:space="preserve">Strategic Review of the Integrity </w:t>
      </w:r>
      <w:r w:rsidR="00E21F45" w:rsidRPr="00DF3006">
        <w:rPr>
          <w:i/>
          <w:iCs/>
          <w:color w:val="414042" w:themeColor="text1"/>
        </w:rPr>
        <w:t>Commissioner’s Functions</w:t>
      </w:r>
      <w:r w:rsidR="00E21F45" w:rsidRPr="00DF3006">
        <w:rPr>
          <w:color w:val="414042" w:themeColor="text1"/>
        </w:rPr>
        <w:t xml:space="preserve"> </w:t>
      </w:r>
      <w:r w:rsidR="009B2566" w:rsidRPr="00DF3006">
        <w:rPr>
          <w:color w:val="414042" w:themeColor="text1"/>
        </w:rPr>
        <w:t>(</w:t>
      </w:r>
      <w:proofErr w:type="spellStart"/>
      <w:r w:rsidRPr="00DF3006">
        <w:rPr>
          <w:i/>
          <w:iCs/>
          <w:color w:val="414042" w:themeColor="text1"/>
        </w:rPr>
        <w:t>Yearbury</w:t>
      </w:r>
      <w:proofErr w:type="spellEnd"/>
      <w:r w:rsidR="009B2566" w:rsidRPr="00DF3006">
        <w:rPr>
          <w:i/>
          <w:iCs/>
          <w:color w:val="414042" w:themeColor="text1"/>
        </w:rPr>
        <w:t xml:space="preserve"> Review</w:t>
      </w:r>
      <w:r w:rsidR="009B2566" w:rsidRPr="00DF3006">
        <w:rPr>
          <w:color w:val="414042" w:themeColor="text1"/>
        </w:rPr>
        <w:t>)</w:t>
      </w:r>
      <w:r w:rsidRPr="00DF3006">
        <w:rPr>
          <w:color w:val="414042" w:themeColor="text1"/>
        </w:rPr>
        <w:t xml:space="preserve"> reports.</w:t>
      </w:r>
    </w:p>
    <w:p w14:paraId="6995E950" w14:textId="77777777" w:rsidR="00763BE2" w:rsidRPr="00DF3006" w:rsidRDefault="00763BE2" w:rsidP="009B2566">
      <w:pPr>
        <w:rPr>
          <w:color w:val="414042" w:themeColor="text1"/>
        </w:rPr>
      </w:pPr>
    </w:p>
    <w:p w14:paraId="60A9D3FC" w14:textId="57BC304D" w:rsidR="00763BE2" w:rsidRPr="00DF3006" w:rsidRDefault="00763BE2" w:rsidP="009B2566">
      <w:pPr>
        <w:rPr>
          <w:color w:val="414042" w:themeColor="text1"/>
        </w:rPr>
        <w:sectPr w:rsidR="00763BE2" w:rsidRPr="00DF3006" w:rsidSect="00C77834">
          <w:headerReference w:type="even" r:id="rId212"/>
          <w:headerReference w:type="default" r:id="rId213"/>
          <w:headerReference w:type="first" r:id="rId214"/>
          <w:type w:val="continuous"/>
          <w:pgSz w:w="11906" w:h="16838" w:code="9"/>
          <w:pgMar w:top="2155" w:right="1134" w:bottom="964" w:left="1134" w:header="720" w:footer="284" w:gutter="0"/>
          <w:cols w:num="2" w:space="567"/>
          <w:noEndnote/>
          <w:docGrid w:linePitch="272"/>
        </w:sectPr>
      </w:pPr>
    </w:p>
    <w:p w14:paraId="6E3657DD" w14:textId="77777777" w:rsidR="00DA23C2" w:rsidRPr="00DF3006" w:rsidRDefault="00DA23C2" w:rsidP="008E5ECB">
      <w:pPr>
        <w:pStyle w:val="Heading2"/>
      </w:pPr>
      <w:bookmarkStart w:id="1297" w:name="_Toc102037960"/>
      <w:bookmarkStart w:id="1298" w:name="_Toc102038321"/>
      <w:bookmarkStart w:id="1299" w:name="_Toc102038682"/>
      <w:bookmarkStart w:id="1300" w:name="_Toc102039034"/>
      <w:bookmarkStart w:id="1301" w:name="_Toc102039383"/>
      <w:bookmarkStart w:id="1302" w:name="_Toc102039745"/>
      <w:bookmarkStart w:id="1303" w:name="_Toc102040102"/>
      <w:bookmarkStart w:id="1304" w:name="_Toc102040430"/>
      <w:bookmarkStart w:id="1305" w:name="_Toc102040764"/>
      <w:bookmarkStart w:id="1306" w:name="_Toc102041092"/>
      <w:bookmarkStart w:id="1307" w:name="_Toc102041421"/>
      <w:bookmarkStart w:id="1308" w:name="_Toc102041753"/>
      <w:bookmarkStart w:id="1309" w:name="_Toc102042080"/>
      <w:bookmarkStart w:id="1310" w:name="_Toc102042410"/>
      <w:bookmarkStart w:id="1311" w:name="_Toc102045540"/>
      <w:r w:rsidRPr="00DF3006">
        <w:lastRenderedPageBreak/>
        <w:t>Abuse of authority</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5D5BA03" w14:textId="77777777" w:rsidR="00DA23C2" w:rsidRPr="00DF3006" w:rsidRDefault="00DA23C2" w:rsidP="00DA23C2">
      <w:pPr>
        <w:rPr>
          <w:color w:val="414042" w:themeColor="text1"/>
        </w:rPr>
        <w:sectPr w:rsidR="00DA23C2" w:rsidRPr="00DF3006" w:rsidSect="00C77834">
          <w:headerReference w:type="even" r:id="rId215"/>
          <w:headerReference w:type="default" r:id="rId216"/>
          <w:headerReference w:type="first" r:id="rId217"/>
          <w:type w:val="continuous"/>
          <w:pgSz w:w="11906" w:h="16838" w:code="9"/>
          <w:pgMar w:top="2155" w:right="1134" w:bottom="964" w:left="1134" w:header="720" w:footer="284" w:gutter="0"/>
          <w:cols w:space="567"/>
          <w:noEndnote/>
          <w:docGrid w:linePitch="272"/>
        </w:sectPr>
      </w:pPr>
      <w:bookmarkStart w:id="1312" w:name="_Hlk74228851"/>
    </w:p>
    <w:p w14:paraId="634DE153" w14:textId="0DA5306B" w:rsidR="00DA23C2" w:rsidRPr="00DF3006" w:rsidRDefault="00DA23C2" w:rsidP="00E52781">
      <w:pPr>
        <w:pStyle w:val="Openingparagraph"/>
      </w:pPr>
      <w:bookmarkStart w:id="1313" w:name="_Toc102037965"/>
      <w:bookmarkStart w:id="1314" w:name="_Toc102038326"/>
      <w:bookmarkStart w:id="1315" w:name="_Toc102038687"/>
      <w:bookmarkStart w:id="1316" w:name="_Toc102039039"/>
      <w:bookmarkStart w:id="1317" w:name="_Toc102039388"/>
      <w:bookmarkStart w:id="1318" w:name="_Toc102039750"/>
      <w:bookmarkStart w:id="1319" w:name="_Toc102040107"/>
      <w:bookmarkStart w:id="1320" w:name="_Toc102040435"/>
      <w:bookmarkStart w:id="1321" w:name="_Toc102040769"/>
      <w:bookmarkStart w:id="1322" w:name="_Toc102041097"/>
      <w:bookmarkStart w:id="1323" w:name="_Toc102041426"/>
      <w:bookmarkStart w:id="1324" w:name="_Toc102041758"/>
      <w:bookmarkStart w:id="1325" w:name="_Toc102042085"/>
      <w:bookmarkStart w:id="1326" w:name="_Toc102042415"/>
      <w:bookmarkStart w:id="1327" w:name="_Toc102045545"/>
      <w:bookmarkStart w:id="1328" w:name="_Hlk74231518"/>
      <w:bookmarkEnd w:id="1312"/>
      <w:r w:rsidRPr="00DF3006">
        <w:t>Abuse of authority can manifest in many ways – attempts to bypass merit-based processes and improperly influence recruitment or procurement decisions, failure to declare a significant conflict of interest, and workplace bullying. Often closely allied to the exploitation of public resources (see</w:t>
      </w:r>
      <w:r w:rsidR="00BF2923" w:rsidRPr="00DF3006">
        <w:t> </w:t>
      </w:r>
      <w:r w:rsidRPr="00DF3006">
        <w:t>pages</w:t>
      </w:r>
      <w:r w:rsidR="00725123" w:rsidRPr="00DF3006">
        <w:t> </w:t>
      </w:r>
      <w:r w:rsidR="00BA05C1" w:rsidRPr="00DF3006">
        <w:t>45</w:t>
      </w:r>
      <w:r w:rsidRPr="00DF3006">
        <w:t>–</w:t>
      </w:r>
      <w:r w:rsidR="00BA05C1" w:rsidRPr="00DF3006">
        <w:t>46</w:t>
      </w:r>
      <w:r w:rsidRPr="00DF3006">
        <w:t xml:space="preserve">), abuse of authority can result in biased decision-making, unsuitable appointments, funding being inappropriately </w:t>
      </w:r>
      <w:proofErr w:type="gramStart"/>
      <w:r w:rsidRPr="00DF3006">
        <w:t>allocated</w:t>
      </w:r>
      <w:proofErr w:type="gramEnd"/>
      <w:r w:rsidRPr="00DF3006">
        <w:t xml:space="preserve"> and public money wasted.</w:t>
      </w:r>
    </w:p>
    <w:p w14:paraId="06C9041C" w14:textId="77777777" w:rsidR="00B329FD" w:rsidRPr="00DF3006" w:rsidRDefault="00B329FD" w:rsidP="00B329FD">
      <w:pPr>
        <w:rPr>
          <w:color w:val="414042" w:themeColor="text1"/>
        </w:rPr>
      </w:pPr>
    </w:p>
    <w:p w14:paraId="3DCA1DFF" w14:textId="717DEBB9" w:rsidR="00B329FD" w:rsidRPr="00DF3006" w:rsidRDefault="00B329FD" w:rsidP="00B329FD">
      <w:pPr>
        <w:rPr>
          <w:color w:val="414042" w:themeColor="text1"/>
        </w:rPr>
        <w:sectPr w:rsidR="00B329FD" w:rsidRPr="00DF3006" w:rsidSect="00C77834">
          <w:headerReference w:type="even" r:id="rId218"/>
          <w:headerReference w:type="default" r:id="rId219"/>
          <w:footerReference w:type="even" r:id="rId220"/>
          <w:headerReference w:type="first" r:id="rId221"/>
          <w:type w:val="continuous"/>
          <w:pgSz w:w="11906" w:h="16838" w:code="9"/>
          <w:pgMar w:top="2155" w:right="1134" w:bottom="964" w:left="1134" w:header="720" w:footer="284" w:gutter="0"/>
          <w:cols w:space="567"/>
          <w:noEndnote/>
          <w:docGrid w:linePitch="272"/>
        </w:sectPr>
      </w:pPr>
    </w:p>
    <w:p w14:paraId="6E0049B4" w14:textId="7A4C2B41" w:rsidR="00425FE0" w:rsidRPr="00DF3006" w:rsidRDefault="00425FE0" w:rsidP="00425FE0">
      <w:pPr>
        <w:rPr>
          <w:color w:val="414042" w:themeColor="text1"/>
        </w:rPr>
      </w:pPr>
      <w:r w:rsidRPr="00DF3006">
        <w:rPr>
          <w:color w:val="414042" w:themeColor="text1"/>
        </w:rPr>
        <w:t>Our focus on this corruption risk is to ensure public confidence in the decisions being made on their behalf by employees of UPA</w:t>
      </w:r>
      <w:r w:rsidR="00BC6A87" w:rsidRPr="00DF3006">
        <w:rPr>
          <w:color w:val="414042" w:themeColor="text1"/>
        </w:rPr>
        <w:t>s</w:t>
      </w:r>
      <w:r w:rsidRPr="00DF3006">
        <w:rPr>
          <w:color w:val="414042" w:themeColor="text1"/>
        </w:rPr>
        <w:t xml:space="preserve"> and elected officials. Any incident of abuse of authority erodes trust in</w:t>
      </w:r>
      <w:r w:rsidR="006F3054" w:rsidRPr="00DF3006">
        <w:rPr>
          <w:color w:val="414042" w:themeColor="text1"/>
        </w:rPr>
        <w:t>,</w:t>
      </w:r>
      <w:r w:rsidRPr="00DF3006">
        <w:rPr>
          <w:color w:val="414042" w:themeColor="text1"/>
        </w:rPr>
        <w:t xml:space="preserve"> and encourages cynicism about</w:t>
      </w:r>
      <w:r w:rsidR="006F3054" w:rsidRPr="00DF3006">
        <w:rPr>
          <w:color w:val="414042" w:themeColor="text1"/>
        </w:rPr>
        <w:t>,</w:t>
      </w:r>
      <w:r w:rsidRPr="00DF3006">
        <w:rPr>
          <w:color w:val="414042" w:themeColor="text1"/>
        </w:rPr>
        <w:t xml:space="preserve"> the operation of government.</w:t>
      </w:r>
    </w:p>
    <w:p w14:paraId="1C18760E" w14:textId="77777777" w:rsidR="00425FE0" w:rsidRPr="00DF3006" w:rsidRDefault="00425FE0" w:rsidP="00425FE0">
      <w:pPr>
        <w:rPr>
          <w:rFonts w:ascii="Calibri" w:hAnsi="Calibri"/>
          <w:color w:val="414042" w:themeColor="text1"/>
        </w:rPr>
      </w:pPr>
      <w:r w:rsidRPr="00DF3006">
        <w:rPr>
          <w:color w:val="414042" w:themeColor="text1"/>
        </w:rPr>
        <w:t>Abuse of authority encompasses any allegation that involves:</w:t>
      </w:r>
    </w:p>
    <w:p w14:paraId="7175ADB5" w14:textId="77777777" w:rsidR="00425FE0" w:rsidRPr="00DF3006" w:rsidRDefault="00425FE0">
      <w:pPr>
        <w:pStyle w:val="Bullets"/>
        <w:rPr>
          <w:color w:val="414042" w:themeColor="text1"/>
        </w:rPr>
      </w:pPr>
      <w:r w:rsidRPr="00DF3006">
        <w:rPr>
          <w:color w:val="414042" w:themeColor="text1"/>
        </w:rPr>
        <w:t xml:space="preserve">misuse of authority to benefit self and/or </w:t>
      </w:r>
      <w:proofErr w:type="gramStart"/>
      <w:r w:rsidRPr="00DF3006">
        <w:rPr>
          <w:color w:val="414042" w:themeColor="text1"/>
        </w:rPr>
        <w:t>others</w:t>
      </w:r>
      <w:proofErr w:type="gramEnd"/>
    </w:p>
    <w:p w14:paraId="4A95E28D" w14:textId="77777777" w:rsidR="00425FE0" w:rsidRPr="00DF3006" w:rsidRDefault="00425FE0">
      <w:pPr>
        <w:pStyle w:val="Bullets"/>
        <w:rPr>
          <w:color w:val="414042" w:themeColor="text1"/>
        </w:rPr>
      </w:pPr>
      <w:r w:rsidRPr="00DF3006">
        <w:rPr>
          <w:color w:val="414042" w:themeColor="text1"/>
        </w:rPr>
        <w:t>misuse of authority in the workplace/service delivery to threaten/cause a detriment (including bullying).</w:t>
      </w:r>
    </w:p>
    <w:p w14:paraId="73212757" w14:textId="77777777" w:rsidR="00425FE0" w:rsidRPr="00DF3006" w:rsidRDefault="00425FE0" w:rsidP="00425FE0">
      <w:pPr>
        <w:rPr>
          <w:color w:val="414042" w:themeColor="text1"/>
        </w:rPr>
      </w:pPr>
      <w:r w:rsidRPr="00DF3006">
        <w:rPr>
          <w:color w:val="414042" w:themeColor="text1"/>
        </w:rPr>
        <w:t>The increasing trend regarding the movement of people between the public and private sector, and the increasing use of private sector agencies to undertake work for the public sector, has been identified as one of the highest corruption risks in Queensland.</w:t>
      </w:r>
    </w:p>
    <w:p w14:paraId="59EF38ED" w14:textId="77777777" w:rsidR="00425FE0" w:rsidRPr="00DF3006" w:rsidRDefault="00425FE0" w:rsidP="00425FE0">
      <w:pPr>
        <w:rPr>
          <w:color w:val="414042" w:themeColor="text1"/>
        </w:rPr>
      </w:pPr>
      <w:r w:rsidRPr="00DF3006">
        <w:rPr>
          <w:color w:val="414042" w:themeColor="text1"/>
        </w:rPr>
        <w:t>Since 2021–22, the CCC has focused on allegations involving the misuse of authority by public sector employees, including those with special legislative powers like elected officials and the QPS.</w:t>
      </w:r>
    </w:p>
    <w:p w14:paraId="4967D3E8" w14:textId="77777777" w:rsidR="00425FE0" w:rsidRPr="00DF3006" w:rsidRDefault="00425FE0" w:rsidP="00425FE0">
      <w:pPr>
        <w:rPr>
          <w:color w:val="414042" w:themeColor="text1"/>
        </w:rPr>
      </w:pPr>
      <w:r w:rsidRPr="00DF3006">
        <w:rPr>
          <w:color w:val="414042" w:themeColor="text1"/>
        </w:rPr>
        <w:t>Transparent, merit-based selection is a cornerstone of public sector recruitment and perceptions of favouritism and nepotism can be highly damaging to organisational culture.</w:t>
      </w:r>
    </w:p>
    <w:p w14:paraId="2F395621" w14:textId="77777777" w:rsidR="00425FE0" w:rsidRPr="00DF3006" w:rsidRDefault="00425FE0" w:rsidP="00425FE0">
      <w:pPr>
        <w:rPr>
          <w:color w:val="414042" w:themeColor="text1"/>
        </w:rPr>
      </w:pPr>
      <w:r w:rsidRPr="00DF3006">
        <w:rPr>
          <w:color w:val="414042" w:themeColor="text1"/>
        </w:rPr>
        <w:t>Likewise, transparency and probity are an integral part of effective procurement practices – they help to safeguard public funds and ensure that value for money is achieved.</w:t>
      </w:r>
    </w:p>
    <w:p w14:paraId="45AA0A94" w14:textId="77777777" w:rsidR="00425FE0" w:rsidRPr="00DF3006" w:rsidRDefault="00425FE0" w:rsidP="00E6066A">
      <w:pPr>
        <w:pStyle w:val="Heading3"/>
      </w:pPr>
      <w:r w:rsidRPr="00DF3006">
        <w:rPr>
          <w:highlight w:val="green"/>
        </w:rPr>
        <w:br w:type="column"/>
      </w:r>
      <w:r w:rsidRPr="00DF3006">
        <w:t>Investigating corruption</w:t>
      </w:r>
    </w:p>
    <w:p w14:paraId="27649A65" w14:textId="77777777" w:rsidR="00425FE0" w:rsidRPr="00DF3006" w:rsidRDefault="00425FE0" w:rsidP="00425FE0">
      <w:pPr>
        <w:ind w:right="-143"/>
        <w:rPr>
          <w:color w:val="414042" w:themeColor="text1"/>
        </w:rPr>
      </w:pPr>
      <w:r w:rsidRPr="00DF3006">
        <w:rPr>
          <w:color w:val="414042" w:themeColor="text1"/>
        </w:rPr>
        <w:t>In 2022–23, we received 377 complaints (645 allegations) relating to the abuse of authority, with the most common allegations relating to misuse of authority to benefit others. We commenced 24 investigations. Complaints about the abuse of authority accounted for 10 per cent of all complaints received in 2022–23.</w:t>
      </w:r>
    </w:p>
    <w:p w14:paraId="5983EB3B" w14:textId="2795BBED" w:rsidR="00425FE0" w:rsidRPr="00DF3006" w:rsidRDefault="00425FE0" w:rsidP="00425FE0">
      <w:pPr>
        <w:rPr>
          <w:color w:val="414042" w:themeColor="text1"/>
        </w:rPr>
      </w:pPr>
      <w:r w:rsidRPr="00DF3006">
        <w:rPr>
          <w:color w:val="414042" w:themeColor="text1"/>
        </w:rPr>
        <w:t xml:space="preserve">Abuse of authority matters, including allegations of nepotism and favouritism in recruitment and procurement, represent the highest proportion of matters investigated by the CCC, comprising approximately 56 per cent of the investigations finalised in 2022–23 and, as </w:t>
      </w:r>
      <w:proofErr w:type="gramStart"/>
      <w:r w:rsidRPr="00DF3006">
        <w:rPr>
          <w:color w:val="414042" w:themeColor="text1"/>
        </w:rPr>
        <w:t>at</w:t>
      </w:r>
      <w:proofErr w:type="gramEnd"/>
      <w:r w:rsidRPr="00DF3006">
        <w:rPr>
          <w:color w:val="414042" w:themeColor="text1"/>
        </w:rPr>
        <w:t xml:space="preserve"> 30 June 2023, 61 per cent of the CCC’s current investigations.</w:t>
      </w:r>
    </w:p>
    <w:p w14:paraId="462342E9" w14:textId="77777777" w:rsidR="006F3054" w:rsidRPr="00DF3006" w:rsidRDefault="006F3054" w:rsidP="006F3054">
      <w:pPr>
        <w:rPr>
          <w:color w:val="414042" w:themeColor="text1"/>
        </w:rPr>
      </w:pPr>
      <w:r w:rsidRPr="00DF3006">
        <w:rPr>
          <w:color w:val="414042" w:themeColor="text1"/>
        </w:rPr>
        <w:t xml:space="preserve">Based on those complaints, we finalised 22 investigations relating to the abuse of authority. As a result of an investigation into a senior QPS officer’s alleged abuse of authority, three disciplinary recommendations were made. </w:t>
      </w:r>
      <w:r w:rsidRPr="00DF3006">
        <w:rPr>
          <w:b/>
          <w:bCs/>
          <w:color w:val="414042" w:themeColor="text1"/>
        </w:rPr>
        <w:t>Table 3</w:t>
      </w:r>
      <w:r w:rsidRPr="00DF3006">
        <w:rPr>
          <w:color w:val="414042" w:themeColor="text1"/>
        </w:rPr>
        <w:t xml:space="preserve"> shows the breakdown of investigative outcomes.</w:t>
      </w:r>
    </w:p>
    <w:p w14:paraId="30E30A78" w14:textId="77777777" w:rsidR="00425FE0" w:rsidRPr="00DF3006" w:rsidRDefault="00425FE0" w:rsidP="00E6066A">
      <w:pPr>
        <w:pStyle w:val="Heading3"/>
      </w:pPr>
      <w:r w:rsidRPr="00DF3006">
        <w:t>Oversight of agency investigations: reviews and monitoring</w:t>
      </w:r>
    </w:p>
    <w:p w14:paraId="11155B56" w14:textId="3721BF5C" w:rsidR="00425FE0" w:rsidRPr="00DF3006" w:rsidRDefault="00425FE0" w:rsidP="00425FE0">
      <w:pPr>
        <w:rPr>
          <w:color w:val="414042" w:themeColor="text1"/>
        </w:rPr>
      </w:pPr>
      <w:r w:rsidRPr="00DF3006">
        <w:rPr>
          <w:color w:val="414042" w:themeColor="text1"/>
        </w:rPr>
        <w:t>We commenced 97 reviews and finalised 92 reviews of matters dealt with by UPA subject to our monitoring function.</w:t>
      </w:r>
    </w:p>
    <w:p w14:paraId="6CEB3826" w14:textId="61B953EC" w:rsidR="0078202E" w:rsidRPr="00DF3006" w:rsidRDefault="0078202E" w:rsidP="0078202E">
      <w:pPr>
        <w:rPr>
          <w:color w:val="414042" w:themeColor="text1"/>
        </w:rPr>
      </w:pPr>
      <w:r w:rsidRPr="00DF3006">
        <w:rPr>
          <w:color w:val="414042" w:themeColor="text1"/>
        </w:rPr>
        <w:br w:type="page"/>
      </w:r>
    </w:p>
    <w:p w14:paraId="78090396" w14:textId="77777777" w:rsidR="0044443C" w:rsidRPr="00DF3006" w:rsidRDefault="0044443C" w:rsidP="00E6066A">
      <w:pPr>
        <w:pStyle w:val="Heading3"/>
      </w:pPr>
      <w:r w:rsidRPr="00DF3006">
        <w:lastRenderedPageBreak/>
        <w:t>Preventing corruption</w:t>
      </w:r>
    </w:p>
    <w:p w14:paraId="0CDB8290" w14:textId="77777777" w:rsidR="0044443C" w:rsidRPr="00DF3006" w:rsidRDefault="0044443C" w:rsidP="0044443C">
      <w:pPr>
        <w:rPr>
          <w:color w:val="414042" w:themeColor="text1"/>
        </w:rPr>
      </w:pPr>
      <w:r w:rsidRPr="00DF3006">
        <w:rPr>
          <w:color w:val="414042" w:themeColor="text1"/>
        </w:rPr>
        <w:t>In recognition of the serious corruption risks associated with abuse of authority, this year we continued to proactively engage with stakeholders through an ongoing program of presentations and training, while also responding to requests for advice on corruption prevention.</w:t>
      </w:r>
    </w:p>
    <w:p w14:paraId="5C2C8589" w14:textId="77777777" w:rsidR="0044443C" w:rsidRPr="00DF3006" w:rsidRDefault="0044443C" w:rsidP="0044443C">
      <w:pPr>
        <w:rPr>
          <w:color w:val="414042" w:themeColor="text1"/>
        </w:rPr>
      </w:pPr>
      <w:r w:rsidRPr="00DF3006">
        <w:rPr>
          <w:color w:val="414042" w:themeColor="text1"/>
          <w:highlight w:val="green"/>
        </w:rPr>
        <w:br w:type="column"/>
      </w:r>
    </w:p>
    <w:p w14:paraId="550E02D7" w14:textId="77777777" w:rsidR="0003209E" w:rsidRPr="00DF3006" w:rsidRDefault="0003209E" w:rsidP="0003209E">
      <w:pPr>
        <w:rPr>
          <w:color w:val="414042" w:themeColor="text1"/>
        </w:rPr>
      </w:pPr>
      <w:r w:rsidRPr="00DF3006">
        <w:rPr>
          <w:color w:val="414042" w:themeColor="text1"/>
        </w:rPr>
        <w:t>Specific prevention recommendations arising out of our investigations and monitoring activities were made to agencies in relation to:</w:t>
      </w:r>
    </w:p>
    <w:p w14:paraId="158FE32D" w14:textId="77777777" w:rsidR="0003209E" w:rsidRPr="00DF3006" w:rsidRDefault="0003209E" w:rsidP="0003209E">
      <w:pPr>
        <w:pStyle w:val="Bullets"/>
        <w:rPr>
          <w:color w:val="414042" w:themeColor="text1"/>
        </w:rPr>
      </w:pPr>
      <w:r w:rsidRPr="00DF3006">
        <w:rPr>
          <w:color w:val="414042" w:themeColor="text1"/>
        </w:rPr>
        <w:t xml:space="preserve">ensuring systems and processes are in place to correctly identify, declare and manage conflicts of </w:t>
      </w:r>
      <w:proofErr w:type="gramStart"/>
      <w:r w:rsidRPr="00DF3006">
        <w:rPr>
          <w:color w:val="414042" w:themeColor="text1"/>
        </w:rPr>
        <w:t>interest</w:t>
      </w:r>
      <w:proofErr w:type="gramEnd"/>
    </w:p>
    <w:p w14:paraId="4C0AEC7F" w14:textId="77777777" w:rsidR="0003209E" w:rsidRPr="00DF3006" w:rsidRDefault="0003209E" w:rsidP="0003209E">
      <w:pPr>
        <w:pStyle w:val="Bullets"/>
        <w:rPr>
          <w:color w:val="414042" w:themeColor="text1"/>
        </w:rPr>
      </w:pPr>
      <w:r w:rsidRPr="00DF3006">
        <w:rPr>
          <w:color w:val="414042" w:themeColor="text1"/>
        </w:rPr>
        <w:t>ensuring proper documentation of decision-making in relation to appointment and reclassification processes</w:t>
      </w:r>
    </w:p>
    <w:p w14:paraId="11D79EC5" w14:textId="77777777" w:rsidR="0003209E" w:rsidRPr="00DF3006" w:rsidRDefault="0003209E" w:rsidP="0003209E">
      <w:pPr>
        <w:pStyle w:val="Bullets"/>
        <w:rPr>
          <w:color w:val="414042" w:themeColor="text1"/>
        </w:rPr>
      </w:pPr>
      <w:r w:rsidRPr="00DF3006">
        <w:rPr>
          <w:color w:val="414042" w:themeColor="text1"/>
        </w:rPr>
        <w:t>improving policies and procedures in relation to gifts and benefits, and</w:t>
      </w:r>
    </w:p>
    <w:p w14:paraId="442851DC" w14:textId="5AED306C" w:rsidR="0003209E" w:rsidRPr="00DF3006" w:rsidRDefault="0003209E" w:rsidP="00B54579">
      <w:pPr>
        <w:pStyle w:val="Bullets"/>
        <w:rPr>
          <w:color w:val="414042" w:themeColor="text1"/>
        </w:rPr>
      </w:pPr>
      <w:r w:rsidRPr="00DF3006">
        <w:rPr>
          <w:color w:val="414042" w:themeColor="text1"/>
        </w:rPr>
        <w:t>appropriate</w:t>
      </w:r>
      <w:r w:rsidRPr="00DF3006">
        <w:rPr>
          <w:color w:val="414042" w:themeColor="text1"/>
          <w:spacing w:val="-4"/>
        </w:rPr>
        <w:t xml:space="preserve"> use of departmental </w:t>
      </w:r>
      <w:r w:rsidR="00095DAF" w:rsidRPr="00DF3006">
        <w:rPr>
          <w:color w:val="414042" w:themeColor="text1"/>
          <w:spacing w:val="-4"/>
        </w:rPr>
        <w:t>vehicles</w:t>
      </w:r>
      <w:r w:rsidR="00095DAF" w:rsidRPr="00DF3006">
        <w:rPr>
          <w:color w:val="414042" w:themeColor="text1"/>
        </w:rPr>
        <w:t>.</w:t>
      </w:r>
      <w:r w:rsidRPr="00DF3006">
        <w:rPr>
          <w:color w:val="414042" w:themeColor="text1"/>
        </w:rPr>
        <w:t xml:space="preserve"> </w:t>
      </w:r>
    </w:p>
    <w:p w14:paraId="5AB770AC" w14:textId="77777777" w:rsidR="0003209E" w:rsidRPr="00DF3006" w:rsidRDefault="0003209E" w:rsidP="0003209E">
      <w:pPr>
        <w:pStyle w:val="Bullets"/>
        <w:numPr>
          <w:ilvl w:val="0"/>
          <w:numId w:val="0"/>
        </w:numPr>
        <w:rPr>
          <w:color w:val="414042" w:themeColor="text1"/>
        </w:rPr>
      </w:pPr>
    </w:p>
    <w:p w14:paraId="0725866A" w14:textId="0C457367" w:rsidR="0003209E" w:rsidRPr="00DF3006" w:rsidRDefault="000B43D8" w:rsidP="0003209E">
      <w:pPr>
        <w:pStyle w:val="Bullets"/>
        <w:numPr>
          <w:ilvl w:val="0"/>
          <w:numId w:val="0"/>
        </w:numPr>
        <w:rPr>
          <w:color w:val="414042" w:themeColor="text1"/>
        </w:rPr>
        <w:sectPr w:rsidR="0003209E" w:rsidRPr="00DF3006" w:rsidSect="00C77834">
          <w:type w:val="continuous"/>
          <w:pgSz w:w="11906" w:h="16838" w:code="9"/>
          <w:pgMar w:top="2155" w:right="1134" w:bottom="964" w:left="1134" w:header="720" w:footer="284" w:gutter="0"/>
          <w:cols w:num="2" w:space="567"/>
          <w:noEndnote/>
          <w:docGrid w:linePitch="272"/>
        </w:sectPr>
      </w:pP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p>
    <w:p w14:paraId="45A23C91" w14:textId="37ACC8D4" w:rsidR="0044443C" w:rsidRPr="00DF3006" w:rsidRDefault="0044443C" w:rsidP="00463FBB">
      <w:pPr>
        <w:pStyle w:val="Heading4b"/>
        <w:rPr>
          <w:rFonts w:asciiTheme="minorHAnsi" w:hAnsiTheme="minorHAnsi" w:cstheme="minorHAnsi"/>
        </w:rPr>
      </w:pPr>
      <w:r w:rsidRPr="00DF3006">
        <w:t xml:space="preserve">Table </w:t>
      </w:r>
      <w:r w:rsidR="00A2421F" w:rsidRPr="00DF3006">
        <w:t>3</w:t>
      </w:r>
      <w:r w:rsidRPr="00DF3006">
        <w:t>: Abuse of authority – summary of outcomes 2022–23</w:t>
      </w:r>
      <w:r w:rsidRPr="00DF3006">
        <w:rPr>
          <w:rStyle w:val="Heading4Char"/>
          <w:rFonts w:asciiTheme="majorHAnsi" w:hAnsiTheme="majorHAnsi" w:cstheme="majorHAnsi"/>
          <w:vertAlign w:val="superscript"/>
        </w:rPr>
        <w:t>1</w:t>
      </w:r>
    </w:p>
    <w:tbl>
      <w:tblPr>
        <w:tblStyle w:val="Annualreport2020-21"/>
        <w:tblW w:w="9688"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364"/>
        <w:gridCol w:w="1324"/>
      </w:tblGrid>
      <w:tr w:rsidR="00DF3006" w:rsidRPr="00DF3006" w14:paraId="09A66B9A" w14:textId="77777777" w:rsidTr="00074501">
        <w:trPr>
          <w:cnfStyle w:val="100000000000" w:firstRow="1" w:lastRow="0" w:firstColumn="0" w:lastColumn="0" w:oddVBand="0" w:evenVBand="0" w:oddHBand="0" w:evenHBand="0" w:firstRowFirstColumn="0" w:firstRowLastColumn="0" w:lastRowFirstColumn="0" w:lastRowLastColumn="0"/>
          <w:trHeight w:val="20"/>
        </w:trPr>
        <w:tc>
          <w:tcPr>
            <w:tcW w:w="8364" w:type="dxa"/>
          </w:tcPr>
          <w:p w14:paraId="7BFA5905" w14:textId="77777777" w:rsidR="0044443C" w:rsidRPr="00DF3006" w:rsidRDefault="0044443C" w:rsidP="00074501">
            <w:pPr>
              <w:spacing w:after="0"/>
              <w:jc w:val="left"/>
              <w:rPr>
                <w:rFonts w:asciiTheme="minorHAnsi" w:hAnsiTheme="minorHAnsi" w:cstheme="minorHAnsi"/>
                <w:b w:val="0"/>
                <w:color w:val="414042" w:themeColor="text1"/>
              </w:rPr>
            </w:pPr>
            <w:r w:rsidRPr="00DF3006">
              <w:rPr>
                <w:rFonts w:asciiTheme="minorHAnsi" w:hAnsiTheme="minorHAnsi" w:cstheme="minorHAnsi"/>
                <w:bCs/>
                <w:color w:val="414042" w:themeColor="text1"/>
              </w:rPr>
              <w:t>Description</w:t>
            </w:r>
          </w:p>
        </w:tc>
        <w:tc>
          <w:tcPr>
            <w:tcW w:w="1324" w:type="dxa"/>
          </w:tcPr>
          <w:p w14:paraId="4E36068F" w14:textId="77777777" w:rsidR="0044443C" w:rsidRPr="00DF3006" w:rsidRDefault="0044443C" w:rsidP="00074501">
            <w:pPr>
              <w:spacing w:after="0"/>
              <w:rPr>
                <w:rFonts w:asciiTheme="minorHAnsi" w:hAnsiTheme="minorHAnsi" w:cstheme="minorHAnsi"/>
                <w:b w:val="0"/>
                <w:color w:val="414042" w:themeColor="text1"/>
              </w:rPr>
            </w:pPr>
            <w:r w:rsidRPr="00DF3006">
              <w:rPr>
                <w:rFonts w:asciiTheme="minorHAnsi" w:hAnsiTheme="minorHAnsi" w:cstheme="minorHAnsi"/>
                <w:bCs/>
                <w:color w:val="414042" w:themeColor="text1"/>
              </w:rPr>
              <w:t>Number</w:t>
            </w:r>
          </w:p>
        </w:tc>
      </w:tr>
      <w:tr w:rsidR="00DF3006" w:rsidRPr="00DF3006" w14:paraId="5F66BCF8" w14:textId="77777777" w:rsidTr="00074501">
        <w:trPr>
          <w:trHeight w:val="20"/>
        </w:trPr>
        <w:tc>
          <w:tcPr>
            <w:tcW w:w="8364" w:type="dxa"/>
            <w:shd w:val="clear" w:color="auto" w:fill="auto"/>
          </w:tcPr>
          <w:p w14:paraId="507AA9A4" w14:textId="77777777" w:rsidR="0044443C" w:rsidRPr="00DF3006" w:rsidRDefault="0044443C" w:rsidP="00074501">
            <w:pPr>
              <w:spacing w:after="0"/>
              <w:rPr>
                <w:color w:val="414042" w:themeColor="text1"/>
              </w:rPr>
            </w:pPr>
            <w:r w:rsidRPr="00DF3006">
              <w:rPr>
                <w:color w:val="414042" w:themeColor="text1"/>
              </w:rPr>
              <w:t xml:space="preserve">Investigations commenced </w:t>
            </w:r>
          </w:p>
        </w:tc>
        <w:tc>
          <w:tcPr>
            <w:tcW w:w="1324" w:type="dxa"/>
            <w:shd w:val="clear" w:color="auto" w:fill="auto"/>
            <w:vAlign w:val="top"/>
          </w:tcPr>
          <w:p w14:paraId="0CCAE959" w14:textId="77777777" w:rsidR="0044443C" w:rsidRPr="00DF3006" w:rsidRDefault="0044443C" w:rsidP="00C404D9">
            <w:pPr>
              <w:spacing w:after="0"/>
              <w:jc w:val="center"/>
              <w:rPr>
                <w:color w:val="414042" w:themeColor="text1"/>
              </w:rPr>
            </w:pPr>
            <w:r w:rsidRPr="00DF3006">
              <w:rPr>
                <w:color w:val="414042" w:themeColor="text1"/>
              </w:rPr>
              <w:t>24</w:t>
            </w:r>
          </w:p>
        </w:tc>
      </w:tr>
      <w:tr w:rsidR="00DF3006" w:rsidRPr="00DF3006" w14:paraId="23B493F8" w14:textId="77777777" w:rsidTr="00074501">
        <w:trPr>
          <w:trHeight w:val="20"/>
        </w:trPr>
        <w:tc>
          <w:tcPr>
            <w:tcW w:w="8364" w:type="dxa"/>
            <w:shd w:val="clear" w:color="auto" w:fill="auto"/>
          </w:tcPr>
          <w:p w14:paraId="036C546F" w14:textId="77777777" w:rsidR="0044443C" w:rsidRPr="00DF3006" w:rsidRDefault="0044443C" w:rsidP="00074501">
            <w:pPr>
              <w:spacing w:after="0"/>
              <w:rPr>
                <w:color w:val="414042" w:themeColor="text1"/>
              </w:rPr>
            </w:pPr>
            <w:r w:rsidRPr="00DF3006">
              <w:rPr>
                <w:color w:val="414042" w:themeColor="text1"/>
              </w:rPr>
              <w:t>Investigations finalised</w:t>
            </w:r>
          </w:p>
        </w:tc>
        <w:tc>
          <w:tcPr>
            <w:tcW w:w="1324" w:type="dxa"/>
            <w:shd w:val="clear" w:color="auto" w:fill="auto"/>
            <w:vAlign w:val="top"/>
          </w:tcPr>
          <w:p w14:paraId="6DEFCDBC" w14:textId="77777777" w:rsidR="0044443C" w:rsidRPr="00DF3006" w:rsidRDefault="0044443C" w:rsidP="00C404D9">
            <w:pPr>
              <w:spacing w:after="0"/>
              <w:jc w:val="center"/>
              <w:rPr>
                <w:color w:val="414042" w:themeColor="text1"/>
              </w:rPr>
            </w:pPr>
            <w:r w:rsidRPr="00DF3006">
              <w:rPr>
                <w:color w:val="414042" w:themeColor="text1"/>
              </w:rPr>
              <w:t>22</w:t>
            </w:r>
          </w:p>
        </w:tc>
      </w:tr>
      <w:tr w:rsidR="00DF3006" w:rsidRPr="00DF3006" w14:paraId="7D05918A" w14:textId="77777777" w:rsidTr="00074501">
        <w:trPr>
          <w:trHeight w:val="20"/>
        </w:trPr>
        <w:tc>
          <w:tcPr>
            <w:tcW w:w="8364" w:type="dxa"/>
            <w:shd w:val="clear" w:color="auto" w:fill="auto"/>
          </w:tcPr>
          <w:p w14:paraId="619D4F82" w14:textId="77777777" w:rsidR="0044443C" w:rsidRPr="00DF3006" w:rsidRDefault="0044443C" w:rsidP="00074501">
            <w:pPr>
              <w:spacing w:after="0"/>
              <w:rPr>
                <w:color w:val="414042" w:themeColor="text1"/>
              </w:rPr>
            </w:pPr>
            <w:r w:rsidRPr="00DF3006">
              <w:rPr>
                <w:color w:val="414042" w:themeColor="text1"/>
              </w:rPr>
              <w:t>People charged</w:t>
            </w:r>
          </w:p>
        </w:tc>
        <w:tc>
          <w:tcPr>
            <w:tcW w:w="1324" w:type="dxa"/>
            <w:shd w:val="clear" w:color="auto" w:fill="auto"/>
            <w:vAlign w:val="top"/>
          </w:tcPr>
          <w:p w14:paraId="6B0013D4" w14:textId="77777777" w:rsidR="0044443C" w:rsidRPr="00DF3006" w:rsidRDefault="0044443C" w:rsidP="00C404D9">
            <w:pPr>
              <w:spacing w:after="0"/>
              <w:jc w:val="center"/>
              <w:rPr>
                <w:color w:val="414042" w:themeColor="text1"/>
              </w:rPr>
            </w:pPr>
            <w:r w:rsidRPr="00DF3006">
              <w:rPr>
                <w:color w:val="414042" w:themeColor="text1"/>
              </w:rPr>
              <w:t>0</w:t>
            </w:r>
          </w:p>
        </w:tc>
      </w:tr>
      <w:tr w:rsidR="00DF3006" w:rsidRPr="00DF3006" w14:paraId="20271A46" w14:textId="77777777" w:rsidTr="00074501">
        <w:trPr>
          <w:trHeight w:val="20"/>
        </w:trPr>
        <w:tc>
          <w:tcPr>
            <w:tcW w:w="8364" w:type="dxa"/>
            <w:shd w:val="clear" w:color="auto" w:fill="auto"/>
          </w:tcPr>
          <w:p w14:paraId="59AD6021" w14:textId="77777777" w:rsidR="0044443C" w:rsidRPr="00DF3006" w:rsidRDefault="0044443C" w:rsidP="00074501">
            <w:pPr>
              <w:spacing w:after="0"/>
              <w:rPr>
                <w:color w:val="414042" w:themeColor="text1"/>
              </w:rPr>
            </w:pPr>
            <w:r w:rsidRPr="00DF3006">
              <w:rPr>
                <w:color w:val="414042" w:themeColor="text1"/>
              </w:rPr>
              <w:t>Criminal charges laid</w:t>
            </w:r>
          </w:p>
        </w:tc>
        <w:tc>
          <w:tcPr>
            <w:tcW w:w="1324" w:type="dxa"/>
            <w:shd w:val="clear" w:color="auto" w:fill="auto"/>
            <w:vAlign w:val="top"/>
          </w:tcPr>
          <w:p w14:paraId="6B4DBBB6" w14:textId="77777777" w:rsidR="0044443C" w:rsidRPr="00DF3006" w:rsidRDefault="0044443C" w:rsidP="00C404D9">
            <w:pPr>
              <w:spacing w:after="0"/>
              <w:jc w:val="center"/>
              <w:rPr>
                <w:color w:val="414042" w:themeColor="text1"/>
              </w:rPr>
            </w:pPr>
            <w:r w:rsidRPr="00DF3006">
              <w:rPr>
                <w:color w:val="414042" w:themeColor="text1"/>
              </w:rPr>
              <w:t>0</w:t>
            </w:r>
          </w:p>
        </w:tc>
      </w:tr>
      <w:tr w:rsidR="00DF3006" w:rsidRPr="00DF3006" w14:paraId="191F10C9" w14:textId="77777777" w:rsidTr="00074501">
        <w:trPr>
          <w:trHeight w:val="20"/>
        </w:trPr>
        <w:tc>
          <w:tcPr>
            <w:tcW w:w="8364" w:type="dxa"/>
            <w:shd w:val="clear" w:color="auto" w:fill="auto"/>
          </w:tcPr>
          <w:p w14:paraId="1727AB4D" w14:textId="7D12646D" w:rsidR="0044443C" w:rsidRPr="00DF3006" w:rsidRDefault="0044443C" w:rsidP="00074501">
            <w:pPr>
              <w:spacing w:after="0"/>
              <w:rPr>
                <w:color w:val="414042" w:themeColor="text1"/>
              </w:rPr>
            </w:pPr>
            <w:r w:rsidRPr="00DF3006">
              <w:rPr>
                <w:color w:val="414042" w:themeColor="text1"/>
              </w:rPr>
              <w:t xml:space="preserve">Referred to a </w:t>
            </w:r>
            <w:r w:rsidR="00BC6A87" w:rsidRPr="00DF3006">
              <w:rPr>
                <w:color w:val="414042" w:themeColor="text1"/>
              </w:rPr>
              <w:t>UPA</w:t>
            </w:r>
            <w:r w:rsidRPr="00DF3006">
              <w:rPr>
                <w:color w:val="414042" w:themeColor="text1"/>
              </w:rPr>
              <w:t xml:space="preserve"> as a disciplinary matter</w:t>
            </w:r>
          </w:p>
        </w:tc>
        <w:tc>
          <w:tcPr>
            <w:tcW w:w="1324" w:type="dxa"/>
            <w:shd w:val="clear" w:color="auto" w:fill="auto"/>
            <w:vAlign w:val="top"/>
          </w:tcPr>
          <w:p w14:paraId="67E36177" w14:textId="77777777" w:rsidR="0044443C" w:rsidRPr="00DF3006" w:rsidRDefault="0044443C" w:rsidP="00C404D9">
            <w:pPr>
              <w:spacing w:after="0"/>
              <w:jc w:val="center"/>
              <w:rPr>
                <w:color w:val="414042" w:themeColor="text1"/>
              </w:rPr>
            </w:pPr>
            <w:r w:rsidRPr="00DF3006">
              <w:rPr>
                <w:color w:val="414042" w:themeColor="text1"/>
              </w:rPr>
              <w:t>2</w:t>
            </w:r>
            <w:r w:rsidRPr="00DF3006">
              <w:rPr>
                <w:color w:val="414042" w:themeColor="text1"/>
                <w:sz w:val="16"/>
                <w:szCs w:val="16"/>
                <w:vertAlign w:val="superscript"/>
              </w:rPr>
              <w:t>2</w:t>
            </w:r>
          </w:p>
        </w:tc>
      </w:tr>
      <w:tr w:rsidR="00DF3006" w:rsidRPr="00DF3006" w14:paraId="371D6B4F" w14:textId="77777777" w:rsidTr="00074501">
        <w:trPr>
          <w:trHeight w:val="20"/>
        </w:trPr>
        <w:tc>
          <w:tcPr>
            <w:tcW w:w="8364" w:type="dxa"/>
            <w:shd w:val="clear" w:color="auto" w:fill="auto"/>
          </w:tcPr>
          <w:p w14:paraId="57D3C0D7" w14:textId="3CF16901" w:rsidR="0044443C" w:rsidRPr="00DF3006" w:rsidRDefault="0044443C" w:rsidP="00074501">
            <w:pPr>
              <w:spacing w:after="0"/>
              <w:rPr>
                <w:color w:val="414042" w:themeColor="text1"/>
              </w:rPr>
            </w:pPr>
            <w:r w:rsidRPr="00DF3006">
              <w:rPr>
                <w:color w:val="414042" w:themeColor="text1"/>
              </w:rPr>
              <w:t xml:space="preserve">Referred to a </w:t>
            </w:r>
            <w:r w:rsidR="00BC6A87" w:rsidRPr="00DF3006">
              <w:rPr>
                <w:color w:val="414042" w:themeColor="text1"/>
              </w:rPr>
              <w:t>UPA</w:t>
            </w:r>
            <w:r w:rsidRPr="00DF3006">
              <w:rPr>
                <w:color w:val="414042" w:themeColor="text1"/>
              </w:rPr>
              <w:t xml:space="preserve"> to investigate subject to monitoring by the CCC</w:t>
            </w:r>
          </w:p>
        </w:tc>
        <w:tc>
          <w:tcPr>
            <w:tcW w:w="1324" w:type="dxa"/>
            <w:shd w:val="clear" w:color="auto" w:fill="auto"/>
            <w:vAlign w:val="top"/>
          </w:tcPr>
          <w:p w14:paraId="7199DF6E" w14:textId="77777777" w:rsidR="0044443C" w:rsidRPr="00DF3006" w:rsidRDefault="0044443C" w:rsidP="00C404D9">
            <w:pPr>
              <w:spacing w:after="0"/>
              <w:jc w:val="center"/>
              <w:rPr>
                <w:color w:val="414042" w:themeColor="text1"/>
              </w:rPr>
            </w:pPr>
            <w:r w:rsidRPr="00DF3006">
              <w:rPr>
                <w:color w:val="414042" w:themeColor="text1"/>
              </w:rPr>
              <w:t>39</w:t>
            </w:r>
          </w:p>
        </w:tc>
      </w:tr>
      <w:tr w:rsidR="00DF3006" w:rsidRPr="00DF3006" w14:paraId="2F45559F" w14:textId="77777777" w:rsidTr="00074501">
        <w:trPr>
          <w:trHeight w:val="20"/>
        </w:trPr>
        <w:tc>
          <w:tcPr>
            <w:tcW w:w="8364" w:type="dxa"/>
            <w:shd w:val="clear" w:color="auto" w:fill="auto"/>
          </w:tcPr>
          <w:p w14:paraId="7EAA8259" w14:textId="77777777" w:rsidR="0044443C" w:rsidRPr="00DF3006" w:rsidRDefault="0044443C" w:rsidP="00074501">
            <w:pPr>
              <w:spacing w:after="0"/>
              <w:rPr>
                <w:color w:val="414042" w:themeColor="text1"/>
              </w:rPr>
            </w:pPr>
            <w:r w:rsidRPr="00DF3006">
              <w:rPr>
                <w:color w:val="414042" w:themeColor="text1"/>
              </w:rPr>
              <w:t>Reviews commenced</w:t>
            </w:r>
          </w:p>
        </w:tc>
        <w:tc>
          <w:tcPr>
            <w:tcW w:w="1324" w:type="dxa"/>
            <w:shd w:val="clear" w:color="auto" w:fill="auto"/>
            <w:vAlign w:val="top"/>
          </w:tcPr>
          <w:p w14:paraId="6E578990" w14:textId="77777777" w:rsidR="0044443C" w:rsidRPr="00DF3006" w:rsidRDefault="0044443C" w:rsidP="00C404D9">
            <w:pPr>
              <w:spacing w:after="0"/>
              <w:jc w:val="center"/>
              <w:rPr>
                <w:color w:val="414042" w:themeColor="text1"/>
              </w:rPr>
            </w:pPr>
            <w:r w:rsidRPr="00DF3006">
              <w:rPr>
                <w:color w:val="414042" w:themeColor="text1"/>
              </w:rPr>
              <w:t>97</w:t>
            </w:r>
          </w:p>
        </w:tc>
      </w:tr>
      <w:tr w:rsidR="00DF3006" w:rsidRPr="00DF3006" w14:paraId="2B093A87" w14:textId="77777777" w:rsidTr="00074501">
        <w:trPr>
          <w:trHeight w:val="20"/>
        </w:trPr>
        <w:tc>
          <w:tcPr>
            <w:tcW w:w="8364" w:type="dxa"/>
            <w:shd w:val="clear" w:color="auto" w:fill="auto"/>
          </w:tcPr>
          <w:p w14:paraId="11F2756E" w14:textId="77777777" w:rsidR="0044443C" w:rsidRPr="00DF3006" w:rsidRDefault="0044443C" w:rsidP="00074501">
            <w:pPr>
              <w:spacing w:after="0"/>
              <w:rPr>
                <w:color w:val="414042" w:themeColor="text1"/>
              </w:rPr>
            </w:pPr>
            <w:r w:rsidRPr="00DF3006">
              <w:rPr>
                <w:color w:val="414042" w:themeColor="text1"/>
              </w:rPr>
              <w:t>Reviews finalised</w:t>
            </w:r>
          </w:p>
        </w:tc>
        <w:tc>
          <w:tcPr>
            <w:tcW w:w="1324" w:type="dxa"/>
            <w:shd w:val="clear" w:color="auto" w:fill="auto"/>
            <w:vAlign w:val="top"/>
          </w:tcPr>
          <w:p w14:paraId="1D8FA713" w14:textId="77777777" w:rsidR="0044443C" w:rsidRPr="00DF3006" w:rsidRDefault="0044443C" w:rsidP="00C404D9">
            <w:pPr>
              <w:spacing w:after="0"/>
              <w:jc w:val="center"/>
              <w:rPr>
                <w:color w:val="414042" w:themeColor="text1"/>
              </w:rPr>
            </w:pPr>
            <w:r w:rsidRPr="00DF3006">
              <w:rPr>
                <w:color w:val="414042" w:themeColor="text1"/>
              </w:rPr>
              <w:t>92</w:t>
            </w:r>
          </w:p>
        </w:tc>
      </w:tr>
      <w:tr w:rsidR="00DF3006" w:rsidRPr="00DF3006" w14:paraId="1C174103" w14:textId="77777777" w:rsidTr="00074501">
        <w:trPr>
          <w:trHeight w:val="20"/>
        </w:trPr>
        <w:tc>
          <w:tcPr>
            <w:tcW w:w="8364" w:type="dxa"/>
            <w:shd w:val="clear" w:color="auto" w:fill="auto"/>
          </w:tcPr>
          <w:p w14:paraId="1C17107B" w14:textId="77777777" w:rsidR="0044443C" w:rsidRPr="00DF3006" w:rsidRDefault="0044443C" w:rsidP="00074501">
            <w:pPr>
              <w:spacing w:after="0"/>
              <w:rPr>
                <w:color w:val="414042" w:themeColor="text1"/>
              </w:rPr>
            </w:pPr>
            <w:r w:rsidRPr="00DF3006">
              <w:rPr>
                <w:color w:val="414042" w:themeColor="text1"/>
              </w:rPr>
              <w:t>Prevention recommendations made</w:t>
            </w:r>
          </w:p>
        </w:tc>
        <w:tc>
          <w:tcPr>
            <w:tcW w:w="1324" w:type="dxa"/>
            <w:shd w:val="clear" w:color="auto" w:fill="auto"/>
            <w:vAlign w:val="top"/>
          </w:tcPr>
          <w:p w14:paraId="3BE00471" w14:textId="5A99E746" w:rsidR="0044443C" w:rsidRPr="00DF3006" w:rsidRDefault="0003209E" w:rsidP="00C404D9">
            <w:pPr>
              <w:spacing w:after="0"/>
              <w:jc w:val="center"/>
              <w:rPr>
                <w:color w:val="414042" w:themeColor="text1"/>
              </w:rPr>
            </w:pPr>
            <w:r w:rsidRPr="00DF3006">
              <w:rPr>
                <w:color w:val="414042" w:themeColor="text1"/>
              </w:rPr>
              <w:t>26</w:t>
            </w:r>
          </w:p>
        </w:tc>
      </w:tr>
    </w:tbl>
    <w:p w14:paraId="4325E163" w14:textId="77777777" w:rsidR="0044443C" w:rsidRPr="00DF3006" w:rsidRDefault="0044443C" w:rsidP="0044443C">
      <w:pPr>
        <w:pStyle w:val="Notes"/>
        <w:spacing w:before="120"/>
        <w:ind w:left="360" w:right="-5246" w:hanging="360"/>
        <w:rPr>
          <w:lang w:val="en-AU"/>
        </w:rPr>
      </w:pPr>
      <w:r w:rsidRPr="00DF3006">
        <w:rPr>
          <w:lang w:val="en-AU"/>
        </w:rPr>
        <w:t>Notes:</w:t>
      </w:r>
    </w:p>
    <w:p w14:paraId="1F446FE1" w14:textId="42137953" w:rsidR="0044443C" w:rsidRPr="00DF3006" w:rsidRDefault="0044443C" w:rsidP="0044443C">
      <w:pPr>
        <w:pStyle w:val="Notes"/>
        <w:numPr>
          <w:ilvl w:val="0"/>
          <w:numId w:val="46"/>
        </w:numPr>
        <w:ind w:left="360" w:right="-5246"/>
        <w:rPr>
          <w:lang w:val="en-AU"/>
        </w:rPr>
      </w:pPr>
      <w:r w:rsidRPr="00DF3006">
        <w:rPr>
          <w:lang w:val="en-AU"/>
        </w:rPr>
        <w:t xml:space="preserve">Some of the matters referenced above are also captured and reported </w:t>
      </w:r>
      <w:r w:rsidR="00DE7049" w:rsidRPr="00DF3006">
        <w:rPr>
          <w:lang w:val="en-AU"/>
        </w:rPr>
        <w:t>under ‘</w:t>
      </w:r>
      <w:r w:rsidRPr="00DF3006">
        <w:rPr>
          <w:lang w:val="en-AU"/>
        </w:rPr>
        <w:t xml:space="preserve">Exploitation of public sector </w:t>
      </w:r>
      <w:proofErr w:type="gramStart"/>
      <w:r w:rsidRPr="00DF3006">
        <w:rPr>
          <w:lang w:val="en-AU"/>
        </w:rPr>
        <w:t>resources’</w:t>
      </w:r>
      <w:proofErr w:type="gramEnd"/>
      <w:r w:rsidRPr="00DF3006">
        <w:rPr>
          <w:lang w:val="en-AU"/>
        </w:rPr>
        <w:t>.</w:t>
      </w:r>
    </w:p>
    <w:p w14:paraId="1F84C735" w14:textId="77777777" w:rsidR="0044443C" w:rsidRPr="00DF3006" w:rsidRDefault="0044443C" w:rsidP="0044443C">
      <w:pPr>
        <w:pStyle w:val="Notes"/>
        <w:numPr>
          <w:ilvl w:val="0"/>
          <w:numId w:val="46"/>
        </w:numPr>
        <w:ind w:left="360" w:right="-5246"/>
        <w:rPr>
          <w:lang w:val="en-AU"/>
        </w:rPr>
      </w:pPr>
      <w:r w:rsidRPr="00DF3006">
        <w:rPr>
          <w:lang w:val="en-AU"/>
        </w:rPr>
        <w:t>Includes two persons referred on four disciplinary recommendations.</w:t>
      </w:r>
    </w:p>
    <w:p w14:paraId="05A50C28" w14:textId="77777777" w:rsidR="0078202E" w:rsidRPr="00DF3006" w:rsidRDefault="0078202E" w:rsidP="0078202E">
      <w:pPr>
        <w:rPr>
          <w:color w:val="414042" w:themeColor="text1"/>
        </w:rPr>
      </w:pPr>
    </w:p>
    <w:p w14:paraId="5FC5D3AD" w14:textId="1D3B43CF" w:rsidR="0078202E" w:rsidRPr="00DF3006" w:rsidRDefault="0078202E" w:rsidP="0078202E">
      <w:pPr>
        <w:rPr>
          <w:color w:val="414042" w:themeColor="text1"/>
        </w:rPr>
        <w:sectPr w:rsidR="0078202E" w:rsidRPr="00DF3006" w:rsidSect="00C77834">
          <w:type w:val="continuous"/>
          <w:pgSz w:w="11906" w:h="16838" w:code="9"/>
          <w:pgMar w:top="2155" w:right="1134" w:bottom="964" w:left="1134" w:header="720" w:footer="284" w:gutter="0"/>
          <w:cols w:space="567"/>
          <w:noEndnote/>
          <w:docGrid w:linePitch="272"/>
        </w:sectPr>
      </w:pPr>
    </w:p>
    <w:p w14:paraId="43568CC8" w14:textId="77777777" w:rsidR="00DA23C2" w:rsidRPr="00DF3006" w:rsidRDefault="00DA23C2" w:rsidP="008E5ECB">
      <w:pPr>
        <w:pStyle w:val="Heading2"/>
      </w:pPr>
      <w:bookmarkStart w:id="1329" w:name="_Toc102037972"/>
      <w:bookmarkStart w:id="1330" w:name="_Toc102038333"/>
      <w:bookmarkStart w:id="1331" w:name="_Toc102038694"/>
      <w:bookmarkStart w:id="1332" w:name="_Toc102039046"/>
      <w:bookmarkStart w:id="1333" w:name="_Toc102039395"/>
      <w:bookmarkStart w:id="1334" w:name="_Toc102039757"/>
      <w:bookmarkStart w:id="1335" w:name="_Toc102040114"/>
      <w:bookmarkStart w:id="1336" w:name="_Toc102040442"/>
      <w:bookmarkStart w:id="1337" w:name="_Toc102040776"/>
      <w:bookmarkStart w:id="1338" w:name="_Toc102041104"/>
      <w:bookmarkStart w:id="1339" w:name="_Toc102041433"/>
      <w:bookmarkStart w:id="1340" w:name="_Toc102041765"/>
      <w:bookmarkStart w:id="1341" w:name="_Toc102042092"/>
      <w:bookmarkStart w:id="1342" w:name="_Toc102042422"/>
      <w:bookmarkStart w:id="1343" w:name="_Toc10204555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DF3006">
        <w:lastRenderedPageBreak/>
        <w:t>Exploitation of public sector resources</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6A63B4F0" w14:textId="77777777" w:rsidR="00DA23C2" w:rsidRPr="00DF3006" w:rsidRDefault="00DA23C2" w:rsidP="00DA23C2">
      <w:pPr>
        <w:rPr>
          <w:color w:val="414042" w:themeColor="text1"/>
        </w:rPr>
        <w:sectPr w:rsidR="00DA23C2" w:rsidRPr="00DF3006" w:rsidSect="00C77834">
          <w:headerReference w:type="even" r:id="rId222"/>
          <w:headerReference w:type="default" r:id="rId223"/>
          <w:footerReference w:type="default" r:id="rId224"/>
          <w:headerReference w:type="first" r:id="rId225"/>
          <w:type w:val="continuous"/>
          <w:pgSz w:w="11906" w:h="16838" w:code="9"/>
          <w:pgMar w:top="2155" w:right="1134" w:bottom="964" w:left="1134" w:header="720" w:footer="284" w:gutter="0"/>
          <w:cols w:space="567"/>
          <w:noEndnote/>
          <w:docGrid w:linePitch="272"/>
        </w:sectPr>
      </w:pPr>
    </w:p>
    <w:p w14:paraId="64F793D1" w14:textId="26432B9D" w:rsidR="00DA23C2" w:rsidRPr="00DF3006" w:rsidRDefault="00DA23C2" w:rsidP="00E52781">
      <w:pPr>
        <w:pStyle w:val="Openingparagraph"/>
      </w:pPr>
      <w:r w:rsidRPr="00DF3006">
        <w:t xml:space="preserve">Public sector employees, under </w:t>
      </w:r>
      <w:r w:rsidRPr="00DF3006">
        <w:rPr>
          <w:i/>
          <w:iCs/>
        </w:rPr>
        <w:t>the Public Sector Ethics Act 1994</w:t>
      </w:r>
      <w:r w:rsidR="00462084" w:rsidRPr="00DF3006">
        <w:t xml:space="preserve"> (Qld)</w:t>
      </w:r>
      <w:r w:rsidRPr="00DF3006">
        <w:t xml:space="preserve">, must ensure their decisions are in the public interest. A fundamental aspect of this is ensuring they use official resources appropriately and only for </w:t>
      </w:r>
      <w:proofErr w:type="spellStart"/>
      <w:r w:rsidRPr="00DF3006">
        <w:t>authorised</w:t>
      </w:r>
      <w:proofErr w:type="spellEnd"/>
      <w:r w:rsidRPr="00DF3006">
        <w:t xml:space="preserve"> purposes. Failing to do so is a breach of public trust and may result in disciplinary action or prosecution.</w:t>
      </w:r>
    </w:p>
    <w:p w14:paraId="6FD1A079" w14:textId="77777777" w:rsidR="00B329FD" w:rsidRPr="00DF3006" w:rsidRDefault="00B329FD" w:rsidP="00B329FD">
      <w:pPr>
        <w:rPr>
          <w:color w:val="414042" w:themeColor="text1"/>
        </w:rPr>
      </w:pPr>
    </w:p>
    <w:p w14:paraId="0E2144B1" w14:textId="0336FE97" w:rsidR="00B329FD" w:rsidRPr="00DF3006" w:rsidRDefault="00B329FD" w:rsidP="00B329FD">
      <w:pPr>
        <w:rPr>
          <w:color w:val="414042" w:themeColor="text1"/>
        </w:rPr>
        <w:sectPr w:rsidR="00B329FD" w:rsidRPr="00DF3006" w:rsidSect="00C77834">
          <w:type w:val="continuous"/>
          <w:pgSz w:w="11906" w:h="16838" w:code="9"/>
          <w:pgMar w:top="2155" w:right="1134" w:bottom="964" w:left="1134" w:header="720" w:footer="284" w:gutter="0"/>
          <w:cols w:space="567"/>
          <w:noEndnote/>
          <w:docGrid w:linePitch="272"/>
        </w:sectPr>
      </w:pPr>
    </w:p>
    <w:p w14:paraId="2D54E430" w14:textId="43D896C3" w:rsidR="00DA23C2" w:rsidRPr="00DF3006" w:rsidRDefault="00DA23C2" w:rsidP="00DA23C2">
      <w:pPr>
        <w:rPr>
          <w:color w:val="414042" w:themeColor="text1"/>
        </w:rPr>
      </w:pPr>
      <w:r w:rsidRPr="00DF3006">
        <w:rPr>
          <w:color w:val="414042" w:themeColor="text1"/>
        </w:rPr>
        <w:t>Exploitation of public sector resources can include deliberate acts of stealing, fraud, and misappropriation, but also includes misusing or poorly managing resources. The resources most at risk include public funds, vehicles, equipment and technology, facilities and materials, allowances and other entitlements, and work time.</w:t>
      </w:r>
    </w:p>
    <w:p w14:paraId="2CC2CD85" w14:textId="77777777" w:rsidR="00DA23C2" w:rsidRPr="00DF3006" w:rsidRDefault="00DA23C2" w:rsidP="00DA23C2">
      <w:pPr>
        <w:spacing w:after="120"/>
        <w:rPr>
          <w:color w:val="414042" w:themeColor="text1"/>
        </w:rPr>
      </w:pPr>
      <w:r w:rsidRPr="00DF3006">
        <w:rPr>
          <w:color w:val="414042" w:themeColor="text1"/>
        </w:rPr>
        <w:t>Exploitation of public sector resources encompasses allegations including:</w:t>
      </w:r>
    </w:p>
    <w:p w14:paraId="4853371D" w14:textId="77777777" w:rsidR="00DA23C2" w:rsidRPr="00DF3006" w:rsidRDefault="00DA23C2">
      <w:pPr>
        <w:pStyle w:val="Bullets"/>
        <w:rPr>
          <w:color w:val="414042" w:themeColor="text1"/>
        </w:rPr>
      </w:pPr>
      <w:r w:rsidRPr="00DF3006">
        <w:rPr>
          <w:color w:val="414042" w:themeColor="text1"/>
        </w:rPr>
        <w:t>fraud</w:t>
      </w:r>
    </w:p>
    <w:p w14:paraId="3B763E89" w14:textId="77777777" w:rsidR="00DA23C2" w:rsidRPr="00DF3006" w:rsidRDefault="00DA23C2">
      <w:pPr>
        <w:pStyle w:val="Bullets"/>
        <w:rPr>
          <w:color w:val="414042" w:themeColor="text1"/>
        </w:rPr>
      </w:pPr>
      <w:r w:rsidRPr="00DF3006">
        <w:rPr>
          <w:color w:val="414042" w:themeColor="text1"/>
        </w:rPr>
        <w:t>theft</w:t>
      </w:r>
    </w:p>
    <w:p w14:paraId="4249CFEE" w14:textId="4DEB5E34" w:rsidR="00DA23C2" w:rsidRPr="00DF3006" w:rsidRDefault="00DA23C2">
      <w:pPr>
        <w:pStyle w:val="Bullets"/>
        <w:rPr>
          <w:color w:val="414042" w:themeColor="text1"/>
        </w:rPr>
      </w:pPr>
      <w:r w:rsidRPr="00DF3006">
        <w:rPr>
          <w:color w:val="414042" w:themeColor="text1"/>
        </w:rPr>
        <w:t>misappropriation</w:t>
      </w:r>
      <w:r w:rsidR="00D27350" w:rsidRPr="00DF3006">
        <w:rPr>
          <w:color w:val="414042" w:themeColor="text1"/>
        </w:rPr>
        <w:t>, and</w:t>
      </w:r>
    </w:p>
    <w:p w14:paraId="24BAC636" w14:textId="7BE2D0F7" w:rsidR="00DA23C2" w:rsidRPr="00DF3006" w:rsidRDefault="00DA23C2">
      <w:pPr>
        <w:pStyle w:val="Bullets"/>
        <w:rPr>
          <w:color w:val="414042" w:themeColor="text1"/>
        </w:rPr>
      </w:pPr>
      <w:r w:rsidRPr="00DF3006">
        <w:rPr>
          <w:color w:val="414042" w:themeColor="text1"/>
        </w:rPr>
        <w:t>unauthorised use of government resources</w:t>
      </w:r>
      <w:r w:rsidR="00D27350" w:rsidRPr="00DF3006">
        <w:rPr>
          <w:color w:val="414042" w:themeColor="text1"/>
        </w:rPr>
        <w:t>.</w:t>
      </w:r>
    </w:p>
    <w:p w14:paraId="63405674" w14:textId="161CFFC6" w:rsidR="00545009" w:rsidRPr="00DF3006" w:rsidRDefault="00DA23C2" w:rsidP="00545009">
      <w:pPr>
        <w:rPr>
          <w:color w:val="414042" w:themeColor="text1"/>
        </w:rPr>
      </w:pPr>
      <w:r w:rsidRPr="00DF3006">
        <w:rPr>
          <w:color w:val="414042" w:themeColor="text1"/>
        </w:rPr>
        <w:t>Complaints (and allegations) about exploitation of public sector resources peaked in 2018–19 (see</w:t>
      </w:r>
      <w:r w:rsidR="00D27350" w:rsidRPr="00DF3006">
        <w:rPr>
          <w:color w:val="414042" w:themeColor="text1"/>
        </w:rPr>
        <w:t> </w:t>
      </w:r>
      <w:r w:rsidRPr="00DF3006">
        <w:rPr>
          <w:b/>
          <w:bCs/>
          <w:color w:val="414042" w:themeColor="text1"/>
        </w:rPr>
        <w:t>Table</w:t>
      </w:r>
      <w:r w:rsidR="00725123" w:rsidRPr="00DF3006">
        <w:rPr>
          <w:b/>
          <w:bCs/>
          <w:color w:val="414042" w:themeColor="text1"/>
        </w:rPr>
        <w:t> </w:t>
      </w:r>
      <w:r w:rsidR="00A2421F" w:rsidRPr="00DF3006">
        <w:rPr>
          <w:b/>
          <w:bCs/>
          <w:color w:val="414042" w:themeColor="text1"/>
        </w:rPr>
        <w:t>4</w:t>
      </w:r>
      <w:r w:rsidRPr="00DF3006">
        <w:rPr>
          <w:color w:val="414042" w:themeColor="text1"/>
        </w:rPr>
        <w:t>), and we have focused on it since 2019–20. Over time the number of allegations received has been decreasing. While there is no single explanation for the decrease, our fraud prevention activities may be encouraging public sector agencies to tighten their internal controls in this risk area.</w:t>
      </w:r>
    </w:p>
    <w:p w14:paraId="2DD05075" w14:textId="6FF9F531" w:rsidR="00DA23C2" w:rsidRPr="00DF3006" w:rsidRDefault="00545009" w:rsidP="00E6066A">
      <w:pPr>
        <w:pStyle w:val="Heading3"/>
      </w:pPr>
      <w:r w:rsidRPr="00DF3006">
        <w:br w:type="column"/>
      </w:r>
      <w:r w:rsidR="00DA23C2" w:rsidRPr="00DF3006">
        <w:t>Investigating corruption</w:t>
      </w:r>
    </w:p>
    <w:p w14:paraId="3B64A5C5" w14:textId="7C89CED8" w:rsidR="000211DF" w:rsidRPr="00DF3006" w:rsidRDefault="000211DF" w:rsidP="000211DF">
      <w:pPr>
        <w:rPr>
          <w:color w:val="414042" w:themeColor="text1"/>
        </w:rPr>
      </w:pPr>
      <w:r w:rsidRPr="00DF3006">
        <w:rPr>
          <w:color w:val="414042" w:themeColor="text1"/>
        </w:rPr>
        <w:t>This year, we received 267 complaints relating to the exploitation of public resources, accounting for approximately seven per cent of corruption complaints we received. The most common allegations we investigated related to theft and fraud.</w:t>
      </w:r>
    </w:p>
    <w:p w14:paraId="1F38526E" w14:textId="4B628D47" w:rsidR="000211DF" w:rsidRPr="00DF3006" w:rsidRDefault="000211DF" w:rsidP="000211DF">
      <w:pPr>
        <w:rPr>
          <w:color w:val="414042" w:themeColor="text1"/>
        </w:rPr>
      </w:pPr>
      <w:r w:rsidRPr="00DF3006">
        <w:rPr>
          <w:color w:val="414042" w:themeColor="text1"/>
        </w:rPr>
        <w:t xml:space="preserve">In 2022–23, we commenced six new investigations, finalised four investigations (four investigations are ongoing). </w:t>
      </w:r>
      <w:r w:rsidRPr="00DF3006">
        <w:rPr>
          <w:b/>
          <w:bCs/>
          <w:color w:val="414042" w:themeColor="text1"/>
        </w:rPr>
        <w:t xml:space="preserve">Table </w:t>
      </w:r>
      <w:r w:rsidR="00A2421F" w:rsidRPr="00DF3006">
        <w:rPr>
          <w:b/>
          <w:bCs/>
          <w:color w:val="414042" w:themeColor="text1"/>
        </w:rPr>
        <w:t>5</w:t>
      </w:r>
      <w:r w:rsidRPr="00DF3006">
        <w:rPr>
          <w:color w:val="414042" w:themeColor="text1"/>
        </w:rPr>
        <w:t xml:space="preserve"> shows the breakdown of investigative outcomes and referrals this year.</w:t>
      </w:r>
    </w:p>
    <w:p w14:paraId="3E9255CD" w14:textId="77777777" w:rsidR="00DA23C2" w:rsidRPr="00DF3006" w:rsidRDefault="00DA23C2" w:rsidP="00DA23C2">
      <w:pPr>
        <w:rPr>
          <w:color w:val="414042" w:themeColor="text1"/>
        </w:rPr>
      </w:pPr>
      <w:r w:rsidRPr="00DF3006">
        <w:rPr>
          <w:color w:val="414042" w:themeColor="text1"/>
        </w:rPr>
        <w:t>Some court outcomes this year are summarised below.</w:t>
      </w:r>
    </w:p>
    <w:p w14:paraId="075E4DD9" w14:textId="77777777" w:rsidR="00DA23C2" w:rsidRPr="00DF3006" w:rsidRDefault="00DA23C2" w:rsidP="00DA23C2">
      <w:pPr>
        <w:rPr>
          <w:color w:val="414042" w:themeColor="text1"/>
          <w:highlight w:val="green"/>
        </w:rPr>
      </w:pPr>
    </w:p>
    <w:p w14:paraId="4BECC629" w14:textId="1AAC87C1" w:rsidR="00545009" w:rsidRPr="00DF3006" w:rsidRDefault="00545009" w:rsidP="00DA23C2">
      <w:pPr>
        <w:rPr>
          <w:color w:val="414042" w:themeColor="text1"/>
          <w:highlight w:val="green"/>
        </w:rPr>
        <w:sectPr w:rsidR="00545009" w:rsidRPr="00DF3006" w:rsidSect="00C77834">
          <w:type w:val="continuous"/>
          <w:pgSz w:w="11906" w:h="16838" w:code="9"/>
          <w:pgMar w:top="2155" w:right="1134" w:bottom="964" w:left="1134" w:header="720" w:footer="284" w:gutter="0"/>
          <w:cols w:num="2" w:space="567"/>
          <w:noEndnote/>
          <w:docGrid w:linePitch="272"/>
        </w:sectPr>
      </w:pPr>
    </w:p>
    <w:p w14:paraId="557AFCEB" w14:textId="2EE1832A" w:rsidR="00DA23C2" w:rsidRPr="00DF3006" w:rsidRDefault="00DA23C2" w:rsidP="00545009">
      <w:pPr>
        <w:rPr>
          <w:color w:val="414042" w:themeColor="text1"/>
        </w:rPr>
        <w:sectPr w:rsidR="00DA23C2" w:rsidRPr="00DF3006" w:rsidSect="00C77834">
          <w:type w:val="continuous"/>
          <w:pgSz w:w="11906" w:h="16838" w:code="9"/>
          <w:pgMar w:top="2155" w:right="1134" w:bottom="964" w:left="1134" w:header="720" w:footer="284" w:gutter="0"/>
          <w:cols w:space="567"/>
          <w:noEndnote/>
          <w:docGrid w:linePitch="272"/>
        </w:sectPr>
      </w:pPr>
      <w:r w:rsidRPr="00DF3006">
        <w:rPr>
          <w:color w:val="414042" w:themeColor="text1"/>
        </w:rPr>
        <w:t xml:space="preserve"> </w:t>
      </w:r>
      <w:r w:rsidR="000B43D8" w:rsidRPr="00DF3006">
        <w:rPr>
          <w:color w:val="414042" w:themeColor="text1"/>
        </w:rPr>
        <w:br/>
      </w:r>
      <w:r w:rsidR="000B43D8" w:rsidRPr="00DF3006">
        <w:rPr>
          <w:color w:val="414042" w:themeColor="text1"/>
        </w:rPr>
        <w:br/>
      </w:r>
      <w:r w:rsidR="000B43D8" w:rsidRPr="00DF3006">
        <w:rPr>
          <w:color w:val="414042" w:themeColor="text1"/>
        </w:rPr>
        <w:br/>
      </w:r>
    </w:p>
    <w:p w14:paraId="6A459E08" w14:textId="160E2702" w:rsidR="00DA23C2" w:rsidRPr="00DF3006" w:rsidRDefault="00DA23C2" w:rsidP="00463FBB">
      <w:pPr>
        <w:pStyle w:val="Heading4b"/>
      </w:pPr>
      <w:r w:rsidRPr="00DF3006">
        <w:t xml:space="preserve">Table </w:t>
      </w:r>
      <w:r w:rsidR="00A2421F" w:rsidRPr="00DF3006">
        <w:t>4</w:t>
      </w:r>
      <w:r w:rsidRPr="00DF3006">
        <w:t>: Exploitation of public sector resources — complaints, allegations and investigations from 201</w:t>
      </w:r>
      <w:r w:rsidR="000211DF" w:rsidRPr="00DF3006">
        <w:t>8</w:t>
      </w:r>
      <w:r w:rsidRPr="00DF3006">
        <w:t>–1</w:t>
      </w:r>
      <w:r w:rsidR="000211DF" w:rsidRPr="00DF3006">
        <w:t>9</w:t>
      </w:r>
      <w:r w:rsidRPr="00DF3006">
        <w:t xml:space="preserve"> to 2022–23</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1093"/>
        <w:gridCol w:w="2785"/>
        <w:gridCol w:w="2643"/>
        <w:gridCol w:w="3117"/>
      </w:tblGrid>
      <w:tr w:rsidR="00DF3006" w:rsidRPr="00DF3006" w14:paraId="0C5B07F9" w14:textId="77777777" w:rsidTr="00F34FAE">
        <w:trPr>
          <w:cnfStyle w:val="100000000000" w:firstRow="1" w:lastRow="0" w:firstColumn="0" w:lastColumn="0" w:oddVBand="0" w:evenVBand="0" w:oddHBand="0" w:evenHBand="0" w:firstRowFirstColumn="0" w:firstRowLastColumn="0" w:lastRowFirstColumn="0" w:lastRowLastColumn="0"/>
        </w:trPr>
        <w:tc>
          <w:tcPr>
            <w:tcW w:w="1093" w:type="dxa"/>
            <w:vAlign w:val="top"/>
          </w:tcPr>
          <w:p w14:paraId="0BCC90DF" w14:textId="77777777" w:rsidR="00DA23C2" w:rsidRPr="00DF3006" w:rsidRDefault="00DA23C2" w:rsidP="00F34FAE">
            <w:pPr>
              <w:spacing w:after="0" w:line="260" w:lineRule="exact"/>
              <w:rPr>
                <w:rFonts w:asciiTheme="minorHAnsi" w:hAnsiTheme="minorHAnsi" w:cstheme="minorHAnsi"/>
                <w:color w:val="414042" w:themeColor="text1"/>
              </w:rPr>
            </w:pPr>
          </w:p>
        </w:tc>
        <w:tc>
          <w:tcPr>
            <w:tcW w:w="2785" w:type="dxa"/>
            <w:vAlign w:val="top"/>
          </w:tcPr>
          <w:p w14:paraId="41DE6712" w14:textId="77777777" w:rsidR="00DA23C2" w:rsidRPr="00DF3006" w:rsidRDefault="00DA23C2" w:rsidP="00F34FAE">
            <w:pPr>
              <w:spacing w:after="0" w:line="260" w:lineRule="exact"/>
              <w:rPr>
                <w:rFonts w:asciiTheme="minorHAnsi" w:hAnsiTheme="minorHAnsi" w:cstheme="minorHAnsi"/>
                <w:color w:val="414042" w:themeColor="text1"/>
              </w:rPr>
            </w:pPr>
            <w:r w:rsidRPr="00DF3006">
              <w:rPr>
                <w:rFonts w:asciiTheme="minorHAnsi" w:hAnsiTheme="minorHAnsi" w:cstheme="minorHAnsi"/>
                <w:color w:val="414042" w:themeColor="text1"/>
              </w:rPr>
              <w:t>No. of complaints</w:t>
            </w:r>
          </w:p>
        </w:tc>
        <w:tc>
          <w:tcPr>
            <w:tcW w:w="2643" w:type="dxa"/>
            <w:vAlign w:val="top"/>
          </w:tcPr>
          <w:p w14:paraId="0C24EFE4" w14:textId="77777777" w:rsidR="00DA23C2" w:rsidRPr="00DF3006" w:rsidRDefault="00DA23C2" w:rsidP="00F34FAE">
            <w:pPr>
              <w:spacing w:after="0" w:line="260" w:lineRule="exact"/>
              <w:rPr>
                <w:rFonts w:asciiTheme="minorHAnsi" w:hAnsiTheme="minorHAnsi" w:cstheme="minorHAnsi"/>
                <w:color w:val="414042" w:themeColor="text1"/>
              </w:rPr>
            </w:pPr>
            <w:r w:rsidRPr="00DF3006">
              <w:rPr>
                <w:rFonts w:asciiTheme="minorHAnsi" w:hAnsiTheme="minorHAnsi" w:cstheme="minorHAnsi"/>
                <w:color w:val="414042" w:themeColor="text1"/>
              </w:rPr>
              <w:t>No. of allegations</w:t>
            </w:r>
          </w:p>
        </w:tc>
        <w:tc>
          <w:tcPr>
            <w:tcW w:w="3117" w:type="dxa"/>
          </w:tcPr>
          <w:p w14:paraId="0013A2D9" w14:textId="77777777" w:rsidR="00DA23C2" w:rsidRPr="00DF3006" w:rsidRDefault="00DA23C2" w:rsidP="00F34FAE">
            <w:pPr>
              <w:spacing w:after="0" w:line="260" w:lineRule="exact"/>
              <w:rPr>
                <w:rFonts w:asciiTheme="minorHAnsi" w:hAnsiTheme="minorHAnsi" w:cstheme="minorHAnsi"/>
                <w:color w:val="414042" w:themeColor="text1"/>
              </w:rPr>
            </w:pPr>
            <w:r w:rsidRPr="00DF3006">
              <w:rPr>
                <w:rFonts w:asciiTheme="minorHAnsi" w:hAnsiTheme="minorHAnsi" w:cstheme="minorHAnsi"/>
                <w:color w:val="414042" w:themeColor="text1"/>
              </w:rPr>
              <w:t>No. of investigations commenced</w:t>
            </w:r>
          </w:p>
        </w:tc>
      </w:tr>
      <w:tr w:rsidR="00DF3006" w:rsidRPr="00DF3006" w14:paraId="0632598A" w14:textId="77777777" w:rsidTr="00F34FAE">
        <w:tc>
          <w:tcPr>
            <w:tcW w:w="1093" w:type="dxa"/>
            <w:shd w:val="clear" w:color="auto" w:fill="auto"/>
            <w:vAlign w:val="top"/>
          </w:tcPr>
          <w:p w14:paraId="1B4D8439" w14:textId="77777777" w:rsidR="000211DF" w:rsidRPr="00DF3006" w:rsidRDefault="000211DF" w:rsidP="000211DF">
            <w:pPr>
              <w:spacing w:after="0" w:line="260" w:lineRule="exact"/>
              <w:rPr>
                <w:rFonts w:ascii="Calibri" w:hAnsi="Calibri" w:cs="Calibri"/>
                <w:color w:val="414042" w:themeColor="text1"/>
                <w:highlight w:val="green"/>
              </w:rPr>
            </w:pPr>
            <w:r w:rsidRPr="00DF3006">
              <w:rPr>
                <w:rFonts w:ascii="Calibri" w:hAnsi="Calibri" w:cs="Calibri"/>
                <w:color w:val="414042" w:themeColor="text1"/>
              </w:rPr>
              <w:t>2022–23</w:t>
            </w:r>
          </w:p>
        </w:tc>
        <w:tc>
          <w:tcPr>
            <w:tcW w:w="2785" w:type="dxa"/>
            <w:shd w:val="clear" w:color="auto" w:fill="auto"/>
            <w:vAlign w:val="top"/>
          </w:tcPr>
          <w:p w14:paraId="07D638A6" w14:textId="230EE946" w:rsidR="000211DF" w:rsidRPr="00DF3006" w:rsidRDefault="000211DF" w:rsidP="00C404D9">
            <w:pPr>
              <w:spacing w:after="0" w:line="260" w:lineRule="exact"/>
              <w:jc w:val="center"/>
              <w:rPr>
                <w:color w:val="414042" w:themeColor="text1"/>
              </w:rPr>
            </w:pPr>
            <w:r w:rsidRPr="00DF3006">
              <w:rPr>
                <w:color w:val="414042" w:themeColor="text1"/>
              </w:rPr>
              <w:t>267</w:t>
            </w:r>
          </w:p>
        </w:tc>
        <w:tc>
          <w:tcPr>
            <w:tcW w:w="2643" w:type="dxa"/>
            <w:shd w:val="clear" w:color="auto" w:fill="auto"/>
            <w:vAlign w:val="top"/>
          </w:tcPr>
          <w:p w14:paraId="4047F393" w14:textId="47418B3E" w:rsidR="000211DF" w:rsidRPr="00DF3006" w:rsidRDefault="000211DF" w:rsidP="00C404D9">
            <w:pPr>
              <w:spacing w:after="0" w:line="260" w:lineRule="exact"/>
              <w:jc w:val="center"/>
              <w:rPr>
                <w:color w:val="414042" w:themeColor="text1"/>
              </w:rPr>
            </w:pPr>
            <w:r w:rsidRPr="00DF3006">
              <w:rPr>
                <w:color w:val="414042" w:themeColor="text1"/>
              </w:rPr>
              <w:t>399</w:t>
            </w:r>
          </w:p>
        </w:tc>
        <w:tc>
          <w:tcPr>
            <w:tcW w:w="3117" w:type="dxa"/>
            <w:shd w:val="clear" w:color="auto" w:fill="auto"/>
            <w:vAlign w:val="top"/>
          </w:tcPr>
          <w:p w14:paraId="23581BE1" w14:textId="44BB8DAB" w:rsidR="000211DF" w:rsidRPr="00DF3006" w:rsidRDefault="000211DF" w:rsidP="00C404D9">
            <w:pPr>
              <w:spacing w:after="0" w:line="260" w:lineRule="exact"/>
              <w:jc w:val="center"/>
              <w:rPr>
                <w:color w:val="414042" w:themeColor="text1"/>
              </w:rPr>
            </w:pPr>
            <w:r w:rsidRPr="00DF3006">
              <w:rPr>
                <w:color w:val="414042" w:themeColor="text1"/>
              </w:rPr>
              <w:t>6</w:t>
            </w:r>
          </w:p>
        </w:tc>
      </w:tr>
      <w:tr w:rsidR="00DF3006" w:rsidRPr="00DF3006" w14:paraId="36EB3CB6" w14:textId="77777777" w:rsidTr="00F34FAE">
        <w:tc>
          <w:tcPr>
            <w:tcW w:w="1093" w:type="dxa"/>
            <w:shd w:val="clear" w:color="auto" w:fill="auto"/>
            <w:vAlign w:val="top"/>
          </w:tcPr>
          <w:p w14:paraId="07D37326" w14:textId="36559786" w:rsidR="000211DF" w:rsidRPr="00DF3006" w:rsidRDefault="000211DF" w:rsidP="000211DF">
            <w:pPr>
              <w:spacing w:after="0" w:line="260" w:lineRule="exact"/>
              <w:rPr>
                <w:rFonts w:ascii="Calibri" w:hAnsi="Calibri" w:cs="Calibri"/>
                <w:color w:val="414042" w:themeColor="text1"/>
              </w:rPr>
            </w:pPr>
            <w:r w:rsidRPr="00DF3006">
              <w:rPr>
                <w:rFonts w:ascii="Calibri" w:hAnsi="Calibri" w:cs="Calibri"/>
                <w:color w:val="414042" w:themeColor="text1"/>
              </w:rPr>
              <w:t>2021–22</w:t>
            </w:r>
          </w:p>
        </w:tc>
        <w:tc>
          <w:tcPr>
            <w:tcW w:w="2785" w:type="dxa"/>
            <w:shd w:val="clear" w:color="auto" w:fill="auto"/>
            <w:vAlign w:val="top"/>
          </w:tcPr>
          <w:p w14:paraId="55F53F63" w14:textId="421AAF25" w:rsidR="000211DF" w:rsidRPr="00DF3006" w:rsidRDefault="000211DF" w:rsidP="00C404D9">
            <w:pPr>
              <w:spacing w:after="0" w:line="260" w:lineRule="exact"/>
              <w:jc w:val="center"/>
              <w:rPr>
                <w:color w:val="414042" w:themeColor="text1"/>
              </w:rPr>
            </w:pPr>
            <w:r w:rsidRPr="00DF3006">
              <w:rPr>
                <w:color w:val="414042" w:themeColor="text1"/>
              </w:rPr>
              <w:t>342</w:t>
            </w:r>
          </w:p>
        </w:tc>
        <w:tc>
          <w:tcPr>
            <w:tcW w:w="2643" w:type="dxa"/>
            <w:shd w:val="clear" w:color="auto" w:fill="auto"/>
            <w:vAlign w:val="top"/>
          </w:tcPr>
          <w:p w14:paraId="3C8D96DA" w14:textId="18A21F95" w:rsidR="000211DF" w:rsidRPr="00DF3006" w:rsidRDefault="000211DF" w:rsidP="00C404D9">
            <w:pPr>
              <w:spacing w:after="0" w:line="260" w:lineRule="exact"/>
              <w:jc w:val="center"/>
              <w:rPr>
                <w:color w:val="414042" w:themeColor="text1"/>
              </w:rPr>
            </w:pPr>
            <w:r w:rsidRPr="00DF3006">
              <w:rPr>
                <w:color w:val="414042" w:themeColor="text1"/>
              </w:rPr>
              <w:t>474</w:t>
            </w:r>
          </w:p>
        </w:tc>
        <w:tc>
          <w:tcPr>
            <w:tcW w:w="3117" w:type="dxa"/>
            <w:shd w:val="clear" w:color="auto" w:fill="auto"/>
            <w:vAlign w:val="top"/>
          </w:tcPr>
          <w:p w14:paraId="1EE0F387" w14:textId="1EA24C1B" w:rsidR="000211DF" w:rsidRPr="00DF3006" w:rsidRDefault="000211DF" w:rsidP="00C404D9">
            <w:pPr>
              <w:spacing w:after="0" w:line="260" w:lineRule="exact"/>
              <w:jc w:val="center"/>
              <w:rPr>
                <w:color w:val="414042" w:themeColor="text1"/>
              </w:rPr>
            </w:pPr>
            <w:r w:rsidRPr="00DF3006">
              <w:rPr>
                <w:color w:val="414042" w:themeColor="text1"/>
              </w:rPr>
              <w:t>3</w:t>
            </w:r>
          </w:p>
        </w:tc>
      </w:tr>
      <w:tr w:rsidR="00DF3006" w:rsidRPr="00DF3006" w14:paraId="3BF77CD1" w14:textId="77777777" w:rsidTr="00F34FAE">
        <w:tc>
          <w:tcPr>
            <w:tcW w:w="1093" w:type="dxa"/>
            <w:shd w:val="clear" w:color="auto" w:fill="auto"/>
            <w:vAlign w:val="top"/>
          </w:tcPr>
          <w:p w14:paraId="54A1AB98" w14:textId="0C11CF53" w:rsidR="000211DF" w:rsidRPr="00DF3006" w:rsidRDefault="000211DF" w:rsidP="000211DF">
            <w:pPr>
              <w:spacing w:after="0" w:line="260" w:lineRule="exact"/>
              <w:rPr>
                <w:rFonts w:ascii="Calibri" w:hAnsi="Calibri" w:cs="Calibri"/>
                <w:color w:val="414042" w:themeColor="text1"/>
              </w:rPr>
            </w:pPr>
            <w:r w:rsidRPr="00DF3006">
              <w:rPr>
                <w:rFonts w:ascii="Calibri" w:hAnsi="Calibri" w:cs="Calibri"/>
                <w:color w:val="414042" w:themeColor="text1"/>
              </w:rPr>
              <w:t>2020–21</w:t>
            </w:r>
          </w:p>
        </w:tc>
        <w:tc>
          <w:tcPr>
            <w:tcW w:w="2785" w:type="dxa"/>
            <w:shd w:val="clear" w:color="auto" w:fill="auto"/>
            <w:vAlign w:val="top"/>
          </w:tcPr>
          <w:p w14:paraId="5940C35A" w14:textId="77777777" w:rsidR="000211DF" w:rsidRPr="00DF3006" w:rsidRDefault="000211DF" w:rsidP="00C404D9">
            <w:pPr>
              <w:spacing w:after="0" w:line="260" w:lineRule="exact"/>
              <w:jc w:val="center"/>
              <w:rPr>
                <w:color w:val="414042" w:themeColor="text1"/>
              </w:rPr>
            </w:pPr>
            <w:r w:rsidRPr="00DF3006">
              <w:rPr>
                <w:color w:val="414042" w:themeColor="text1"/>
              </w:rPr>
              <w:t>370</w:t>
            </w:r>
          </w:p>
        </w:tc>
        <w:tc>
          <w:tcPr>
            <w:tcW w:w="2643" w:type="dxa"/>
            <w:shd w:val="clear" w:color="auto" w:fill="auto"/>
            <w:vAlign w:val="top"/>
          </w:tcPr>
          <w:p w14:paraId="24934B6F" w14:textId="77777777" w:rsidR="000211DF" w:rsidRPr="00DF3006" w:rsidRDefault="000211DF" w:rsidP="00C404D9">
            <w:pPr>
              <w:spacing w:after="0" w:line="260" w:lineRule="exact"/>
              <w:jc w:val="center"/>
              <w:rPr>
                <w:color w:val="414042" w:themeColor="text1"/>
              </w:rPr>
            </w:pPr>
            <w:r w:rsidRPr="00DF3006">
              <w:rPr>
                <w:color w:val="414042" w:themeColor="text1"/>
              </w:rPr>
              <w:t>620</w:t>
            </w:r>
          </w:p>
        </w:tc>
        <w:tc>
          <w:tcPr>
            <w:tcW w:w="3117" w:type="dxa"/>
            <w:shd w:val="clear" w:color="auto" w:fill="auto"/>
            <w:vAlign w:val="top"/>
          </w:tcPr>
          <w:p w14:paraId="41C19ED7" w14:textId="77777777" w:rsidR="000211DF" w:rsidRPr="00DF3006" w:rsidRDefault="000211DF" w:rsidP="00C404D9">
            <w:pPr>
              <w:spacing w:after="0" w:line="260" w:lineRule="exact"/>
              <w:jc w:val="center"/>
              <w:rPr>
                <w:color w:val="414042" w:themeColor="text1"/>
              </w:rPr>
            </w:pPr>
            <w:r w:rsidRPr="00DF3006">
              <w:rPr>
                <w:color w:val="414042" w:themeColor="text1"/>
              </w:rPr>
              <w:t>3</w:t>
            </w:r>
          </w:p>
        </w:tc>
      </w:tr>
      <w:tr w:rsidR="00DF3006" w:rsidRPr="00DF3006" w14:paraId="77FEB4F6" w14:textId="77777777" w:rsidTr="00F34FAE">
        <w:tc>
          <w:tcPr>
            <w:tcW w:w="1093" w:type="dxa"/>
            <w:shd w:val="clear" w:color="auto" w:fill="auto"/>
            <w:vAlign w:val="top"/>
          </w:tcPr>
          <w:p w14:paraId="207C282F" w14:textId="224B5F3F" w:rsidR="000211DF" w:rsidRPr="00DF3006" w:rsidRDefault="000211DF" w:rsidP="000211DF">
            <w:pPr>
              <w:spacing w:after="0" w:line="260" w:lineRule="exact"/>
              <w:rPr>
                <w:rFonts w:ascii="Calibri" w:hAnsi="Calibri" w:cs="Calibri"/>
                <w:color w:val="414042" w:themeColor="text1"/>
              </w:rPr>
            </w:pPr>
            <w:r w:rsidRPr="00DF3006">
              <w:rPr>
                <w:rFonts w:ascii="Calibri" w:hAnsi="Calibri" w:cs="Calibri"/>
                <w:color w:val="414042" w:themeColor="text1"/>
              </w:rPr>
              <w:t>2019–20</w:t>
            </w:r>
          </w:p>
        </w:tc>
        <w:tc>
          <w:tcPr>
            <w:tcW w:w="2785" w:type="dxa"/>
            <w:shd w:val="clear" w:color="auto" w:fill="auto"/>
            <w:vAlign w:val="top"/>
          </w:tcPr>
          <w:p w14:paraId="561E46C6" w14:textId="77777777" w:rsidR="000211DF" w:rsidRPr="00DF3006" w:rsidRDefault="000211DF" w:rsidP="00C404D9">
            <w:pPr>
              <w:spacing w:after="0" w:line="260" w:lineRule="exact"/>
              <w:jc w:val="center"/>
              <w:rPr>
                <w:color w:val="414042" w:themeColor="text1"/>
              </w:rPr>
            </w:pPr>
            <w:r w:rsidRPr="00DF3006">
              <w:rPr>
                <w:color w:val="414042" w:themeColor="text1"/>
              </w:rPr>
              <w:t>437</w:t>
            </w:r>
          </w:p>
        </w:tc>
        <w:tc>
          <w:tcPr>
            <w:tcW w:w="2643" w:type="dxa"/>
            <w:shd w:val="clear" w:color="auto" w:fill="auto"/>
            <w:vAlign w:val="top"/>
          </w:tcPr>
          <w:p w14:paraId="628E0081" w14:textId="77777777" w:rsidR="000211DF" w:rsidRPr="00DF3006" w:rsidRDefault="000211DF" w:rsidP="00C404D9">
            <w:pPr>
              <w:spacing w:after="0" w:line="260" w:lineRule="exact"/>
              <w:jc w:val="center"/>
              <w:rPr>
                <w:color w:val="414042" w:themeColor="text1"/>
              </w:rPr>
            </w:pPr>
            <w:r w:rsidRPr="00DF3006">
              <w:rPr>
                <w:color w:val="414042" w:themeColor="text1"/>
              </w:rPr>
              <w:t>675</w:t>
            </w:r>
          </w:p>
        </w:tc>
        <w:tc>
          <w:tcPr>
            <w:tcW w:w="3117" w:type="dxa"/>
            <w:shd w:val="clear" w:color="auto" w:fill="auto"/>
            <w:vAlign w:val="top"/>
          </w:tcPr>
          <w:p w14:paraId="7CB64840" w14:textId="77777777" w:rsidR="000211DF" w:rsidRPr="00DF3006" w:rsidRDefault="000211DF" w:rsidP="00C404D9">
            <w:pPr>
              <w:spacing w:after="0" w:line="260" w:lineRule="exact"/>
              <w:jc w:val="center"/>
              <w:rPr>
                <w:color w:val="414042" w:themeColor="text1"/>
              </w:rPr>
            </w:pPr>
            <w:r w:rsidRPr="00DF3006">
              <w:rPr>
                <w:color w:val="414042" w:themeColor="text1"/>
              </w:rPr>
              <w:t>5</w:t>
            </w:r>
          </w:p>
        </w:tc>
      </w:tr>
      <w:tr w:rsidR="00DF3006" w:rsidRPr="00DF3006" w14:paraId="115FA027" w14:textId="77777777" w:rsidTr="00F34FAE">
        <w:tc>
          <w:tcPr>
            <w:tcW w:w="1093" w:type="dxa"/>
            <w:shd w:val="clear" w:color="auto" w:fill="auto"/>
            <w:vAlign w:val="top"/>
          </w:tcPr>
          <w:p w14:paraId="017128FF" w14:textId="4091C14A" w:rsidR="000211DF" w:rsidRPr="00DF3006" w:rsidRDefault="000211DF" w:rsidP="000211DF">
            <w:pPr>
              <w:spacing w:after="0" w:line="260" w:lineRule="exact"/>
              <w:rPr>
                <w:rFonts w:ascii="Calibri" w:hAnsi="Calibri" w:cs="Calibri"/>
                <w:color w:val="414042" w:themeColor="text1"/>
              </w:rPr>
            </w:pPr>
            <w:r w:rsidRPr="00DF3006">
              <w:rPr>
                <w:rFonts w:ascii="Calibri" w:hAnsi="Calibri" w:cs="Calibri"/>
                <w:color w:val="414042" w:themeColor="text1"/>
              </w:rPr>
              <w:t>2018–19</w:t>
            </w:r>
          </w:p>
        </w:tc>
        <w:tc>
          <w:tcPr>
            <w:tcW w:w="2785" w:type="dxa"/>
            <w:shd w:val="clear" w:color="auto" w:fill="auto"/>
            <w:vAlign w:val="top"/>
          </w:tcPr>
          <w:p w14:paraId="6D3E7A34" w14:textId="77777777" w:rsidR="000211DF" w:rsidRPr="00DF3006" w:rsidRDefault="000211DF" w:rsidP="00C404D9">
            <w:pPr>
              <w:spacing w:after="0" w:line="260" w:lineRule="exact"/>
              <w:jc w:val="center"/>
              <w:rPr>
                <w:color w:val="414042" w:themeColor="text1"/>
              </w:rPr>
            </w:pPr>
            <w:r w:rsidRPr="00DF3006">
              <w:rPr>
                <w:color w:val="414042" w:themeColor="text1"/>
              </w:rPr>
              <w:t>452</w:t>
            </w:r>
          </w:p>
        </w:tc>
        <w:tc>
          <w:tcPr>
            <w:tcW w:w="2643" w:type="dxa"/>
            <w:shd w:val="clear" w:color="auto" w:fill="auto"/>
            <w:vAlign w:val="top"/>
          </w:tcPr>
          <w:p w14:paraId="10E3063F" w14:textId="77777777" w:rsidR="000211DF" w:rsidRPr="00DF3006" w:rsidRDefault="000211DF" w:rsidP="00C404D9">
            <w:pPr>
              <w:spacing w:after="0" w:line="260" w:lineRule="exact"/>
              <w:jc w:val="center"/>
              <w:rPr>
                <w:color w:val="414042" w:themeColor="text1"/>
              </w:rPr>
            </w:pPr>
            <w:r w:rsidRPr="00DF3006">
              <w:rPr>
                <w:color w:val="414042" w:themeColor="text1"/>
              </w:rPr>
              <w:t>816</w:t>
            </w:r>
          </w:p>
        </w:tc>
        <w:tc>
          <w:tcPr>
            <w:tcW w:w="3117" w:type="dxa"/>
            <w:shd w:val="clear" w:color="auto" w:fill="auto"/>
            <w:vAlign w:val="top"/>
          </w:tcPr>
          <w:p w14:paraId="7073465F" w14:textId="77777777" w:rsidR="000211DF" w:rsidRPr="00DF3006" w:rsidRDefault="000211DF" w:rsidP="00C404D9">
            <w:pPr>
              <w:spacing w:after="0" w:line="260" w:lineRule="exact"/>
              <w:jc w:val="center"/>
              <w:rPr>
                <w:color w:val="414042" w:themeColor="text1"/>
              </w:rPr>
            </w:pPr>
            <w:r w:rsidRPr="00DF3006">
              <w:rPr>
                <w:color w:val="414042" w:themeColor="text1"/>
              </w:rPr>
              <w:t>15</w:t>
            </w:r>
          </w:p>
        </w:tc>
      </w:tr>
    </w:tbl>
    <w:p w14:paraId="249EA360" w14:textId="77777777" w:rsidR="00E918DE" w:rsidRPr="00DF3006" w:rsidRDefault="00E918DE" w:rsidP="00463FBB">
      <w:pPr>
        <w:pStyle w:val="Heading4"/>
        <w:rPr>
          <w:noProof/>
          <w:lang w:eastAsia="en-AU"/>
        </w:rPr>
        <w:sectPr w:rsidR="00E918DE" w:rsidRPr="00DF3006" w:rsidSect="00C77834">
          <w:headerReference w:type="even" r:id="rId226"/>
          <w:headerReference w:type="default" r:id="rId227"/>
          <w:headerReference w:type="first" r:id="rId228"/>
          <w:type w:val="continuous"/>
          <w:pgSz w:w="11906" w:h="16838" w:code="9"/>
          <w:pgMar w:top="2155" w:right="1134" w:bottom="964" w:left="1134" w:header="720" w:footer="284" w:gutter="0"/>
          <w:cols w:space="567"/>
          <w:noEndnote/>
          <w:docGrid w:linePitch="272"/>
        </w:sectPr>
      </w:pPr>
    </w:p>
    <w:p w14:paraId="38DD8078" w14:textId="2637515D" w:rsidR="006B38C8" w:rsidRPr="00DF3006" w:rsidRDefault="006B38C8" w:rsidP="00463FBB">
      <w:pPr>
        <w:pStyle w:val="Heading4"/>
        <w:rPr>
          <w:noProof/>
          <w:lang w:eastAsia="en-AU"/>
        </w:rPr>
      </w:pPr>
      <w:r w:rsidRPr="00DF3006">
        <w:rPr>
          <w:noProof/>
          <w:lang w:eastAsia="en-AU"/>
        </w:rPr>
        <w:lastRenderedPageBreak/>
        <w:t>Oversight of agency investigations: reviews and monitoring</w:t>
      </w:r>
    </w:p>
    <w:p w14:paraId="24965E34" w14:textId="3F58F42A" w:rsidR="006B38C8" w:rsidRPr="00DF3006" w:rsidRDefault="006B38C8" w:rsidP="006B38C8">
      <w:pPr>
        <w:rPr>
          <w:color w:val="414042" w:themeColor="text1"/>
        </w:rPr>
      </w:pPr>
      <w:r w:rsidRPr="00DF3006">
        <w:rPr>
          <w:color w:val="414042" w:themeColor="text1"/>
        </w:rPr>
        <w:t xml:space="preserve">We commenced 29 reviews and finalised 27 reviews of matters dealt with by </w:t>
      </w:r>
      <w:r w:rsidR="00981A7E" w:rsidRPr="00DF3006">
        <w:rPr>
          <w:color w:val="414042" w:themeColor="text1"/>
        </w:rPr>
        <w:t xml:space="preserve">a </w:t>
      </w:r>
      <w:r w:rsidRPr="00DF3006">
        <w:rPr>
          <w:color w:val="414042" w:themeColor="text1"/>
        </w:rPr>
        <w:t>UPA subject to our monitoring function.</w:t>
      </w:r>
      <w:r w:rsidRPr="00DF3006">
        <w:rPr>
          <w:color w:val="414042" w:themeColor="text1"/>
        </w:rPr>
        <w:br w:type="column"/>
      </w:r>
      <w:r w:rsidRPr="00DF3006">
        <w:rPr>
          <w:rFonts w:asciiTheme="minorHAnsi" w:eastAsia="Times New Roman" w:hAnsiTheme="minorHAnsi" w:cs="Times New Roman"/>
          <w:b/>
          <w:bCs/>
          <w:noProof/>
          <w:color w:val="414042" w:themeColor="text1"/>
          <w:sz w:val="28"/>
          <w:szCs w:val="28"/>
          <w:lang w:eastAsia="en-AU"/>
        </w:rPr>
        <w:t>Preventing corruption</w:t>
      </w:r>
    </w:p>
    <w:p w14:paraId="37A8A5DE" w14:textId="77777777" w:rsidR="006B38C8" w:rsidRPr="00DF3006" w:rsidRDefault="006B38C8" w:rsidP="006B38C8">
      <w:pPr>
        <w:rPr>
          <w:color w:val="414042" w:themeColor="text1"/>
        </w:rPr>
      </w:pPr>
      <w:r w:rsidRPr="00DF3006">
        <w:rPr>
          <w:color w:val="414042" w:themeColor="text1"/>
          <w:spacing w:val="-4"/>
        </w:rPr>
        <w:t xml:space="preserve">Prevention recommendations in relation to exploitation of public resources </w:t>
      </w:r>
      <w:r w:rsidRPr="00DF3006">
        <w:rPr>
          <w:color w:val="414042" w:themeColor="text1"/>
        </w:rPr>
        <w:t>were made to agencies in relation to:</w:t>
      </w:r>
    </w:p>
    <w:p w14:paraId="7A09647A" w14:textId="77777777" w:rsidR="00B54579" w:rsidRPr="00DF3006" w:rsidRDefault="00B54579" w:rsidP="00B54579">
      <w:pPr>
        <w:pStyle w:val="Bullets"/>
        <w:rPr>
          <w:color w:val="414042" w:themeColor="text1"/>
        </w:rPr>
      </w:pPr>
      <w:r w:rsidRPr="00DF3006">
        <w:rPr>
          <w:color w:val="414042" w:themeColor="text1"/>
        </w:rPr>
        <w:t xml:space="preserve">ensuring that internal policies, </w:t>
      </w:r>
      <w:proofErr w:type="gramStart"/>
      <w:r w:rsidRPr="00DF3006">
        <w:rPr>
          <w:color w:val="414042" w:themeColor="text1"/>
        </w:rPr>
        <w:t>processes</w:t>
      </w:r>
      <w:proofErr w:type="gramEnd"/>
      <w:r w:rsidRPr="00DF3006">
        <w:rPr>
          <w:color w:val="414042" w:themeColor="text1"/>
        </w:rPr>
        <w:t xml:space="preserve"> and controls to prevent fraud and corruption risks are followed so that conflicts of interest are appropriately recognised, declared and managed, and</w:t>
      </w:r>
    </w:p>
    <w:p w14:paraId="5052257E" w14:textId="632148C0" w:rsidR="006B38C8" w:rsidRPr="00DF3006" w:rsidRDefault="00B54579" w:rsidP="00B54579">
      <w:pPr>
        <w:pStyle w:val="Bullets"/>
        <w:rPr>
          <w:color w:val="414042" w:themeColor="text1"/>
        </w:rPr>
      </w:pPr>
      <w:r w:rsidRPr="00DF3006">
        <w:rPr>
          <w:color w:val="414042" w:themeColor="text1"/>
        </w:rPr>
        <w:t>implementing controls to ensure procurement processes are appropriately managed</w:t>
      </w:r>
      <w:r w:rsidR="006B38C8" w:rsidRPr="00DF3006">
        <w:rPr>
          <w:color w:val="414042" w:themeColor="text1"/>
        </w:rPr>
        <w:t>.</w:t>
      </w:r>
    </w:p>
    <w:p w14:paraId="7A7524D1" w14:textId="77777777" w:rsidR="006B38C8" w:rsidRPr="00DF3006" w:rsidRDefault="006B38C8" w:rsidP="006B38C8">
      <w:pPr>
        <w:pStyle w:val="Bullets"/>
        <w:numPr>
          <w:ilvl w:val="0"/>
          <w:numId w:val="0"/>
        </w:numPr>
        <w:ind w:left="502" w:hanging="360"/>
        <w:rPr>
          <w:color w:val="414042" w:themeColor="text1"/>
          <w:highlight w:val="green"/>
        </w:rPr>
      </w:pPr>
    </w:p>
    <w:p w14:paraId="7B126227" w14:textId="6E2FD8E6" w:rsidR="006B38C8" w:rsidRPr="00DF3006" w:rsidRDefault="000B43D8" w:rsidP="006B38C8">
      <w:pPr>
        <w:rPr>
          <w:color w:val="414042" w:themeColor="text1"/>
        </w:rPr>
        <w:sectPr w:rsidR="006B38C8" w:rsidRPr="00DF3006" w:rsidSect="00C77834">
          <w:pgSz w:w="11906" w:h="16838" w:code="9"/>
          <w:pgMar w:top="2155" w:right="1134" w:bottom="964" w:left="1134" w:header="720" w:footer="284" w:gutter="0"/>
          <w:cols w:num="2" w:space="567"/>
          <w:noEndnote/>
          <w:docGrid w:linePitch="272"/>
        </w:sectPr>
      </w:pP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r w:rsidRPr="00DF3006">
        <w:rPr>
          <w:color w:val="414042" w:themeColor="text1"/>
        </w:rPr>
        <w:br/>
      </w:r>
    </w:p>
    <w:p w14:paraId="0B4C78AB" w14:textId="3A44F519" w:rsidR="006B38C8" w:rsidRPr="00DF3006" w:rsidRDefault="006B38C8" w:rsidP="00463FBB">
      <w:pPr>
        <w:pStyle w:val="Heading4b"/>
      </w:pPr>
      <w:r w:rsidRPr="00DF3006">
        <w:t xml:space="preserve">Table </w:t>
      </w:r>
      <w:r w:rsidR="00A2421F" w:rsidRPr="00DF3006">
        <w:t>5</w:t>
      </w:r>
      <w:r w:rsidRPr="00DF3006">
        <w:t>: Exploitation of public sector resources – summary of outcomes 2022–23</w:t>
      </w:r>
      <w:r w:rsidRPr="00DF3006">
        <w:rPr>
          <w:vertAlign w:val="superscript"/>
        </w:rPr>
        <w:t>1</w:t>
      </w:r>
    </w:p>
    <w:tbl>
      <w:tblPr>
        <w:tblStyle w:val="Annualreport2020-21"/>
        <w:tblW w:w="5000" w:type="pct"/>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7654"/>
        <w:gridCol w:w="1984"/>
      </w:tblGrid>
      <w:tr w:rsidR="00DF3006" w:rsidRPr="00DF3006" w14:paraId="03A36A62" w14:textId="77777777" w:rsidTr="00074501">
        <w:trPr>
          <w:cnfStyle w:val="100000000000" w:firstRow="1" w:lastRow="0" w:firstColumn="0" w:lastColumn="0" w:oddVBand="0" w:evenVBand="0" w:oddHBand="0" w:evenHBand="0" w:firstRowFirstColumn="0" w:firstRowLastColumn="0" w:lastRowFirstColumn="0" w:lastRowLastColumn="0"/>
        </w:trPr>
        <w:tc>
          <w:tcPr>
            <w:tcW w:w="3971" w:type="pct"/>
            <w:vAlign w:val="top"/>
          </w:tcPr>
          <w:p w14:paraId="0FBDED66" w14:textId="77777777" w:rsidR="006B38C8" w:rsidRPr="00DF3006" w:rsidRDefault="006B38C8" w:rsidP="00074501">
            <w:pPr>
              <w:spacing w:after="0" w:line="260" w:lineRule="exact"/>
              <w:jc w:val="left"/>
              <w:rPr>
                <w:rFonts w:asciiTheme="minorHAnsi" w:hAnsiTheme="minorHAnsi" w:cstheme="minorHAnsi"/>
                <w:color w:val="414042" w:themeColor="text1"/>
              </w:rPr>
            </w:pPr>
            <w:bookmarkStart w:id="1344" w:name="_Hlk108023476"/>
            <w:r w:rsidRPr="00DF3006">
              <w:rPr>
                <w:rFonts w:asciiTheme="minorHAnsi" w:hAnsiTheme="minorHAnsi" w:cstheme="minorHAnsi"/>
                <w:color w:val="414042" w:themeColor="text1"/>
              </w:rPr>
              <w:t>Description</w:t>
            </w:r>
          </w:p>
        </w:tc>
        <w:tc>
          <w:tcPr>
            <w:tcW w:w="1029" w:type="pct"/>
            <w:vAlign w:val="top"/>
          </w:tcPr>
          <w:p w14:paraId="04491B27" w14:textId="77777777" w:rsidR="006B38C8" w:rsidRPr="00DF3006" w:rsidRDefault="006B38C8" w:rsidP="00074501">
            <w:pPr>
              <w:spacing w:after="0" w:line="260" w:lineRule="exact"/>
              <w:rPr>
                <w:rFonts w:asciiTheme="minorHAnsi" w:hAnsiTheme="minorHAnsi" w:cstheme="minorHAnsi"/>
                <w:color w:val="414042" w:themeColor="text1"/>
              </w:rPr>
            </w:pPr>
            <w:r w:rsidRPr="00DF3006">
              <w:rPr>
                <w:rFonts w:asciiTheme="minorHAnsi" w:hAnsiTheme="minorHAnsi" w:cstheme="minorHAnsi"/>
                <w:color w:val="414042" w:themeColor="text1"/>
              </w:rPr>
              <w:t>Number</w:t>
            </w:r>
          </w:p>
        </w:tc>
      </w:tr>
      <w:tr w:rsidR="00DF3006" w:rsidRPr="00DF3006" w14:paraId="2DC7B368" w14:textId="77777777" w:rsidTr="00074501">
        <w:tc>
          <w:tcPr>
            <w:tcW w:w="3971" w:type="pct"/>
            <w:shd w:val="clear" w:color="auto" w:fill="auto"/>
            <w:vAlign w:val="top"/>
          </w:tcPr>
          <w:p w14:paraId="2F34E275" w14:textId="77777777" w:rsidR="006B38C8" w:rsidRPr="00DF3006" w:rsidRDefault="006B38C8" w:rsidP="00074501">
            <w:pPr>
              <w:spacing w:after="0" w:line="260" w:lineRule="exact"/>
              <w:rPr>
                <w:color w:val="414042" w:themeColor="text1"/>
              </w:rPr>
            </w:pPr>
            <w:r w:rsidRPr="00DF3006">
              <w:rPr>
                <w:color w:val="414042" w:themeColor="text1"/>
              </w:rPr>
              <w:t xml:space="preserve">Investigations commenced </w:t>
            </w:r>
          </w:p>
        </w:tc>
        <w:tc>
          <w:tcPr>
            <w:tcW w:w="1029" w:type="pct"/>
            <w:shd w:val="clear" w:color="auto" w:fill="auto"/>
            <w:vAlign w:val="top"/>
          </w:tcPr>
          <w:p w14:paraId="1AE06677" w14:textId="77777777" w:rsidR="006B38C8" w:rsidRPr="00DF3006" w:rsidRDefault="006B38C8" w:rsidP="00C404D9">
            <w:pPr>
              <w:spacing w:after="0" w:line="260" w:lineRule="exact"/>
              <w:jc w:val="center"/>
              <w:rPr>
                <w:color w:val="414042" w:themeColor="text1"/>
              </w:rPr>
            </w:pPr>
            <w:r w:rsidRPr="00DF3006">
              <w:rPr>
                <w:color w:val="414042" w:themeColor="text1"/>
              </w:rPr>
              <w:t>6</w:t>
            </w:r>
          </w:p>
        </w:tc>
      </w:tr>
      <w:tr w:rsidR="00DF3006" w:rsidRPr="00DF3006" w14:paraId="4B2B92CB" w14:textId="77777777" w:rsidTr="00074501">
        <w:tc>
          <w:tcPr>
            <w:tcW w:w="3971" w:type="pct"/>
            <w:shd w:val="clear" w:color="auto" w:fill="auto"/>
            <w:vAlign w:val="top"/>
          </w:tcPr>
          <w:p w14:paraId="613A5DE4" w14:textId="77777777" w:rsidR="006B38C8" w:rsidRPr="00DF3006" w:rsidRDefault="006B38C8" w:rsidP="00074501">
            <w:pPr>
              <w:spacing w:after="0" w:line="260" w:lineRule="exact"/>
              <w:rPr>
                <w:color w:val="414042" w:themeColor="text1"/>
              </w:rPr>
            </w:pPr>
            <w:r w:rsidRPr="00DF3006">
              <w:rPr>
                <w:color w:val="414042" w:themeColor="text1"/>
              </w:rPr>
              <w:t>Investigations finalised</w:t>
            </w:r>
          </w:p>
        </w:tc>
        <w:tc>
          <w:tcPr>
            <w:tcW w:w="1029" w:type="pct"/>
            <w:shd w:val="clear" w:color="auto" w:fill="auto"/>
            <w:vAlign w:val="top"/>
          </w:tcPr>
          <w:p w14:paraId="1730EE1D" w14:textId="77777777" w:rsidR="006B38C8" w:rsidRPr="00DF3006" w:rsidRDefault="006B38C8" w:rsidP="00C404D9">
            <w:pPr>
              <w:spacing w:after="0" w:line="260" w:lineRule="exact"/>
              <w:jc w:val="center"/>
              <w:rPr>
                <w:color w:val="414042" w:themeColor="text1"/>
              </w:rPr>
            </w:pPr>
            <w:r w:rsidRPr="00DF3006">
              <w:rPr>
                <w:color w:val="414042" w:themeColor="text1"/>
              </w:rPr>
              <w:t>4</w:t>
            </w:r>
          </w:p>
        </w:tc>
      </w:tr>
      <w:tr w:rsidR="00DF3006" w:rsidRPr="00DF3006" w14:paraId="7AD84B13" w14:textId="77777777" w:rsidTr="00074501">
        <w:tc>
          <w:tcPr>
            <w:tcW w:w="3971" w:type="pct"/>
            <w:shd w:val="clear" w:color="auto" w:fill="auto"/>
            <w:vAlign w:val="top"/>
          </w:tcPr>
          <w:p w14:paraId="61AB61CA" w14:textId="77777777" w:rsidR="006B38C8" w:rsidRPr="00DF3006" w:rsidRDefault="006B38C8" w:rsidP="00074501">
            <w:pPr>
              <w:spacing w:after="0" w:line="260" w:lineRule="exact"/>
              <w:rPr>
                <w:color w:val="414042" w:themeColor="text1"/>
              </w:rPr>
            </w:pPr>
            <w:r w:rsidRPr="00DF3006">
              <w:rPr>
                <w:color w:val="414042" w:themeColor="text1"/>
              </w:rPr>
              <w:t>People charged</w:t>
            </w:r>
          </w:p>
        </w:tc>
        <w:tc>
          <w:tcPr>
            <w:tcW w:w="1029" w:type="pct"/>
            <w:shd w:val="clear" w:color="auto" w:fill="auto"/>
            <w:vAlign w:val="top"/>
          </w:tcPr>
          <w:p w14:paraId="06D37FBE" w14:textId="77777777" w:rsidR="006B38C8" w:rsidRPr="00DF3006" w:rsidRDefault="006B38C8" w:rsidP="00C404D9">
            <w:pPr>
              <w:spacing w:after="0" w:line="260" w:lineRule="exact"/>
              <w:jc w:val="center"/>
              <w:rPr>
                <w:color w:val="414042" w:themeColor="text1"/>
              </w:rPr>
            </w:pPr>
            <w:r w:rsidRPr="00DF3006">
              <w:rPr>
                <w:color w:val="414042" w:themeColor="text1"/>
              </w:rPr>
              <w:t>0</w:t>
            </w:r>
          </w:p>
        </w:tc>
      </w:tr>
      <w:tr w:rsidR="00DF3006" w:rsidRPr="00DF3006" w14:paraId="7E6F2D01" w14:textId="77777777" w:rsidTr="00074501">
        <w:tc>
          <w:tcPr>
            <w:tcW w:w="3971" w:type="pct"/>
            <w:shd w:val="clear" w:color="auto" w:fill="auto"/>
            <w:vAlign w:val="top"/>
          </w:tcPr>
          <w:p w14:paraId="56C51ACD" w14:textId="77777777" w:rsidR="006B38C8" w:rsidRPr="00DF3006" w:rsidRDefault="006B38C8" w:rsidP="00074501">
            <w:pPr>
              <w:spacing w:after="0" w:line="260" w:lineRule="exact"/>
              <w:rPr>
                <w:color w:val="414042" w:themeColor="text1"/>
              </w:rPr>
            </w:pPr>
            <w:r w:rsidRPr="00DF3006">
              <w:rPr>
                <w:color w:val="414042" w:themeColor="text1"/>
              </w:rPr>
              <w:t>Criminal charges laid</w:t>
            </w:r>
          </w:p>
        </w:tc>
        <w:tc>
          <w:tcPr>
            <w:tcW w:w="1029" w:type="pct"/>
            <w:shd w:val="clear" w:color="auto" w:fill="auto"/>
            <w:vAlign w:val="top"/>
          </w:tcPr>
          <w:p w14:paraId="62A210E6" w14:textId="77777777" w:rsidR="006B38C8" w:rsidRPr="00DF3006" w:rsidRDefault="006B38C8" w:rsidP="00C404D9">
            <w:pPr>
              <w:spacing w:after="0" w:line="260" w:lineRule="exact"/>
              <w:jc w:val="center"/>
              <w:rPr>
                <w:color w:val="414042" w:themeColor="text1"/>
              </w:rPr>
            </w:pPr>
            <w:r w:rsidRPr="00DF3006">
              <w:rPr>
                <w:color w:val="414042" w:themeColor="text1"/>
              </w:rPr>
              <w:t>0</w:t>
            </w:r>
          </w:p>
        </w:tc>
      </w:tr>
      <w:tr w:rsidR="00DF3006" w:rsidRPr="00DF3006" w14:paraId="61E639DF" w14:textId="77777777" w:rsidTr="00074501">
        <w:tc>
          <w:tcPr>
            <w:tcW w:w="3971" w:type="pct"/>
            <w:shd w:val="clear" w:color="auto" w:fill="auto"/>
            <w:vAlign w:val="top"/>
          </w:tcPr>
          <w:p w14:paraId="0A1E7D52" w14:textId="51D4B90D" w:rsidR="006B38C8" w:rsidRPr="00DF3006" w:rsidRDefault="006B38C8" w:rsidP="00074501">
            <w:pPr>
              <w:spacing w:after="0" w:line="260" w:lineRule="exact"/>
              <w:rPr>
                <w:color w:val="414042" w:themeColor="text1"/>
              </w:rPr>
            </w:pPr>
            <w:r w:rsidRPr="00DF3006">
              <w:rPr>
                <w:color w:val="414042" w:themeColor="text1"/>
              </w:rPr>
              <w:t xml:space="preserve">Referred to a </w:t>
            </w:r>
            <w:r w:rsidR="00BC6A87" w:rsidRPr="00DF3006">
              <w:rPr>
                <w:color w:val="414042" w:themeColor="text1"/>
              </w:rPr>
              <w:t>UPA</w:t>
            </w:r>
            <w:r w:rsidRPr="00DF3006">
              <w:rPr>
                <w:color w:val="414042" w:themeColor="text1"/>
              </w:rPr>
              <w:t xml:space="preserve"> to investigate subject to monitoring by the CCC</w:t>
            </w:r>
          </w:p>
        </w:tc>
        <w:tc>
          <w:tcPr>
            <w:tcW w:w="1029" w:type="pct"/>
            <w:shd w:val="clear" w:color="auto" w:fill="auto"/>
            <w:vAlign w:val="top"/>
          </w:tcPr>
          <w:p w14:paraId="4EBA734D" w14:textId="77777777" w:rsidR="006B38C8" w:rsidRPr="00DF3006" w:rsidRDefault="006B38C8" w:rsidP="00C404D9">
            <w:pPr>
              <w:spacing w:after="0" w:line="260" w:lineRule="exact"/>
              <w:jc w:val="center"/>
              <w:rPr>
                <w:color w:val="414042" w:themeColor="text1"/>
              </w:rPr>
            </w:pPr>
            <w:r w:rsidRPr="00DF3006">
              <w:rPr>
                <w:color w:val="414042" w:themeColor="text1"/>
              </w:rPr>
              <w:t>14</w:t>
            </w:r>
          </w:p>
        </w:tc>
      </w:tr>
      <w:tr w:rsidR="00DF3006" w:rsidRPr="00DF3006" w14:paraId="31798A6B" w14:textId="77777777" w:rsidTr="00074501">
        <w:tc>
          <w:tcPr>
            <w:tcW w:w="3971" w:type="pct"/>
            <w:shd w:val="clear" w:color="auto" w:fill="auto"/>
            <w:vAlign w:val="top"/>
          </w:tcPr>
          <w:p w14:paraId="5847053D" w14:textId="77777777" w:rsidR="006B38C8" w:rsidRPr="00DF3006" w:rsidRDefault="006B38C8" w:rsidP="00074501">
            <w:pPr>
              <w:spacing w:after="0" w:line="260" w:lineRule="exact"/>
              <w:rPr>
                <w:color w:val="414042" w:themeColor="text1"/>
              </w:rPr>
            </w:pPr>
            <w:r w:rsidRPr="00DF3006">
              <w:rPr>
                <w:color w:val="414042" w:themeColor="text1"/>
              </w:rPr>
              <w:t>Reviews commenced</w:t>
            </w:r>
          </w:p>
        </w:tc>
        <w:tc>
          <w:tcPr>
            <w:tcW w:w="1029" w:type="pct"/>
            <w:shd w:val="clear" w:color="auto" w:fill="auto"/>
            <w:vAlign w:val="top"/>
          </w:tcPr>
          <w:p w14:paraId="37A0DE36" w14:textId="77777777" w:rsidR="006B38C8" w:rsidRPr="00DF3006" w:rsidRDefault="006B38C8" w:rsidP="00C404D9">
            <w:pPr>
              <w:spacing w:after="0" w:line="260" w:lineRule="exact"/>
              <w:jc w:val="center"/>
              <w:rPr>
                <w:color w:val="414042" w:themeColor="text1"/>
              </w:rPr>
            </w:pPr>
            <w:r w:rsidRPr="00DF3006">
              <w:rPr>
                <w:color w:val="414042" w:themeColor="text1"/>
              </w:rPr>
              <w:t>29</w:t>
            </w:r>
          </w:p>
        </w:tc>
      </w:tr>
      <w:tr w:rsidR="00DF3006" w:rsidRPr="00DF3006" w14:paraId="5F71159A" w14:textId="77777777" w:rsidTr="00074501">
        <w:tc>
          <w:tcPr>
            <w:tcW w:w="3971" w:type="pct"/>
            <w:shd w:val="clear" w:color="auto" w:fill="auto"/>
            <w:vAlign w:val="top"/>
          </w:tcPr>
          <w:p w14:paraId="1EC00BAE" w14:textId="77777777" w:rsidR="006B38C8" w:rsidRPr="00DF3006" w:rsidRDefault="006B38C8" w:rsidP="00074501">
            <w:pPr>
              <w:spacing w:after="0" w:line="260" w:lineRule="exact"/>
              <w:rPr>
                <w:color w:val="414042" w:themeColor="text1"/>
              </w:rPr>
            </w:pPr>
            <w:r w:rsidRPr="00DF3006">
              <w:rPr>
                <w:color w:val="414042" w:themeColor="text1"/>
              </w:rPr>
              <w:t>Reviews finalised</w:t>
            </w:r>
          </w:p>
        </w:tc>
        <w:tc>
          <w:tcPr>
            <w:tcW w:w="1029" w:type="pct"/>
            <w:shd w:val="clear" w:color="auto" w:fill="auto"/>
            <w:vAlign w:val="top"/>
          </w:tcPr>
          <w:p w14:paraId="488CDFC3" w14:textId="77777777" w:rsidR="006B38C8" w:rsidRPr="00DF3006" w:rsidRDefault="006B38C8" w:rsidP="00C404D9">
            <w:pPr>
              <w:spacing w:after="0" w:line="260" w:lineRule="exact"/>
              <w:jc w:val="center"/>
              <w:rPr>
                <w:color w:val="414042" w:themeColor="text1"/>
              </w:rPr>
            </w:pPr>
            <w:r w:rsidRPr="00DF3006">
              <w:rPr>
                <w:color w:val="414042" w:themeColor="text1"/>
              </w:rPr>
              <w:t>27</w:t>
            </w:r>
          </w:p>
        </w:tc>
      </w:tr>
      <w:tr w:rsidR="00DF3006" w:rsidRPr="00DF3006" w14:paraId="0F7047CD" w14:textId="77777777" w:rsidTr="00074501">
        <w:tc>
          <w:tcPr>
            <w:tcW w:w="3971" w:type="pct"/>
            <w:shd w:val="clear" w:color="auto" w:fill="auto"/>
            <w:vAlign w:val="top"/>
          </w:tcPr>
          <w:p w14:paraId="1056A604" w14:textId="60C6F084" w:rsidR="006B38C8" w:rsidRPr="00DF3006" w:rsidRDefault="006B38C8" w:rsidP="00074501">
            <w:pPr>
              <w:spacing w:after="0" w:line="260" w:lineRule="exact"/>
              <w:rPr>
                <w:color w:val="414042" w:themeColor="text1"/>
              </w:rPr>
            </w:pPr>
            <w:r w:rsidRPr="00DF3006">
              <w:rPr>
                <w:color w:val="414042" w:themeColor="text1"/>
              </w:rPr>
              <w:t xml:space="preserve">Referred to a </w:t>
            </w:r>
            <w:r w:rsidR="00BC6A87" w:rsidRPr="00DF3006">
              <w:rPr>
                <w:color w:val="414042" w:themeColor="text1"/>
              </w:rPr>
              <w:t>UPA</w:t>
            </w:r>
            <w:r w:rsidRPr="00DF3006">
              <w:rPr>
                <w:color w:val="414042" w:themeColor="text1"/>
              </w:rPr>
              <w:t xml:space="preserve"> as a disciplinary matter</w:t>
            </w:r>
          </w:p>
        </w:tc>
        <w:tc>
          <w:tcPr>
            <w:tcW w:w="1029" w:type="pct"/>
            <w:shd w:val="clear" w:color="auto" w:fill="auto"/>
            <w:vAlign w:val="top"/>
          </w:tcPr>
          <w:p w14:paraId="672B9E99" w14:textId="77777777" w:rsidR="006B38C8" w:rsidRPr="00DF3006" w:rsidRDefault="006B38C8" w:rsidP="00C404D9">
            <w:pPr>
              <w:spacing w:after="0" w:line="260" w:lineRule="exact"/>
              <w:jc w:val="center"/>
              <w:rPr>
                <w:color w:val="414042" w:themeColor="text1"/>
              </w:rPr>
            </w:pPr>
            <w:r w:rsidRPr="00DF3006">
              <w:rPr>
                <w:color w:val="414042" w:themeColor="text1"/>
              </w:rPr>
              <w:t>0</w:t>
            </w:r>
          </w:p>
        </w:tc>
      </w:tr>
      <w:tr w:rsidR="00DF3006" w:rsidRPr="00DF3006" w14:paraId="4FCCC615" w14:textId="77777777" w:rsidTr="00074501">
        <w:tc>
          <w:tcPr>
            <w:tcW w:w="3971" w:type="pct"/>
            <w:shd w:val="clear" w:color="auto" w:fill="auto"/>
            <w:vAlign w:val="top"/>
          </w:tcPr>
          <w:p w14:paraId="617F2C62" w14:textId="77777777" w:rsidR="006B38C8" w:rsidRPr="00DF3006" w:rsidRDefault="006B38C8" w:rsidP="00074501">
            <w:pPr>
              <w:spacing w:after="0" w:line="260" w:lineRule="exact"/>
              <w:rPr>
                <w:color w:val="414042" w:themeColor="text1"/>
              </w:rPr>
            </w:pPr>
            <w:r w:rsidRPr="00DF3006">
              <w:rPr>
                <w:color w:val="414042" w:themeColor="text1"/>
              </w:rPr>
              <w:t>Prevention recommendations made</w:t>
            </w:r>
          </w:p>
        </w:tc>
        <w:tc>
          <w:tcPr>
            <w:tcW w:w="1029" w:type="pct"/>
            <w:shd w:val="clear" w:color="auto" w:fill="auto"/>
            <w:vAlign w:val="top"/>
          </w:tcPr>
          <w:p w14:paraId="66D68C2F" w14:textId="1ED328B3" w:rsidR="006B38C8" w:rsidRPr="00DF3006" w:rsidRDefault="00B54579" w:rsidP="00C404D9">
            <w:pPr>
              <w:spacing w:after="0" w:line="260" w:lineRule="exact"/>
              <w:jc w:val="center"/>
              <w:rPr>
                <w:color w:val="414042" w:themeColor="text1"/>
              </w:rPr>
            </w:pPr>
            <w:r w:rsidRPr="00DF3006">
              <w:rPr>
                <w:color w:val="414042" w:themeColor="text1"/>
              </w:rPr>
              <w:t>3</w:t>
            </w:r>
          </w:p>
        </w:tc>
      </w:tr>
    </w:tbl>
    <w:bookmarkEnd w:id="1344"/>
    <w:p w14:paraId="7DD7F9C1" w14:textId="77777777" w:rsidR="006B38C8" w:rsidRPr="00DF3006" w:rsidRDefault="006B38C8" w:rsidP="00F446D4">
      <w:pPr>
        <w:pStyle w:val="Notes"/>
        <w:spacing w:before="120"/>
        <w:ind w:left="360" w:right="-5246" w:hanging="360"/>
        <w:rPr>
          <w:lang w:val="en-AU"/>
        </w:rPr>
      </w:pPr>
      <w:r w:rsidRPr="00DF3006">
        <w:rPr>
          <w:lang w:val="en-AU"/>
        </w:rPr>
        <w:t>Note:</w:t>
      </w:r>
    </w:p>
    <w:p w14:paraId="6195510E" w14:textId="247BE2A3" w:rsidR="006B38C8" w:rsidRPr="00DF3006" w:rsidRDefault="006B38C8">
      <w:pPr>
        <w:pStyle w:val="ListParagraph"/>
        <w:numPr>
          <w:ilvl w:val="0"/>
          <w:numId w:val="47"/>
        </w:numPr>
        <w:spacing w:line="259" w:lineRule="auto"/>
        <w:ind w:left="360"/>
        <w:rPr>
          <w:rFonts w:cs="Calibri"/>
          <w:color w:val="414042" w:themeColor="text1"/>
          <w:spacing w:val="-5"/>
          <w:sz w:val="16"/>
          <w:szCs w:val="16"/>
        </w:rPr>
      </w:pPr>
      <w:r w:rsidRPr="00DF3006">
        <w:rPr>
          <w:rFonts w:cs="Calibri"/>
          <w:color w:val="414042" w:themeColor="text1"/>
          <w:spacing w:val="-5"/>
          <w:sz w:val="16"/>
          <w:szCs w:val="16"/>
        </w:rPr>
        <w:t xml:space="preserve">Some of the matters referenced above are also captured and reported under ‘Abuse of </w:t>
      </w:r>
      <w:r w:rsidR="00095DAF" w:rsidRPr="00DF3006">
        <w:rPr>
          <w:rFonts w:cs="Calibri"/>
          <w:color w:val="414042" w:themeColor="text1"/>
          <w:spacing w:val="-5"/>
          <w:sz w:val="16"/>
          <w:szCs w:val="16"/>
        </w:rPr>
        <w:t>Authority’.</w:t>
      </w:r>
      <w:r w:rsidRPr="00DF3006">
        <w:rPr>
          <w:rFonts w:cs="Calibri"/>
          <w:color w:val="414042" w:themeColor="text1"/>
          <w:spacing w:val="-5"/>
          <w:sz w:val="16"/>
          <w:szCs w:val="16"/>
        </w:rPr>
        <w:t xml:space="preserve"> </w:t>
      </w:r>
    </w:p>
    <w:p w14:paraId="08570866" w14:textId="77777777" w:rsidR="00BA4B71" w:rsidRPr="00DF3006" w:rsidRDefault="00993089" w:rsidP="001704C5">
      <w:pPr>
        <w:pStyle w:val="Heading2"/>
        <w:sectPr w:rsidR="00BA4B71" w:rsidRPr="00DF3006" w:rsidSect="00C77834">
          <w:type w:val="continuous"/>
          <w:pgSz w:w="11906" w:h="16838" w:code="9"/>
          <w:pgMar w:top="2155" w:right="1134" w:bottom="964" w:left="1134" w:header="720" w:footer="284" w:gutter="0"/>
          <w:cols w:space="567"/>
          <w:noEndnote/>
          <w:docGrid w:linePitch="272"/>
        </w:sectPr>
      </w:pPr>
      <w:bookmarkStart w:id="1345" w:name="_Engaging_with_our"/>
      <w:bookmarkEnd w:id="1345"/>
      <w:r w:rsidRPr="00DF3006">
        <w:lastRenderedPageBreak/>
        <w:t>E</w:t>
      </w:r>
      <w:r w:rsidR="00012356" w:rsidRPr="00DF3006">
        <w:t>ngaging with our stakeholders</w:t>
      </w:r>
    </w:p>
    <w:p w14:paraId="57D246AE" w14:textId="77777777" w:rsidR="00BA4B71" w:rsidRPr="00DF3006" w:rsidRDefault="00BA4B71" w:rsidP="00E6066A">
      <w:pPr>
        <w:pStyle w:val="Heading3"/>
      </w:pPr>
      <w:r w:rsidRPr="00DF3006">
        <w:t>Shaping effective responses to major crime</w:t>
      </w:r>
    </w:p>
    <w:p w14:paraId="38EE56C8" w14:textId="65016326" w:rsidR="00BA4B71" w:rsidRPr="00DF3006" w:rsidRDefault="00BA4B71" w:rsidP="00BA4B71">
      <w:pPr>
        <w:ind w:right="-143"/>
        <w:rPr>
          <w:color w:val="414042" w:themeColor="text1"/>
        </w:rPr>
      </w:pPr>
      <w:r w:rsidRPr="00DF3006">
        <w:rPr>
          <w:color w:val="414042" w:themeColor="text1"/>
        </w:rPr>
        <w:t xml:space="preserve">The substantial and rapid transformation of our operating environment </w:t>
      </w:r>
      <w:r w:rsidR="00883DD1" w:rsidRPr="00DF3006">
        <w:rPr>
          <w:color w:val="414042" w:themeColor="text1"/>
        </w:rPr>
        <w:t xml:space="preserve">continues to </w:t>
      </w:r>
      <w:r w:rsidRPr="00DF3006">
        <w:rPr>
          <w:color w:val="414042" w:themeColor="text1"/>
        </w:rPr>
        <w:t>challeng</w:t>
      </w:r>
      <w:r w:rsidR="00883DD1" w:rsidRPr="00DF3006">
        <w:rPr>
          <w:color w:val="414042" w:themeColor="text1"/>
        </w:rPr>
        <w:t>e</w:t>
      </w:r>
      <w:r w:rsidRPr="00DF3006">
        <w:rPr>
          <w:color w:val="414042" w:themeColor="text1"/>
        </w:rPr>
        <w:t xml:space="preserve"> basic assumptions </w:t>
      </w:r>
      <w:r w:rsidR="001B34CD" w:rsidRPr="00DF3006">
        <w:rPr>
          <w:color w:val="414042" w:themeColor="text1"/>
        </w:rPr>
        <w:t xml:space="preserve">that underpin </w:t>
      </w:r>
      <w:r w:rsidRPr="00DF3006">
        <w:rPr>
          <w:color w:val="414042" w:themeColor="text1"/>
        </w:rPr>
        <w:t xml:space="preserve">our law enforcement and criminal justice systems. Technology is changing the way we work, as well as the critical capabilities required for effective responses to the increasingly complex, </w:t>
      </w:r>
      <w:proofErr w:type="gramStart"/>
      <w:r w:rsidRPr="00DF3006">
        <w:rPr>
          <w:color w:val="414042" w:themeColor="text1"/>
        </w:rPr>
        <w:t>global</w:t>
      </w:r>
      <w:proofErr w:type="gramEnd"/>
      <w:r w:rsidRPr="00DF3006">
        <w:rPr>
          <w:color w:val="414042" w:themeColor="text1"/>
        </w:rPr>
        <w:t xml:space="preserve"> and technical crime environment. This means we need to be focused on contributing our resources for most impact and responding to the most relevant issues and concerns.</w:t>
      </w:r>
    </w:p>
    <w:p w14:paraId="2A83FAC5" w14:textId="77777777" w:rsidR="00BA4B71" w:rsidRPr="00DF3006" w:rsidRDefault="00BA4B71" w:rsidP="00BA4B71">
      <w:pPr>
        <w:ind w:right="-143"/>
        <w:rPr>
          <w:color w:val="414042" w:themeColor="text1"/>
        </w:rPr>
      </w:pPr>
      <w:r w:rsidRPr="00DF3006">
        <w:rPr>
          <w:color w:val="414042" w:themeColor="text1"/>
        </w:rPr>
        <w:t>Meaningful engagement with our stakeholders ensures we are better positioned to manage these strategic risks, learn from them, and pool our resources and capabilities to solve problems that we could not achieve alone.</w:t>
      </w:r>
    </w:p>
    <w:p w14:paraId="24380F51" w14:textId="77777777" w:rsidR="00BA4B71" w:rsidRPr="00DF3006" w:rsidRDefault="00BA4B71" w:rsidP="00463FBB">
      <w:pPr>
        <w:pStyle w:val="Heading4"/>
      </w:pPr>
      <w:r w:rsidRPr="00DF3006">
        <w:t>Crime Stakeholder Engagement Strategy</w:t>
      </w:r>
    </w:p>
    <w:p w14:paraId="15B04F4D" w14:textId="77777777" w:rsidR="00BA4B71" w:rsidRPr="00DF3006" w:rsidRDefault="00BA4B71" w:rsidP="00BA4B71">
      <w:pPr>
        <w:ind w:right="-143"/>
        <w:rPr>
          <w:color w:val="414042" w:themeColor="text1"/>
        </w:rPr>
      </w:pPr>
      <w:r w:rsidRPr="00DF3006">
        <w:rPr>
          <w:color w:val="414042" w:themeColor="text1"/>
        </w:rPr>
        <w:t>In June 2021, we commenced a project to deliver a digital solution to meet the requirements of our engagement strategy, facilitate more efficient recording of our key stakeholders, and allow us to access and use the insights gathered from our engagement activities more readily.</w:t>
      </w:r>
    </w:p>
    <w:p w14:paraId="27DEEB48" w14:textId="39193AD7" w:rsidR="00BA4B71" w:rsidRPr="00DF3006" w:rsidRDefault="00BA4B71" w:rsidP="00BA4B71">
      <w:pPr>
        <w:ind w:right="-143"/>
        <w:rPr>
          <w:color w:val="414042" w:themeColor="text1"/>
        </w:rPr>
      </w:pPr>
      <w:r w:rsidRPr="00DF3006">
        <w:rPr>
          <w:color w:val="414042" w:themeColor="text1"/>
        </w:rPr>
        <w:t>In 2022</w:t>
      </w:r>
      <w:r w:rsidR="009B2566" w:rsidRPr="00DF3006">
        <w:rPr>
          <w:color w:val="414042" w:themeColor="text1"/>
          <w:spacing w:val="-4"/>
        </w:rPr>
        <w:t>–</w:t>
      </w:r>
      <w:r w:rsidRPr="00DF3006">
        <w:rPr>
          <w:color w:val="414042" w:themeColor="text1"/>
        </w:rPr>
        <w:t>23</w:t>
      </w:r>
      <w:r w:rsidR="00B70E96" w:rsidRPr="00DF3006">
        <w:rPr>
          <w:color w:val="414042" w:themeColor="text1"/>
        </w:rPr>
        <w:t>,</w:t>
      </w:r>
      <w:r w:rsidRPr="00DF3006">
        <w:rPr>
          <w:color w:val="414042" w:themeColor="text1"/>
        </w:rPr>
        <w:t xml:space="preserve"> we continued to integrate the solution into the Crime </w:t>
      </w:r>
      <w:r w:rsidR="009E6158" w:rsidRPr="00DF3006">
        <w:rPr>
          <w:color w:val="414042" w:themeColor="text1"/>
        </w:rPr>
        <w:t>d</w:t>
      </w:r>
      <w:r w:rsidRPr="00DF3006">
        <w:rPr>
          <w:color w:val="414042" w:themeColor="text1"/>
        </w:rPr>
        <w:t>ivision for use by the senior management group, intelligence gathering teams</w:t>
      </w:r>
      <w:r w:rsidR="00B70E96" w:rsidRPr="00DF3006">
        <w:rPr>
          <w:color w:val="414042" w:themeColor="text1"/>
        </w:rPr>
        <w:t>,</w:t>
      </w:r>
      <w:r w:rsidRPr="00DF3006">
        <w:rPr>
          <w:color w:val="414042" w:themeColor="text1"/>
        </w:rPr>
        <w:t xml:space="preserve"> and our crime strategy performance reporting.</w:t>
      </w:r>
    </w:p>
    <w:p w14:paraId="2DF4E660" w14:textId="7AC76A3E" w:rsidR="00BA4B71" w:rsidRPr="00DF3006" w:rsidRDefault="00BA4B71" w:rsidP="00463FBB">
      <w:pPr>
        <w:pStyle w:val="Heading4"/>
      </w:pPr>
      <w:r w:rsidRPr="00DF3006">
        <w:t>Prioritising our crime work</w:t>
      </w:r>
    </w:p>
    <w:p w14:paraId="69CC553F" w14:textId="7C6675BC" w:rsidR="00D27350" w:rsidRPr="00DF3006" w:rsidRDefault="002B7EF1" w:rsidP="00BA4B71">
      <w:pPr>
        <w:rPr>
          <w:color w:val="414042" w:themeColor="text1"/>
        </w:rPr>
      </w:pPr>
      <w:r w:rsidRPr="00DF3006">
        <w:rPr>
          <w:color w:val="414042" w:themeColor="text1"/>
        </w:rPr>
        <w:t>Throughout the reporting period, w</w:t>
      </w:r>
      <w:r w:rsidR="00BA4B71" w:rsidRPr="00DF3006">
        <w:rPr>
          <w:color w:val="414042" w:themeColor="text1"/>
        </w:rPr>
        <w:t xml:space="preserve">e </w:t>
      </w:r>
      <w:r w:rsidRPr="00DF3006">
        <w:rPr>
          <w:color w:val="414042" w:themeColor="text1"/>
        </w:rPr>
        <w:t xml:space="preserve">continued to </w:t>
      </w:r>
      <w:r w:rsidR="00BA4B71" w:rsidRPr="00DF3006">
        <w:rPr>
          <w:color w:val="414042" w:themeColor="text1"/>
        </w:rPr>
        <w:t xml:space="preserve">use our </w:t>
      </w:r>
      <w:r w:rsidR="00BA4B71" w:rsidRPr="00DF3006">
        <w:rPr>
          <w:i/>
          <w:iCs/>
          <w:color w:val="414042" w:themeColor="text1"/>
        </w:rPr>
        <w:t>Matter Prioritisation Model</w:t>
      </w:r>
      <w:r w:rsidR="00BA4B71" w:rsidRPr="00DF3006">
        <w:rPr>
          <w:color w:val="414042" w:themeColor="text1"/>
        </w:rPr>
        <w:t xml:space="preserve"> to assess and review our investigations, as well as our crime-related projects and initiatives. The model allows us to determine whether an opportunity is appropriate and to prioritise our work having regard to specific criteria, based on public interest, </w:t>
      </w:r>
      <w:r w:rsidR="001B34CD" w:rsidRPr="00DF3006">
        <w:rPr>
          <w:color w:val="414042" w:themeColor="text1"/>
        </w:rPr>
        <w:t xml:space="preserve">the </w:t>
      </w:r>
      <w:r w:rsidR="00BA4B71" w:rsidRPr="00DF3006">
        <w:rPr>
          <w:color w:val="414042" w:themeColor="text1"/>
        </w:rPr>
        <w:t>importance and value to our stakeholders and our agency</w:t>
      </w:r>
      <w:r w:rsidR="001B34CD" w:rsidRPr="00DF3006">
        <w:rPr>
          <w:color w:val="414042" w:themeColor="text1"/>
        </w:rPr>
        <w:t>,</w:t>
      </w:r>
      <w:r w:rsidR="00BA4B71" w:rsidRPr="00DF3006">
        <w:rPr>
          <w:color w:val="414042" w:themeColor="text1"/>
        </w:rPr>
        <w:t xml:space="preserve"> having regard to our strategic objectives, </w:t>
      </w:r>
      <w:r w:rsidR="00916824" w:rsidRPr="00DF3006">
        <w:rPr>
          <w:color w:val="414042" w:themeColor="text1"/>
        </w:rPr>
        <w:t>priority focus areas, strategies for responding to those priorities, and commitments.</w:t>
      </w:r>
    </w:p>
    <w:p w14:paraId="789927DA" w14:textId="2CE018DA" w:rsidR="00BA4B71" w:rsidRPr="00DF3006" w:rsidRDefault="00BA4B71" w:rsidP="0072539D">
      <w:pPr>
        <w:rPr>
          <w:color w:val="414042" w:themeColor="text1"/>
          <w:spacing w:val="-4"/>
        </w:rPr>
      </w:pPr>
      <w:r w:rsidRPr="00DF3006">
        <w:rPr>
          <w:color w:val="414042" w:themeColor="text1"/>
        </w:rPr>
        <w:t xml:space="preserve">The </w:t>
      </w:r>
      <w:r w:rsidR="00EA38DD" w:rsidRPr="00DF3006">
        <w:rPr>
          <w:color w:val="414042" w:themeColor="text1"/>
        </w:rPr>
        <w:t>Matter Prioritisation Mode</w:t>
      </w:r>
      <w:r w:rsidRPr="00DF3006">
        <w:rPr>
          <w:color w:val="414042" w:themeColor="text1"/>
        </w:rPr>
        <w:t xml:space="preserve"> also ensures we have a consistent and transparent process for our crime-related case and project selection and ongoing review and is supported by sound public interest and human rights considerations.</w:t>
      </w:r>
      <w:r w:rsidR="00DF61A4" w:rsidRPr="00DF3006">
        <w:rPr>
          <w:color w:val="414042" w:themeColor="text1"/>
        </w:rPr>
        <w:br w:type="column"/>
      </w:r>
      <w:r w:rsidRPr="00DF3006">
        <w:rPr>
          <w:color w:val="414042" w:themeColor="text1"/>
          <w:spacing w:val="-4"/>
        </w:rPr>
        <w:t xml:space="preserve">The </w:t>
      </w:r>
      <w:r w:rsidR="00EA38DD" w:rsidRPr="00DF3006">
        <w:rPr>
          <w:color w:val="414042" w:themeColor="text1"/>
        </w:rPr>
        <w:t xml:space="preserve">Matter Prioritisation Mode </w:t>
      </w:r>
      <w:r w:rsidRPr="00DF3006">
        <w:rPr>
          <w:color w:val="414042" w:themeColor="text1"/>
          <w:spacing w:val="-4"/>
        </w:rPr>
        <w:t>is updated yearly and as required to ensure it captures our current strategies and plans and other key stakeholder interests including Queensland Government priorities, QPS strategic and operational plans, Queensland Family and Child Commission strategic plans, and other Queensland and national priorities and strategies for responding to serious and organised crime.</w:t>
      </w:r>
    </w:p>
    <w:p w14:paraId="269AD520" w14:textId="77777777" w:rsidR="00BA4B71" w:rsidRPr="00DF3006" w:rsidRDefault="00BA4B71" w:rsidP="00463FBB">
      <w:pPr>
        <w:pStyle w:val="Heading4"/>
      </w:pPr>
      <w:r w:rsidRPr="00DF3006">
        <w:t>Engaging with law enforcement agencies</w:t>
      </w:r>
    </w:p>
    <w:p w14:paraId="56DEE583" w14:textId="5DEB4FB1" w:rsidR="00D27350" w:rsidRPr="00DF3006" w:rsidRDefault="00A85F66" w:rsidP="00BA4B71">
      <w:pPr>
        <w:rPr>
          <w:color w:val="414042" w:themeColor="text1"/>
        </w:rPr>
      </w:pPr>
      <w:r w:rsidRPr="00DF3006">
        <w:rPr>
          <w:color w:val="414042" w:themeColor="text1"/>
        </w:rPr>
        <w:t>In 2022</w:t>
      </w:r>
      <w:r w:rsidRPr="00DF3006">
        <w:rPr>
          <w:color w:val="414042" w:themeColor="text1"/>
          <w:spacing w:val="-4"/>
        </w:rPr>
        <w:t>–</w:t>
      </w:r>
      <w:r w:rsidRPr="00DF3006">
        <w:rPr>
          <w:color w:val="414042" w:themeColor="text1"/>
        </w:rPr>
        <w:t>23, we continued to l</w:t>
      </w:r>
      <w:r w:rsidR="00BA4B71" w:rsidRPr="00DF3006">
        <w:rPr>
          <w:color w:val="414042" w:themeColor="text1"/>
        </w:rPr>
        <w:t xml:space="preserve">iaise and cooperate with partner law enforcement agencies to optimise the use of resources, coordinate </w:t>
      </w:r>
      <w:proofErr w:type="gramStart"/>
      <w:r w:rsidR="00BA4B71" w:rsidRPr="00DF3006">
        <w:rPr>
          <w:color w:val="414042" w:themeColor="text1"/>
        </w:rPr>
        <w:t>activities</w:t>
      </w:r>
      <w:proofErr w:type="gramEnd"/>
      <w:r w:rsidR="00BA4B71" w:rsidRPr="00DF3006">
        <w:rPr>
          <w:color w:val="414042" w:themeColor="text1"/>
        </w:rPr>
        <w:t xml:space="preserve"> and avoid duplication of effort, and ensure we </w:t>
      </w:r>
      <w:r w:rsidR="002B7EF1" w:rsidRPr="00DF3006">
        <w:rPr>
          <w:color w:val="414042" w:themeColor="text1"/>
        </w:rPr>
        <w:t>were</w:t>
      </w:r>
      <w:r w:rsidR="00BA4B71" w:rsidRPr="00DF3006">
        <w:rPr>
          <w:color w:val="414042" w:themeColor="text1"/>
        </w:rPr>
        <w:t xml:space="preserve"> working to support Queensland’s commitment to national frameworks, agreements, and strategies. </w:t>
      </w:r>
    </w:p>
    <w:p w14:paraId="1CEEFB14" w14:textId="551DE785" w:rsidR="00BA4B71" w:rsidRPr="00DF3006" w:rsidRDefault="00BA4B71" w:rsidP="00BA4B71">
      <w:pPr>
        <w:rPr>
          <w:color w:val="414042" w:themeColor="text1"/>
        </w:rPr>
      </w:pPr>
      <w:r w:rsidRPr="00DF3006">
        <w:rPr>
          <w:color w:val="414042" w:themeColor="text1"/>
        </w:rPr>
        <w:t>Our close engagement with the QPS, partner agencies</w:t>
      </w:r>
      <w:r w:rsidR="002B7EF1" w:rsidRPr="00DF3006">
        <w:rPr>
          <w:color w:val="414042" w:themeColor="text1"/>
        </w:rPr>
        <w:t>,</w:t>
      </w:r>
      <w:r w:rsidRPr="00DF3006">
        <w:rPr>
          <w:color w:val="414042" w:themeColor="text1"/>
        </w:rPr>
        <w:t xml:space="preserve"> and other key stakeholders </w:t>
      </w:r>
      <w:r w:rsidR="00883DD1" w:rsidRPr="00DF3006">
        <w:rPr>
          <w:color w:val="414042" w:themeColor="text1"/>
        </w:rPr>
        <w:t>continues to be</w:t>
      </w:r>
      <w:r w:rsidRPr="00DF3006">
        <w:rPr>
          <w:color w:val="414042" w:themeColor="text1"/>
        </w:rPr>
        <w:t xml:space="preserve"> important </w:t>
      </w:r>
      <w:r w:rsidR="00883DD1" w:rsidRPr="00DF3006">
        <w:rPr>
          <w:color w:val="414042" w:themeColor="text1"/>
        </w:rPr>
        <w:t>for</w:t>
      </w:r>
      <w:r w:rsidRPr="00DF3006">
        <w:rPr>
          <w:color w:val="414042" w:themeColor="text1"/>
        </w:rPr>
        <w:t xml:space="preserve"> fully realising opportunities to collaborate, and remain</w:t>
      </w:r>
      <w:r w:rsidR="00883DD1" w:rsidRPr="00DF3006">
        <w:rPr>
          <w:color w:val="414042" w:themeColor="text1"/>
        </w:rPr>
        <w:t>ing</w:t>
      </w:r>
      <w:r w:rsidRPr="00DF3006">
        <w:rPr>
          <w:color w:val="414042" w:themeColor="text1"/>
        </w:rPr>
        <w:t xml:space="preserve"> informed and responsive to strategic priorities and risks relevant to our work.</w:t>
      </w:r>
    </w:p>
    <w:p w14:paraId="1CD13DAE" w14:textId="28B32978" w:rsidR="00D27350" w:rsidRPr="00DF3006" w:rsidRDefault="00BA4B71" w:rsidP="00BA4B71">
      <w:pPr>
        <w:rPr>
          <w:color w:val="414042" w:themeColor="text1"/>
        </w:rPr>
      </w:pPr>
      <w:r w:rsidRPr="00DF3006">
        <w:rPr>
          <w:color w:val="414042" w:themeColor="text1"/>
        </w:rPr>
        <w:t xml:space="preserve">The QPS’ priorities for serious and organised crime </w:t>
      </w:r>
      <w:r w:rsidR="00883DD1" w:rsidRPr="00DF3006">
        <w:rPr>
          <w:color w:val="414042" w:themeColor="text1"/>
        </w:rPr>
        <w:t xml:space="preserve">continue to </w:t>
      </w:r>
      <w:r w:rsidRPr="00DF3006">
        <w:rPr>
          <w:color w:val="414042" w:themeColor="text1"/>
        </w:rPr>
        <w:t xml:space="preserve">have particular significance for our major crime work. This alignment ensures that our major crime work complements and supports broader strategic objectives for reducing the incidence and impact of crime on the Queensland community. </w:t>
      </w:r>
    </w:p>
    <w:p w14:paraId="24513EF7" w14:textId="53156D72" w:rsidR="00DF61A4" w:rsidRPr="00DF3006" w:rsidRDefault="00BA4B71" w:rsidP="00BA4B71">
      <w:pPr>
        <w:rPr>
          <w:color w:val="414042" w:themeColor="text1"/>
        </w:rPr>
      </w:pPr>
      <w:r w:rsidRPr="00DF3006">
        <w:rPr>
          <w:color w:val="414042" w:themeColor="text1"/>
        </w:rPr>
        <w:t>We also engage closely with the QPS and partner Commonwealth law enforcement agencies to remain informed and responsive to emerging major crime threats and issues and to maximise the value of collaborative opportunities.</w:t>
      </w:r>
    </w:p>
    <w:p w14:paraId="78149031" w14:textId="5D325D51" w:rsidR="00162D03" w:rsidRPr="00DF3006" w:rsidRDefault="00162D03" w:rsidP="00BA4B71">
      <w:pPr>
        <w:rPr>
          <w:color w:val="414042" w:themeColor="text1"/>
        </w:rPr>
      </w:pPr>
      <w:r w:rsidRPr="00DF3006">
        <w:rPr>
          <w:color w:val="414042" w:themeColor="text1"/>
        </w:rPr>
        <w:br w:type="page"/>
      </w:r>
    </w:p>
    <w:p w14:paraId="31409BEE" w14:textId="6DFB7866" w:rsidR="00BA4B71" w:rsidRPr="00DF3006" w:rsidRDefault="00BA4B71" w:rsidP="00BA4B71">
      <w:pPr>
        <w:rPr>
          <w:color w:val="414042" w:themeColor="text1"/>
          <w:spacing w:val="-4"/>
        </w:rPr>
      </w:pPr>
      <w:r w:rsidRPr="00DF3006">
        <w:rPr>
          <w:color w:val="414042" w:themeColor="text1"/>
          <w:spacing w:val="-4"/>
        </w:rPr>
        <w:lastRenderedPageBreak/>
        <w:t>In 2022–23, senior CCC officers participated in and contributed to key interagency forums</w:t>
      </w:r>
      <w:r w:rsidR="00B329FD" w:rsidRPr="00DF3006">
        <w:rPr>
          <w:color w:val="414042" w:themeColor="text1"/>
          <w:spacing w:val="-4"/>
        </w:rPr>
        <w:t xml:space="preserve"> as </w:t>
      </w:r>
      <w:r w:rsidR="00B329FD" w:rsidRPr="00DF3006">
        <w:rPr>
          <w:color w:val="414042" w:themeColor="text1"/>
        </w:rPr>
        <w:t>set out below</w:t>
      </w:r>
      <w:r w:rsidR="00B329FD" w:rsidRPr="00DF3006">
        <w:rPr>
          <w:color w:val="414042" w:themeColor="text1"/>
          <w:spacing w:val="-4"/>
        </w:rPr>
        <w:t>.</w:t>
      </w:r>
    </w:p>
    <w:p w14:paraId="48266B6F" w14:textId="77777777" w:rsidR="00B329FD" w:rsidRPr="00DF3006" w:rsidRDefault="00BA4B71" w:rsidP="00463FBB">
      <w:pPr>
        <w:pStyle w:val="Heading4"/>
      </w:pPr>
      <w:r w:rsidRPr="00DF3006">
        <w:t>Queensland Joint Management Group</w:t>
      </w:r>
    </w:p>
    <w:p w14:paraId="43F731DA" w14:textId="04F468A7" w:rsidR="00D65C0B" w:rsidRPr="00DF3006" w:rsidRDefault="00BA4B71" w:rsidP="00B329FD">
      <w:pPr>
        <w:rPr>
          <w:color w:val="414042" w:themeColor="text1"/>
        </w:rPr>
      </w:pPr>
      <w:r w:rsidRPr="00DF3006">
        <w:rPr>
          <w:color w:val="414042" w:themeColor="text1"/>
        </w:rPr>
        <w:t xml:space="preserve">The Queensland Joint Management Group is a committee of senior executive members of the </w:t>
      </w:r>
      <w:r w:rsidR="00C941F2" w:rsidRPr="00DF3006">
        <w:rPr>
          <w:color w:val="414042" w:themeColor="text1"/>
        </w:rPr>
        <w:t>AFP</w:t>
      </w:r>
      <w:r w:rsidRPr="00DF3006">
        <w:rPr>
          <w:color w:val="414042" w:themeColor="text1"/>
        </w:rPr>
        <w:t xml:space="preserve">, the </w:t>
      </w:r>
      <w:r w:rsidR="00C941F2" w:rsidRPr="00DF3006">
        <w:rPr>
          <w:color w:val="414042" w:themeColor="text1"/>
        </w:rPr>
        <w:t>ACIC</w:t>
      </w:r>
      <w:r w:rsidRPr="00DF3006">
        <w:rPr>
          <w:color w:val="414042" w:themeColor="text1"/>
        </w:rPr>
        <w:t xml:space="preserve">, </w:t>
      </w:r>
      <w:r w:rsidR="00C941F2" w:rsidRPr="00DF3006">
        <w:rPr>
          <w:color w:val="414042" w:themeColor="text1"/>
        </w:rPr>
        <w:t>ATO</w:t>
      </w:r>
      <w:r w:rsidRPr="00DF3006">
        <w:rPr>
          <w:color w:val="414042" w:themeColor="text1"/>
        </w:rPr>
        <w:t xml:space="preserve">, </w:t>
      </w:r>
      <w:r w:rsidR="00846D5C" w:rsidRPr="00DF3006">
        <w:rPr>
          <w:color w:val="414042" w:themeColor="text1"/>
        </w:rPr>
        <w:t xml:space="preserve">the </w:t>
      </w:r>
      <w:r w:rsidRPr="00DF3006">
        <w:rPr>
          <w:color w:val="414042" w:themeColor="text1"/>
        </w:rPr>
        <w:t>Australian Department of Home Affairs</w:t>
      </w:r>
      <w:r w:rsidR="00C941F2" w:rsidRPr="00DF3006">
        <w:rPr>
          <w:color w:val="414042" w:themeColor="text1"/>
        </w:rPr>
        <w:t xml:space="preserve"> (including the Australian Border Force)</w:t>
      </w:r>
      <w:r w:rsidRPr="00DF3006">
        <w:rPr>
          <w:color w:val="414042" w:themeColor="text1"/>
        </w:rPr>
        <w:t xml:space="preserve">, </w:t>
      </w:r>
      <w:r w:rsidR="00C941F2" w:rsidRPr="00DF3006">
        <w:rPr>
          <w:color w:val="414042" w:themeColor="text1"/>
        </w:rPr>
        <w:t>AUSTRAC</w:t>
      </w:r>
      <w:r w:rsidRPr="00DF3006">
        <w:rPr>
          <w:color w:val="414042" w:themeColor="text1"/>
        </w:rPr>
        <w:t xml:space="preserve">, </w:t>
      </w:r>
      <w:r w:rsidR="00846D5C" w:rsidRPr="00DF3006">
        <w:rPr>
          <w:color w:val="414042" w:themeColor="text1"/>
        </w:rPr>
        <w:t xml:space="preserve">the </w:t>
      </w:r>
      <w:r w:rsidRPr="00DF3006">
        <w:rPr>
          <w:color w:val="414042" w:themeColor="text1"/>
        </w:rPr>
        <w:t>QPS and the CCC who meet bi-monthly and at various other times, as required.</w:t>
      </w:r>
    </w:p>
    <w:p w14:paraId="56401AC7" w14:textId="55F248EF" w:rsidR="00D65C0B" w:rsidRPr="00DF3006" w:rsidRDefault="00BA4B71" w:rsidP="00B329FD">
      <w:pPr>
        <w:rPr>
          <w:color w:val="414042" w:themeColor="text1"/>
        </w:rPr>
      </w:pPr>
      <w:r w:rsidRPr="00DF3006">
        <w:rPr>
          <w:color w:val="414042" w:themeColor="text1"/>
        </w:rPr>
        <w:t xml:space="preserve">The Queensland Joint Management Group facilitates information sharing, collaboration, capability development and coordination of strategies and responses to serious and organised crime within </w:t>
      </w:r>
      <w:r w:rsidR="001B34CD" w:rsidRPr="00DF3006">
        <w:rPr>
          <w:color w:val="414042" w:themeColor="text1"/>
        </w:rPr>
        <w:t xml:space="preserve">and affecting </w:t>
      </w:r>
      <w:r w:rsidRPr="00DF3006">
        <w:rPr>
          <w:color w:val="414042" w:themeColor="text1"/>
        </w:rPr>
        <w:t>Queensland.</w:t>
      </w:r>
    </w:p>
    <w:p w14:paraId="16AAB51B" w14:textId="2558AF0C" w:rsidR="00BA4B71" w:rsidRPr="00DF3006" w:rsidRDefault="00BA4B71" w:rsidP="00B329FD">
      <w:pPr>
        <w:rPr>
          <w:color w:val="414042" w:themeColor="text1"/>
        </w:rPr>
      </w:pPr>
      <w:r w:rsidRPr="00DF3006">
        <w:rPr>
          <w:color w:val="414042" w:themeColor="text1"/>
        </w:rPr>
        <w:t>The Senior Executive Officer (Crime) represents our agency on the Queensland Joint Management Group.</w:t>
      </w:r>
    </w:p>
    <w:p w14:paraId="00D6972D" w14:textId="77777777" w:rsidR="00B329FD" w:rsidRPr="00DF3006" w:rsidRDefault="00BA4B71" w:rsidP="00463FBB">
      <w:pPr>
        <w:pStyle w:val="Heading4"/>
      </w:pPr>
      <w:r w:rsidRPr="00DF3006">
        <w:t xml:space="preserve">Queensland Operations Coordination </w:t>
      </w:r>
      <w:r w:rsidR="00C746DE" w:rsidRPr="00DF3006">
        <w:t xml:space="preserve">Group </w:t>
      </w:r>
    </w:p>
    <w:p w14:paraId="258FAC5A" w14:textId="437237EB" w:rsidR="00D65C0B" w:rsidRPr="00DF3006" w:rsidRDefault="00C746DE" w:rsidP="00B329FD">
      <w:pPr>
        <w:rPr>
          <w:color w:val="414042" w:themeColor="text1"/>
        </w:rPr>
      </w:pPr>
      <w:r w:rsidRPr="00DF3006">
        <w:rPr>
          <w:color w:val="414042" w:themeColor="text1"/>
        </w:rPr>
        <w:t>The</w:t>
      </w:r>
      <w:r w:rsidR="00BA4B71" w:rsidRPr="00DF3006">
        <w:rPr>
          <w:color w:val="414042" w:themeColor="text1"/>
        </w:rPr>
        <w:t xml:space="preserve"> Queensland Operations Coordination Group is a committee of senior officers of the Queensland Joint Management Group agencies who meet at least monthly.</w:t>
      </w:r>
    </w:p>
    <w:p w14:paraId="1F070B26" w14:textId="77777777" w:rsidR="00D65C0B" w:rsidRPr="00DF3006" w:rsidRDefault="00BA4B71" w:rsidP="00B329FD">
      <w:pPr>
        <w:rPr>
          <w:color w:val="414042" w:themeColor="text1"/>
        </w:rPr>
      </w:pPr>
      <w:r w:rsidRPr="00DF3006">
        <w:rPr>
          <w:color w:val="414042" w:themeColor="text1"/>
        </w:rPr>
        <w:t>The Queensland Operations Coordination Group facilitates information sharing, operational coordination and de-confliction, and assessment of opportunities for inter-agency collaboration on responses to serious and organised crime within Queensland.</w:t>
      </w:r>
    </w:p>
    <w:p w14:paraId="7C085CFE" w14:textId="3CFF08F2" w:rsidR="00C66EF6" w:rsidRPr="00DF3006" w:rsidRDefault="00BA4B71" w:rsidP="00B329FD">
      <w:pPr>
        <w:rPr>
          <w:color w:val="414042" w:themeColor="text1"/>
        </w:rPr>
      </w:pPr>
      <w:r w:rsidRPr="00DF3006">
        <w:rPr>
          <w:color w:val="414042" w:themeColor="text1"/>
        </w:rPr>
        <w:t>The Queensland Operations Coordination Group reports on operational progress and outcomes and takes direction from the Queensland Joint Management Group. The Executive Director</w:t>
      </w:r>
      <w:r w:rsidR="00FA5340" w:rsidRPr="00DF3006">
        <w:rPr>
          <w:color w:val="414042" w:themeColor="text1"/>
        </w:rPr>
        <w:t>,</w:t>
      </w:r>
      <w:r w:rsidRPr="00DF3006">
        <w:rPr>
          <w:color w:val="414042" w:themeColor="text1"/>
        </w:rPr>
        <w:t xml:space="preserve"> Crime Operations and the Director</w:t>
      </w:r>
      <w:r w:rsidR="00FA5340" w:rsidRPr="00DF3006">
        <w:rPr>
          <w:color w:val="414042" w:themeColor="text1"/>
        </w:rPr>
        <w:t>,</w:t>
      </w:r>
      <w:r w:rsidRPr="00DF3006">
        <w:rPr>
          <w:color w:val="414042" w:themeColor="text1"/>
        </w:rPr>
        <w:t xml:space="preserve"> Proceeds of Crime represent our agency on the Queensland Operations Coordination Group.</w:t>
      </w:r>
    </w:p>
    <w:p w14:paraId="13CA8DF9" w14:textId="77777777" w:rsidR="00B329FD" w:rsidRPr="00DF3006" w:rsidRDefault="00BA4B71" w:rsidP="00463FBB">
      <w:pPr>
        <w:pStyle w:val="Heading4"/>
      </w:pPr>
      <w:r w:rsidRPr="00DF3006">
        <w:t>Queensland Joint Analyst Group Committee</w:t>
      </w:r>
      <w:r w:rsidR="00C746DE" w:rsidRPr="00DF3006">
        <w:t xml:space="preserve"> </w:t>
      </w:r>
    </w:p>
    <w:p w14:paraId="001FFF5A" w14:textId="5CB540AE" w:rsidR="00D65C0B" w:rsidRPr="00DF3006" w:rsidRDefault="00C746DE" w:rsidP="00B329FD">
      <w:pPr>
        <w:rPr>
          <w:color w:val="414042" w:themeColor="text1"/>
        </w:rPr>
      </w:pPr>
      <w:r w:rsidRPr="00DF3006">
        <w:rPr>
          <w:color w:val="414042" w:themeColor="text1"/>
        </w:rPr>
        <w:t>The</w:t>
      </w:r>
      <w:r w:rsidR="00BA4B71" w:rsidRPr="00DF3006">
        <w:rPr>
          <w:color w:val="414042" w:themeColor="text1"/>
        </w:rPr>
        <w:t xml:space="preserve"> Queensland Joint Analyst Group (</w:t>
      </w:r>
      <w:proofErr w:type="spellStart"/>
      <w:r w:rsidR="00BA4B71" w:rsidRPr="00DF3006">
        <w:rPr>
          <w:color w:val="414042" w:themeColor="text1"/>
        </w:rPr>
        <w:t>QJAG</w:t>
      </w:r>
      <w:proofErr w:type="spellEnd"/>
      <w:r w:rsidR="00BA4B71" w:rsidRPr="00DF3006">
        <w:rPr>
          <w:color w:val="414042" w:themeColor="text1"/>
        </w:rPr>
        <w:t>) Committee is a forum of senior officers of the Queensland Joint Management Group agencies who meet at least monthly.</w:t>
      </w:r>
    </w:p>
    <w:p w14:paraId="38234F4D" w14:textId="7B639AD9" w:rsidR="00D65C0B" w:rsidRPr="00DF3006" w:rsidRDefault="00BA4B71" w:rsidP="00B329FD">
      <w:pPr>
        <w:rPr>
          <w:color w:val="414042" w:themeColor="text1"/>
        </w:rPr>
      </w:pPr>
      <w:r w:rsidRPr="00DF3006">
        <w:rPr>
          <w:color w:val="414042" w:themeColor="text1"/>
        </w:rPr>
        <w:t xml:space="preserve">The </w:t>
      </w:r>
      <w:proofErr w:type="spellStart"/>
      <w:r w:rsidRPr="00DF3006">
        <w:rPr>
          <w:color w:val="414042" w:themeColor="text1"/>
        </w:rPr>
        <w:t>QJAG</w:t>
      </w:r>
      <w:proofErr w:type="spellEnd"/>
      <w:r w:rsidRPr="00DF3006">
        <w:rPr>
          <w:color w:val="414042" w:themeColor="text1"/>
        </w:rPr>
        <w:t xml:space="preserve"> Committee considers assessments undertaken by the </w:t>
      </w:r>
      <w:proofErr w:type="spellStart"/>
      <w:r w:rsidRPr="00DF3006">
        <w:rPr>
          <w:color w:val="414042" w:themeColor="text1"/>
        </w:rPr>
        <w:t>QJAG</w:t>
      </w:r>
      <w:proofErr w:type="spellEnd"/>
      <w:r w:rsidRPr="00DF3006">
        <w:rPr>
          <w:color w:val="414042" w:themeColor="text1"/>
        </w:rPr>
        <w:t xml:space="preserve"> Working Group for consideration of action by the Queensland Operations Coordination Group.</w:t>
      </w:r>
      <w:r w:rsidR="00D65C0B" w:rsidRPr="00DF3006">
        <w:rPr>
          <w:color w:val="414042" w:themeColor="text1"/>
        </w:rPr>
        <w:t xml:space="preserve"> </w:t>
      </w:r>
      <w:r w:rsidRPr="00DF3006">
        <w:rPr>
          <w:color w:val="414042" w:themeColor="text1"/>
        </w:rPr>
        <w:t xml:space="preserve">The </w:t>
      </w:r>
      <w:proofErr w:type="spellStart"/>
      <w:r w:rsidRPr="00DF3006">
        <w:rPr>
          <w:color w:val="414042" w:themeColor="text1"/>
        </w:rPr>
        <w:t>QJAG</w:t>
      </w:r>
      <w:proofErr w:type="spellEnd"/>
      <w:r w:rsidRPr="00DF3006">
        <w:rPr>
          <w:color w:val="414042" w:themeColor="text1"/>
        </w:rPr>
        <w:t xml:space="preserve"> Working Group is a standing capability which identifies opportunities and priorities for targeting serious and organised crime in and affecting Queensland.</w:t>
      </w:r>
    </w:p>
    <w:p w14:paraId="4FEC4263" w14:textId="093907B6" w:rsidR="00BA4B71" w:rsidRPr="00DF3006" w:rsidRDefault="00BA4B71" w:rsidP="00B329FD">
      <w:pPr>
        <w:rPr>
          <w:color w:val="414042" w:themeColor="text1"/>
        </w:rPr>
      </w:pPr>
      <w:r w:rsidRPr="00DF3006">
        <w:rPr>
          <w:color w:val="414042" w:themeColor="text1"/>
        </w:rPr>
        <w:t>The Director</w:t>
      </w:r>
      <w:r w:rsidR="00A756D7" w:rsidRPr="00DF3006">
        <w:rPr>
          <w:color w:val="414042" w:themeColor="text1"/>
        </w:rPr>
        <w:t>,</w:t>
      </w:r>
      <w:r w:rsidRPr="00DF3006">
        <w:rPr>
          <w:color w:val="414042" w:themeColor="text1"/>
        </w:rPr>
        <w:t xml:space="preserve"> Crime Strategy and Intelligence represents our agency on the </w:t>
      </w:r>
      <w:proofErr w:type="spellStart"/>
      <w:r w:rsidRPr="00DF3006">
        <w:rPr>
          <w:color w:val="414042" w:themeColor="text1"/>
        </w:rPr>
        <w:t>QJAG</w:t>
      </w:r>
      <w:proofErr w:type="spellEnd"/>
      <w:r w:rsidRPr="00DF3006">
        <w:rPr>
          <w:color w:val="414042" w:themeColor="text1"/>
        </w:rPr>
        <w:t xml:space="preserve"> Committee, and our agency provides ongoing intelligence analyst support to the </w:t>
      </w:r>
      <w:proofErr w:type="spellStart"/>
      <w:r w:rsidRPr="00DF3006">
        <w:rPr>
          <w:color w:val="414042" w:themeColor="text1"/>
        </w:rPr>
        <w:t>QJAG</w:t>
      </w:r>
      <w:proofErr w:type="spellEnd"/>
      <w:r w:rsidRPr="00DF3006">
        <w:rPr>
          <w:color w:val="414042" w:themeColor="text1"/>
        </w:rPr>
        <w:t xml:space="preserve"> Working Group.</w:t>
      </w:r>
      <w:r w:rsidR="00D65C0B" w:rsidRPr="00DF3006">
        <w:rPr>
          <w:color w:val="414042" w:themeColor="text1"/>
        </w:rPr>
        <w:t xml:space="preserve"> </w:t>
      </w:r>
      <w:r w:rsidRPr="00DF3006">
        <w:rPr>
          <w:color w:val="414042" w:themeColor="text1"/>
        </w:rPr>
        <w:t>In 2022</w:t>
      </w:r>
      <w:r w:rsidR="009B2566" w:rsidRPr="00DF3006">
        <w:rPr>
          <w:color w:val="414042" w:themeColor="text1"/>
          <w:spacing w:val="-4"/>
        </w:rPr>
        <w:t>–</w:t>
      </w:r>
      <w:r w:rsidRPr="00DF3006">
        <w:rPr>
          <w:color w:val="414042" w:themeColor="text1"/>
        </w:rPr>
        <w:t>23 we increased our resourcing commitment to this working group by 40</w:t>
      </w:r>
      <w:r w:rsidR="00846D5C" w:rsidRPr="00DF3006">
        <w:rPr>
          <w:color w:val="414042" w:themeColor="text1"/>
        </w:rPr>
        <w:t xml:space="preserve"> per cent</w:t>
      </w:r>
      <w:r w:rsidRPr="00DF3006">
        <w:rPr>
          <w:color w:val="414042" w:themeColor="text1"/>
        </w:rPr>
        <w:t xml:space="preserve"> which will continue in 2023</w:t>
      </w:r>
      <w:r w:rsidR="00C16657" w:rsidRPr="00DF3006">
        <w:rPr>
          <w:color w:val="414042" w:themeColor="text1"/>
          <w:spacing w:val="-4"/>
        </w:rPr>
        <w:t>–</w:t>
      </w:r>
      <w:r w:rsidRPr="00DF3006">
        <w:rPr>
          <w:color w:val="414042" w:themeColor="text1"/>
        </w:rPr>
        <w:t>24.</w:t>
      </w:r>
    </w:p>
    <w:p w14:paraId="6154D9C0" w14:textId="77777777" w:rsidR="00B329FD" w:rsidRPr="00DF3006" w:rsidRDefault="00003B0D" w:rsidP="00463FBB">
      <w:pPr>
        <w:pStyle w:val="Heading4"/>
      </w:pPr>
      <w:r w:rsidRPr="00DF3006">
        <w:t>QPS</w:t>
      </w:r>
      <w:r w:rsidR="00BA4B71" w:rsidRPr="00DF3006">
        <w:t xml:space="preserve"> Operations Review Committee and Specialist Resources Committee </w:t>
      </w:r>
    </w:p>
    <w:p w14:paraId="5E7FE176" w14:textId="0F3286E0" w:rsidR="00D65C0B" w:rsidRPr="00DF3006" w:rsidRDefault="00C746DE" w:rsidP="00B329FD">
      <w:pPr>
        <w:rPr>
          <w:color w:val="414042" w:themeColor="text1"/>
        </w:rPr>
      </w:pPr>
      <w:r w:rsidRPr="00DF3006">
        <w:rPr>
          <w:color w:val="414042" w:themeColor="text1"/>
        </w:rPr>
        <w:t>The</w:t>
      </w:r>
      <w:r w:rsidR="00BA4B71" w:rsidRPr="00DF3006">
        <w:rPr>
          <w:color w:val="414042" w:themeColor="text1"/>
        </w:rPr>
        <w:t>se committees are comprised of command and regional crime coordinators and other relevant QPS members who meet at least every three weeks to share information, review, coordinate and approve operational activities and responses, and prioritise specialist resources for dealing with serious and organised crime within Queensland.</w:t>
      </w:r>
    </w:p>
    <w:p w14:paraId="35BBC1DB" w14:textId="783D30A3" w:rsidR="00BA4B71" w:rsidRPr="00DF3006" w:rsidRDefault="00BA4B71" w:rsidP="00B329FD">
      <w:pPr>
        <w:rPr>
          <w:color w:val="414042" w:themeColor="text1"/>
        </w:rPr>
      </w:pPr>
      <w:r w:rsidRPr="00DF3006">
        <w:rPr>
          <w:color w:val="414042" w:themeColor="text1"/>
        </w:rPr>
        <w:t>The Executive Director</w:t>
      </w:r>
      <w:r w:rsidR="00C941F2" w:rsidRPr="00DF3006">
        <w:rPr>
          <w:color w:val="414042" w:themeColor="text1"/>
        </w:rPr>
        <w:t>,</w:t>
      </w:r>
      <w:r w:rsidRPr="00DF3006">
        <w:rPr>
          <w:color w:val="414042" w:themeColor="text1"/>
        </w:rPr>
        <w:t xml:space="preserve"> Crime Operations represents our agency on both committees.</w:t>
      </w:r>
    </w:p>
    <w:p w14:paraId="5E70EC06" w14:textId="77777777" w:rsidR="00B329FD" w:rsidRPr="00DF3006" w:rsidRDefault="00BA4B71" w:rsidP="00463FBB">
      <w:pPr>
        <w:pStyle w:val="Heading4"/>
      </w:pPr>
      <w:r w:rsidRPr="00DF3006">
        <w:t>National Proceeds of Crime Forum</w:t>
      </w:r>
      <w:r w:rsidR="00C746DE" w:rsidRPr="00DF3006">
        <w:t xml:space="preserve"> </w:t>
      </w:r>
    </w:p>
    <w:p w14:paraId="36465940" w14:textId="0F4B7FC2" w:rsidR="00D65C0B" w:rsidRPr="00DF3006" w:rsidRDefault="00C746DE" w:rsidP="00B329FD">
      <w:pPr>
        <w:rPr>
          <w:color w:val="414042" w:themeColor="text1"/>
        </w:rPr>
      </w:pPr>
      <w:r w:rsidRPr="00DF3006">
        <w:rPr>
          <w:color w:val="414042" w:themeColor="text1"/>
        </w:rPr>
        <w:t>The</w:t>
      </w:r>
      <w:r w:rsidR="00BA4B71" w:rsidRPr="00DF3006">
        <w:rPr>
          <w:color w:val="414042" w:themeColor="text1"/>
        </w:rPr>
        <w:t xml:space="preserve"> Proceeds of Crime Forum is a meeting to bring together asset confiscation leaders from all Australian jurisdictions to discuss relevant issues and developments relating to proceeds of crime issues including regional trends, recent significant matters or court outcomes, legislative challenges or opportunities for reform and share strategies on navigating concurrent civil and criminal proceedings.</w:t>
      </w:r>
    </w:p>
    <w:p w14:paraId="7F08CBFE" w14:textId="76405210" w:rsidR="00BA4B71" w:rsidRPr="00DF3006" w:rsidRDefault="00BA4B71" w:rsidP="00B329FD">
      <w:pPr>
        <w:rPr>
          <w:color w:val="414042" w:themeColor="text1"/>
        </w:rPr>
      </w:pPr>
      <w:r w:rsidRPr="00DF3006">
        <w:rPr>
          <w:color w:val="414042" w:themeColor="text1"/>
        </w:rPr>
        <w:t>Participants include the CCC’s Director</w:t>
      </w:r>
      <w:r w:rsidR="00C941F2" w:rsidRPr="00DF3006">
        <w:rPr>
          <w:color w:val="414042" w:themeColor="text1"/>
        </w:rPr>
        <w:t xml:space="preserve">, </w:t>
      </w:r>
      <w:r w:rsidRPr="00DF3006">
        <w:rPr>
          <w:color w:val="414042" w:themeColor="text1"/>
        </w:rPr>
        <w:t xml:space="preserve">Proceeds of </w:t>
      </w:r>
      <w:proofErr w:type="gramStart"/>
      <w:r w:rsidRPr="00DF3006">
        <w:rPr>
          <w:color w:val="414042" w:themeColor="text1"/>
        </w:rPr>
        <w:t>Crime</w:t>
      </w:r>
      <w:proofErr w:type="gramEnd"/>
      <w:r w:rsidRPr="00DF3006">
        <w:rPr>
          <w:color w:val="414042" w:themeColor="text1"/>
        </w:rPr>
        <w:t xml:space="preserve"> and representatives from </w:t>
      </w:r>
      <w:r w:rsidR="00D65C0B" w:rsidRPr="00DF3006">
        <w:rPr>
          <w:color w:val="414042" w:themeColor="text1"/>
        </w:rPr>
        <w:t xml:space="preserve">the QPS, </w:t>
      </w:r>
      <w:r w:rsidRPr="00DF3006">
        <w:rPr>
          <w:color w:val="414042" w:themeColor="text1"/>
        </w:rPr>
        <w:t xml:space="preserve">the </w:t>
      </w:r>
      <w:r w:rsidR="00C941F2" w:rsidRPr="00DF3006">
        <w:rPr>
          <w:color w:val="414042" w:themeColor="text1"/>
        </w:rPr>
        <w:t>AFP</w:t>
      </w:r>
      <w:r w:rsidRPr="00DF3006">
        <w:rPr>
          <w:color w:val="414042" w:themeColor="text1"/>
        </w:rPr>
        <w:t xml:space="preserve">, Victorian Police, Western Australian Police, </w:t>
      </w:r>
      <w:r w:rsidR="00D65C0B" w:rsidRPr="00DF3006">
        <w:rPr>
          <w:color w:val="414042" w:themeColor="text1"/>
        </w:rPr>
        <w:t xml:space="preserve">and </w:t>
      </w:r>
      <w:r w:rsidRPr="00DF3006">
        <w:rPr>
          <w:color w:val="414042" w:themeColor="text1"/>
        </w:rPr>
        <w:t>Western Australia’s Corruption and Crime Commission.</w:t>
      </w:r>
    </w:p>
    <w:p w14:paraId="3C0B9B1C" w14:textId="77777777" w:rsidR="00DF61A4" w:rsidRPr="00DF3006" w:rsidRDefault="00DF61A4" w:rsidP="00BA4B71">
      <w:pPr>
        <w:rPr>
          <w:color w:val="414042" w:themeColor="text1"/>
        </w:rPr>
        <w:sectPr w:rsidR="00DF61A4" w:rsidRPr="00DF3006" w:rsidSect="00C77834">
          <w:type w:val="continuous"/>
          <w:pgSz w:w="11906" w:h="16838" w:code="9"/>
          <w:pgMar w:top="2155" w:right="1134" w:bottom="964" w:left="1134" w:header="720" w:footer="284" w:gutter="0"/>
          <w:cols w:num="2" w:space="567"/>
          <w:noEndnote/>
          <w:docGrid w:linePitch="272"/>
        </w:sectPr>
      </w:pPr>
    </w:p>
    <w:p w14:paraId="4E00E32E" w14:textId="77777777" w:rsidR="00BA4B71" w:rsidRPr="00DF3006" w:rsidRDefault="00BA4B71" w:rsidP="00BA4B71">
      <w:pPr>
        <w:rPr>
          <w:color w:val="414042" w:themeColor="text1"/>
        </w:rPr>
      </w:pPr>
    </w:p>
    <w:p w14:paraId="29FD7346" w14:textId="3C6D73D1" w:rsidR="00BA4B71" w:rsidRPr="00DF3006" w:rsidRDefault="00BA4B71" w:rsidP="00BA4B71">
      <w:pPr>
        <w:rPr>
          <w:color w:val="414042" w:themeColor="text1"/>
        </w:rPr>
        <w:sectPr w:rsidR="00BA4B71" w:rsidRPr="00DF3006" w:rsidSect="00C77834">
          <w:type w:val="continuous"/>
          <w:pgSz w:w="11906" w:h="16838" w:code="9"/>
          <w:pgMar w:top="2155" w:right="1134" w:bottom="964" w:left="1134" w:header="720" w:footer="284" w:gutter="0"/>
          <w:cols w:space="567"/>
          <w:noEndnote/>
          <w:docGrid w:linePitch="272"/>
        </w:sectPr>
      </w:pPr>
    </w:p>
    <w:bookmarkEnd w:id="1244"/>
    <w:bookmarkEnd w:id="1245"/>
    <w:p w14:paraId="31A03C14" w14:textId="77777777" w:rsidR="0036712A" w:rsidRPr="00DF3006" w:rsidRDefault="0036712A" w:rsidP="00E6066A">
      <w:pPr>
        <w:pStyle w:val="Heading3"/>
      </w:pPr>
      <w:r w:rsidRPr="00DF3006">
        <w:lastRenderedPageBreak/>
        <w:t>Empowering a transparent, trustworthy and corruption-resistant public sector</w:t>
      </w:r>
    </w:p>
    <w:p w14:paraId="30B0076E" w14:textId="26B1948D" w:rsidR="00BE174C" w:rsidRPr="00DF3006" w:rsidRDefault="00BE174C" w:rsidP="00463FBB">
      <w:pPr>
        <w:pStyle w:val="Heading4"/>
      </w:pPr>
      <w:r w:rsidRPr="00DF3006">
        <w:t xml:space="preserve">Corruption </w:t>
      </w:r>
      <w:r w:rsidR="005F19C3" w:rsidRPr="00DF3006">
        <w:t>stakeholder engagement</w:t>
      </w:r>
    </w:p>
    <w:p w14:paraId="3CC7C6AC" w14:textId="75983406" w:rsidR="00BE174C" w:rsidRPr="00DF3006" w:rsidRDefault="00F037EA" w:rsidP="00BE174C">
      <w:pPr>
        <w:rPr>
          <w:color w:val="414042" w:themeColor="text1"/>
        </w:rPr>
      </w:pPr>
      <w:r w:rsidRPr="00DF3006">
        <w:rPr>
          <w:color w:val="414042" w:themeColor="text1"/>
        </w:rPr>
        <w:t xml:space="preserve">Stakeholder engagement is a critical part of successful anti-corruption efforts. In a year of extensive </w:t>
      </w:r>
      <w:r w:rsidR="005F19C3" w:rsidRPr="00DF3006">
        <w:rPr>
          <w:color w:val="414042" w:themeColor="text1"/>
        </w:rPr>
        <w:t xml:space="preserve">renewal </w:t>
      </w:r>
      <w:r w:rsidRPr="00DF3006">
        <w:rPr>
          <w:color w:val="414042" w:themeColor="text1"/>
        </w:rPr>
        <w:t>of our corruption function,</w:t>
      </w:r>
      <w:r w:rsidR="002A4273" w:rsidRPr="00DF3006">
        <w:rPr>
          <w:color w:val="414042" w:themeColor="text1"/>
        </w:rPr>
        <w:t xml:space="preserve"> and the development of </w:t>
      </w:r>
      <w:r w:rsidR="00095DAF" w:rsidRPr="00DF3006">
        <w:rPr>
          <w:color w:val="414042" w:themeColor="text1"/>
        </w:rPr>
        <w:t xml:space="preserve">our </w:t>
      </w:r>
      <w:r w:rsidR="00095DAF" w:rsidRPr="00DF3006">
        <w:rPr>
          <w:color w:val="414042" w:themeColor="text1"/>
          <w:szCs w:val="20"/>
        </w:rPr>
        <w:t>new</w:t>
      </w:r>
      <w:r w:rsidR="002A4273" w:rsidRPr="00DF3006">
        <w:rPr>
          <w:color w:val="414042" w:themeColor="text1"/>
          <w:szCs w:val="20"/>
        </w:rPr>
        <w:t xml:space="preserve"> </w:t>
      </w:r>
      <w:r w:rsidR="002A4273" w:rsidRPr="00DF3006">
        <w:rPr>
          <w:i/>
          <w:iCs/>
          <w:color w:val="414042" w:themeColor="text1"/>
        </w:rPr>
        <w:t>Corruption Strategy 2023–27</w:t>
      </w:r>
      <w:r w:rsidR="002A4273" w:rsidRPr="00DF3006">
        <w:rPr>
          <w:color w:val="414042" w:themeColor="text1"/>
        </w:rPr>
        <w:t xml:space="preserve"> </w:t>
      </w:r>
      <w:r w:rsidR="002A4273" w:rsidRPr="00DF3006">
        <w:rPr>
          <w:color w:val="414042" w:themeColor="text1"/>
          <w:szCs w:val="20"/>
        </w:rPr>
        <w:t xml:space="preserve">(see page </w:t>
      </w:r>
      <w:r w:rsidR="004B6AC2" w:rsidRPr="00DF3006">
        <w:rPr>
          <w:color w:val="414042" w:themeColor="text1"/>
          <w:szCs w:val="20"/>
        </w:rPr>
        <w:t>79</w:t>
      </w:r>
      <w:r w:rsidR="002A4273" w:rsidRPr="00DF3006">
        <w:rPr>
          <w:color w:val="414042" w:themeColor="text1"/>
          <w:szCs w:val="20"/>
        </w:rPr>
        <w:t>)</w:t>
      </w:r>
      <w:r w:rsidR="005D67C6" w:rsidRPr="00DF3006">
        <w:rPr>
          <w:color w:val="414042" w:themeColor="text1"/>
          <w:szCs w:val="20"/>
        </w:rPr>
        <w:t xml:space="preserve">, </w:t>
      </w:r>
      <w:r w:rsidRPr="00DF3006">
        <w:rPr>
          <w:color w:val="414042" w:themeColor="text1"/>
        </w:rPr>
        <w:t xml:space="preserve">we kept our stakeholders and partners informed of our activities ensuing that they were a vital part of our </w:t>
      </w:r>
      <w:r w:rsidR="005F19C3" w:rsidRPr="00DF3006">
        <w:rPr>
          <w:color w:val="414042" w:themeColor="text1"/>
        </w:rPr>
        <w:t xml:space="preserve">renewal </w:t>
      </w:r>
      <w:r w:rsidRPr="00DF3006">
        <w:rPr>
          <w:color w:val="414042" w:themeColor="text1"/>
        </w:rPr>
        <w:t>journey.</w:t>
      </w:r>
    </w:p>
    <w:p w14:paraId="1A1E1483" w14:textId="208BC6C7" w:rsidR="00BE174C" w:rsidRPr="00DF3006" w:rsidRDefault="00F037EA" w:rsidP="005635BE">
      <w:pPr>
        <w:rPr>
          <w:color w:val="414042" w:themeColor="text1"/>
        </w:rPr>
      </w:pPr>
      <w:r w:rsidRPr="00DF3006">
        <w:rPr>
          <w:color w:val="414042" w:themeColor="text1"/>
        </w:rPr>
        <w:t>Some of the activities we undertook as part of stakeholder engagement this year are set out below.</w:t>
      </w:r>
    </w:p>
    <w:p w14:paraId="48D3E068" w14:textId="2C5800B8" w:rsidR="0036712A" w:rsidRPr="00DF3006" w:rsidRDefault="0036712A" w:rsidP="00463FBB">
      <w:pPr>
        <w:pStyle w:val="Heading4"/>
        <w:rPr>
          <w:highlight w:val="green"/>
        </w:rPr>
      </w:pPr>
      <w:r w:rsidRPr="00DF3006">
        <w:t>Integrity Services Forum</w:t>
      </w:r>
    </w:p>
    <w:p w14:paraId="0354D133" w14:textId="32B3BF59" w:rsidR="0036712A" w:rsidRPr="00DF3006" w:rsidRDefault="0036712A" w:rsidP="0036712A">
      <w:pPr>
        <w:rPr>
          <w:color w:val="414042" w:themeColor="text1"/>
        </w:rPr>
      </w:pPr>
      <w:r w:rsidRPr="00DF3006">
        <w:rPr>
          <w:color w:val="414042" w:themeColor="text1"/>
        </w:rPr>
        <w:t xml:space="preserve">In August 2022, five officers from the CCC travelled to Townsville to deliver a training program in support of the CCC’s publication </w:t>
      </w:r>
      <w:r w:rsidRPr="00DF3006">
        <w:rPr>
          <w:i/>
          <w:iCs/>
          <w:color w:val="414042" w:themeColor="text1"/>
        </w:rPr>
        <w:t>Corruption in Focus</w:t>
      </w:r>
      <w:r w:rsidRPr="00DF3006">
        <w:rPr>
          <w:color w:val="414042" w:themeColor="text1"/>
        </w:rPr>
        <w:t xml:space="preserve"> which is used by UPA</w:t>
      </w:r>
      <w:r w:rsidR="005F19C3" w:rsidRPr="00DF3006">
        <w:rPr>
          <w:color w:val="414042" w:themeColor="text1"/>
        </w:rPr>
        <w:t>s</w:t>
      </w:r>
      <w:r w:rsidRPr="00DF3006">
        <w:rPr>
          <w:color w:val="414042" w:themeColor="text1"/>
        </w:rPr>
        <w:t xml:space="preserve"> to manage complaints and allegations of corrupt conduct.</w:t>
      </w:r>
    </w:p>
    <w:p w14:paraId="67EA35B7" w14:textId="6BE131AA" w:rsidR="0036712A" w:rsidRPr="00DF3006" w:rsidRDefault="0036712A" w:rsidP="0036712A">
      <w:pPr>
        <w:rPr>
          <w:color w:val="414042" w:themeColor="text1"/>
        </w:rPr>
      </w:pPr>
      <w:r w:rsidRPr="00DF3006">
        <w:rPr>
          <w:color w:val="414042" w:themeColor="text1"/>
        </w:rPr>
        <w:t>Over two days, the officers delivered a series of presentations covering topics including assessing corrupt conduct, understanding CCC monitoring, options to deal with complaints of corrupt conduct, best</w:t>
      </w:r>
      <w:r w:rsidR="00022B27" w:rsidRPr="00DF3006">
        <w:rPr>
          <w:color w:val="414042" w:themeColor="text1"/>
        </w:rPr>
        <w:t xml:space="preserve"> </w:t>
      </w:r>
      <w:r w:rsidRPr="00DF3006">
        <w:rPr>
          <w:color w:val="414042" w:themeColor="text1"/>
        </w:rPr>
        <w:t>practice investigations, and accessing and using open-source intelligence. The workshop was attended by 28</w:t>
      </w:r>
      <w:r w:rsidR="00B13EDF" w:rsidRPr="00DF3006">
        <w:rPr>
          <w:color w:val="414042" w:themeColor="text1"/>
        </w:rPr>
        <w:t> </w:t>
      </w:r>
      <w:r w:rsidRPr="00DF3006">
        <w:rPr>
          <w:color w:val="414042" w:themeColor="text1"/>
        </w:rPr>
        <w:t>participants representing 14 different agencies.</w:t>
      </w:r>
    </w:p>
    <w:p w14:paraId="1F1BA36C" w14:textId="54F29156" w:rsidR="0036712A" w:rsidRPr="00DF3006" w:rsidRDefault="0036712A" w:rsidP="0036712A">
      <w:pPr>
        <w:rPr>
          <w:color w:val="414042" w:themeColor="text1"/>
        </w:rPr>
      </w:pPr>
      <w:r w:rsidRPr="00DF3006">
        <w:rPr>
          <w:color w:val="414042" w:themeColor="text1"/>
        </w:rPr>
        <w:t>The workshop was also an opportunity for the CCC to learn more about how agencies in regional areas operate, and to get their perspective on the complexities and challenges experienced by regional and smaller agencies dealing with corrupt conduct.</w:t>
      </w:r>
    </w:p>
    <w:p w14:paraId="05E77A8C" w14:textId="77777777" w:rsidR="007A522F" w:rsidRPr="00DF3006" w:rsidRDefault="007A522F" w:rsidP="00463FBB">
      <w:pPr>
        <w:pStyle w:val="Heading4"/>
      </w:pPr>
      <w:r w:rsidRPr="00DF3006">
        <w:t>Complaints, reconciliation, and client perspectives</w:t>
      </w:r>
    </w:p>
    <w:p w14:paraId="3547DEDE" w14:textId="77777777" w:rsidR="00B329FD" w:rsidRPr="00DF3006" w:rsidRDefault="007A522F" w:rsidP="007A522F">
      <w:pPr>
        <w:rPr>
          <w:color w:val="414042" w:themeColor="text1"/>
        </w:rPr>
      </w:pPr>
      <w:r w:rsidRPr="00DF3006">
        <w:rPr>
          <w:color w:val="414042" w:themeColor="text1"/>
        </w:rPr>
        <w:t>In 2021, we put a spotlight on our complaints management system as it relates to our Aboriginal and Torres Strait Islander clients. We examined how the CCC received and managed complaints from Aboriginal and Torres Strait Islander peoples, and identified the barriers and challenges faced in accessing and engaging with the complaints management system. Data collection was co-led by First Australians experts in Indigenous community engagement. Findings highlighted key themes including poor awareness of the CCC, under-reporting of corrupt conduct, and concerns about safety when making a complaint.</w:t>
      </w:r>
    </w:p>
    <w:p w14:paraId="03B897E4" w14:textId="43948F3D" w:rsidR="007A522F" w:rsidRPr="00DF3006" w:rsidRDefault="00BE57E9" w:rsidP="000B43D8">
      <w:pPr>
        <w:spacing w:before="240"/>
        <w:rPr>
          <w:color w:val="414042" w:themeColor="text1"/>
        </w:rPr>
      </w:pPr>
      <w:r w:rsidRPr="00DF3006">
        <w:rPr>
          <w:color w:val="414042" w:themeColor="text1"/>
        </w:rPr>
        <w:br w:type="column"/>
      </w:r>
      <w:r w:rsidR="007A522F" w:rsidRPr="00DF3006">
        <w:rPr>
          <w:color w:val="414042" w:themeColor="text1"/>
        </w:rPr>
        <w:t xml:space="preserve">In 2022–23, </w:t>
      </w:r>
      <w:r w:rsidR="00BE174C" w:rsidRPr="00DF3006">
        <w:rPr>
          <w:color w:val="414042" w:themeColor="text1"/>
        </w:rPr>
        <w:t xml:space="preserve">we </w:t>
      </w:r>
      <w:r w:rsidR="007A522F" w:rsidRPr="00DF3006">
        <w:rPr>
          <w:color w:val="414042" w:themeColor="text1"/>
        </w:rPr>
        <w:t xml:space="preserve">worked through the implications of our results for service provision to Aboriginal and Torres Strait Islander peoples, to ensure that any improvements are progressed in a culturally safe manner. </w:t>
      </w:r>
      <w:r w:rsidR="007A522F" w:rsidRPr="00DF3006">
        <w:rPr>
          <w:rStyle w:val="ui-provider"/>
          <w:color w:val="414042" w:themeColor="text1"/>
        </w:rPr>
        <w:t xml:space="preserve">Further work, including implementation of the proposed strategies, will be considered as part of </w:t>
      </w:r>
      <w:r w:rsidR="00462149" w:rsidRPr="00DF3006">
        <w:rPr>
          <w:rStyle w:val="ui-provider"/>
          <w:color w:val="414042" w:themeColor="text1"/>
        </w:rPr>
        <w:t>our new</w:t>
      </w:r>
      <w:r w:rsidR="007A522F" w:rsidRPr="00DF3006">
        <w:rPr>
          <w:rStyle w:val="ui-provider"/>
          <w:color w:val="414042" w:themeColor="text1"/>
        </w:rPr>
        <w:t xml:space="preserve"> </w:t>
      </w:r>
      <w:r w:rsidR="007A522F" w:rsidRPr="00DF3006">
        <w:rPr>
          <w:rStyle w:val="ui-provider"/>
          <w:i/>
          <w:iCs/>
          <w:color w:val="414042" w:themeColor="text1"/>
        </w:rPr>
        <w:t>Corruption Strategy 2023</w:t>
      </w:r>
      <w:r w:rsidR="007A522F" w:rsidRPr="00DF3006">
        <w:rPr>
          <w:i/>
          <w:iCs/>
          <w:color w:val="414042" w:themeColor="text1"/>
          <w:spacing w:val="-4"/>
        </w:rPr>
        <w:t>–</w:t>
      </w:r>
      <w:r w:rsidR="007A522F" w:rsidRPr="00DF3006">
        <w:rPr>
          <w:rStyle w:val="ui-provider"/>
          <w:i/>
          <w:iCs/>
          <w:color w:val="414042" w:themeColor="text1"/>
        </w:rPr>
        <w:t>27</w:t>
      </w:r>
      <w:r w:rsidR="007A522F" w:rsidRPr="00DF3006">
        <w:rPr>
          <w:rStyle w:val="ui-provider"/>
          <w:color w:val="414042" w:themeColor="text1"/>
        </w:rPr>
        <w:t>.</w:t>
      </w:r>
    </w:p>
    <w:p w14:paraId="5BA7CAE9" w14:textId="5A42D5FB" w:rsidR="007A522F" w:rsidRPr="00DF3006" w:rsidRDefault="007A522F" w:rsidP="007A522F">
      <w:pPr>
        <w:rPr>
          <w:color w:val="414042" w:themeColor="text1"/>
        </w:rPr>
      </w:pPr>
      <w:r w:rsidRPr="00DF3006">
        <w:rPr>
          <w:color w:val="414042" w:themeColor="text1"/>
        </w:rPr>
        <w:t xml:space="preserve">A paper based on this project was delivered at the </w:t>
      </w:r>
      <w:r w:rsidRPr="00DF3006">
        <w:rPr>
          <w:i/>
          <w:iCs/>
          <w:color w:val="414042" w:themeColor="text1"/>
        </w:rPr>
        <w:t>Australian Public Sector Anti-Corruption Conference</w:t>
      </w:r>
      <w:r w:rsidRPr="00DF3006">
        <w:rPr>
          <w:color w:val="414042" w:themeColor="text1"/>
        </w:rPr>
        <w:t xml:space="preserve"> in November 2022 and was positively received.</w:t>
      </w:r>
    </w:p>
    <w:p w14:paraId="4F20389E" w14:textId="77777777" w:rsidR="007A522F" w:rsidRPr="00DF3006" w:rsidRDefault="007A522F" w:rsidP="00463FBB">
      <w:pPr>
        <w:pStyle w:val="Heading4"/>
        <w:rPr>
          <w:highlight w:val="green"/>
        </w:rPr>
      </w:pPr>
      <w:r w:rsidRPr="00DF3006">
        <w:t>Corruption Strategic Risk Identification Project</w:t>
      </w:r>
    </w:p>
    <w:p w14:paraId="2228D56D" w14:textId="02B4291E" w:rsidR="007A522F" w:rsidRPr="00DF3006" w:rsidRDefault="007A522F" w:rsidP="007A522F">
      <w:pPr>
        <w:rPr>
          <w:color w:val="414042" w:themeColor="text1"/>
        </w:rPr>
      </w:pPr>
      <w:r w:rsidRPr="00DF3006">
        <w:rPr>
          <w:color w:val="414042" w:themeColor="text1"/>
        </w:rPr>
        <w:t xml:space="preserve">In 2022–23, </w:t>
      </w:r>
      <w:r w:rsidR="002A4273" w:rsidRPr="00DF3006">
        <w:rPr>
          <w:color w:val="414042" w:themeColor="text1"/>
        </w:rPr>
        <w:t xml:space="preserve">we finalised the </w:t>
      </w:r>
      <w:r w:rsidRPr="00DF3006">
        <w:rPr>
          <w:i/>
          <w:iCs/>
          <w:color w:val="414042" w:themeColor="text1"/>
        </w:rPr>
        <w:t>Corruption Strategic Risk Identification Project</w:t>
      </w:r>
      <w:r w:rsidR="002A4273" w:rsidRPr="00DF3006">
        <w:rPr>
          <w:i/>
          <w:iCs/>
          <w:color w:val="414042" w:themeColor="text1"/>
        </w:rPr>
        <w:t>.</w:t>
      </w:r>
      <w:r w:rsidRPr="00DF3006">
        <w:rPr>
          <w:color w:val="414042" w:themeColor="text1"/>
        </w:rPr>
        <w:t xml:space="preserve"> This project involved piloting a corruption prevention model for identifying corruption risks and enablers under the </w:t>
      </w:r>
      <w:r w:rsidRPr="00DF3006">
        <w:rPr>
          <w:i/>
          <w:iCs/>
          <w:color w:val="414042" w:themeColor="text1"/>
        </w:rPr>
        <w:t>misuse of confidential information</w:t>
      </w:r>
      <w:r w:rsidRPr="00DF3006">
        <w:rPr>
          <w:color w:val="414042" w:themeColor="text1"/>
        </w:rPr>
        <w:t xml:space="preserve"> risk area. The CCC and a public sector agency jointly developed and implemented prevention activities and measured the extent to which those activities mitigated corruption risks and their enablers.</w:t>
      </w:r>
    </w:p>
    <w:p w14:paraId="2636AD18" w14:textId="0EB11485" w:rsidR="007A522F" w:rsidRPr="00DF3006" w:rsidRDefault="007A522F" w:rsidP="007A522F">
      <w:pPr>
        <w:rPr>
          <w:color w:val="414042" w:themeColor="text1"/>
        </w:rPr>
      </w:pPr>
      <w:r w:rsidRPr="00DF3006">
        <w:rPr>
          <w:color w:val="414042" w:themeColor="text1"/>
        </w:rPr>
        <w:t xml:space="preserve">This project was the first of its kind for an Australian integrity agency. The findings have informed </w:t>
      </w:r>
      <w:r w:rsidR="00BE174C" w:rsidRPr="00DF3006">
        <w:rPr>
          <w:color w:val="414042" w:themeColor="text1"/>
        </w:rPr>
        <w:t>our new</w:t>
      </w:r>
      <w:r w:rsidRPr="00DF3006">
        <w:rPr>
          <w:color w:val="414042" w:themeColor="text1"/>
        </w:rPr>
        <w:t xml:space="preserve"> </w:t>
      </w:r>
      <w:r w:rsidRPr="00DF3006">
        <w:rPr>
          <w:i/>
          <w:iCs/>
          <w:color w:val="414042" w:themeColor="text1"/>
        </w:rPr>
        <w:t xml:space="preserve">Corruption Strategy </w:t>
      </w:r>
      <w:r w:rsidR="00462149" w:rsidRPr="00DF3006">
        <w:rPr>
          <w:i/>
          <w:iCs/>
          <w:color w:val="414042" w:themeColor="text1"/>
        </w:rPr>
        <w:t>2023</w:t>
      </w:r>
      <w:r w:rsidR="00462149" w:rsidRPr="00DF3006">
        <w:rPr>
          <w:i/>
          <w:iCs/>
          <w:color w:val="414042" w:themeColor="text1"/>
          <w:spacing w:val="-4"/>
        </w:rPr>
        <w:t>–</w:t>
      </w:r>
      <w:r w:rsidR="00462149" w:rsidRPr="00DF3006">
        <w:rPr>
          <w:i/>
          <w:iCs/>
          <w:color w:val="414042" w:themeColor="text1"/>
        </w:rPr>
        <w:t>27</w:t>
      </w:r>
      <w:r w:rsidR="00462149" w:rsidRPr="00DF3006">
        <w:rPr>
          <w:color w:val="414042" w:themeColor="text1"/>
        </w:rPr>
        <w:t xml:space="preserve"> </w:t>
      </w:r>
      <w:r w:rsidRPr="00DF3006">
        <w:rPr>
          <w:color w:val="414042" w:themeColor="text1"/>
        </w:rPr>
        <w:t>and will help evolve our approach to working collaboratively with stakeholders to develop and measure corruption prevention activities in the future.</w:t>
      </w:r>
    </w:p>
    <w:p w14:paraId="1A9B353B" w14:textId="77777777" w:rsidR="007A522F" w:rsidRPr="00DF3006" w:rsidRDefault="007A522F" w:rsidP="00463FBB">
      <w:pPr>
        <w:pStyle w:val="Heading4"/>
      </w:pPr>
      <w:r w:rsidRPr="00DF3006">
        <w:t>CCC–QPS joint complaints assessment process</w:t>
      </w:r>
    </w:p>
    <w:p w14:paraId="4F55E529" w14:textId="0283B387" w:rsidR="007A522F" w:rsidRPr="00DF3006" w:rsidRDefault="007A522F" w:rsidP="007A522F">
      <w:pPr>
        <w:rPr>
          <w:color w:val="414042" w:themeColor="text1"/>
          <w:highlight w:val="green"/>
        </w:rPr>
      </w:pPr>
      <w:r w:rsidRPr="00DF3006">
        <w:rPr>
          <w:color w:val="414042" w:themeColor="text1"/>
        </w:rPr>
        <w:t xml:space="preserve">The Joint Assessment and Moderation Committee (JAMC) includes representatives from our agency and the QPS Ethical Standards Command. The JAMC aims to improve the timeliness and consistency of the QPS’ processes for triaging and monitoring serious complaints against its own officers. This year, the JAMC assessed </w:t>
      </w:r>
      <w:r w:rsidR="00B54579" w:rsidRPr="00DF3006">
        <w:rPr>
          <w:color w:val="414042" w:themeColor="text1"/>
        </w:rPr>
        <w:t xml:space="preserve">74 </w:t>
      </w:r>
      <w:r w:rsidRPr="00DF3006">
        <w:rPr>
          <w:color w:val="414042" w:themeColor="text1"/>
        </w:rPr>
        <w:t>matters.</w:t>
      </w:r>
    </w:p>
    <w:p w14:paraId="2D452FBC" w14:textId="77777777" w:rsidR="007A522F" w:rsidRPr="00DF3006" w:rsidRDefault="007A522F" w:rsidP="007A522F">
      <w:pPr>
        <w:rPr>
          <w:color w:val="414042" w:themeColor="text1"/>
        </w:rPr>
      </w:pPr>
      <w:r w:rsidRPr="00DF3006">
        <w:rPr>
          <w:color w:val="414042" w:themeColor="text1"/>
        </w:rPr>
        <w:t>The JAMC evaluates how each complaint is initially assessed and then agrees to a plan of action. This process gives both the CCC and the QPS an assurance that complaints are being appropriately assessed and clearly establishes the responsibilities of each agency.</w:t>
      </w:r>
    </w:p>
    <w:p w14:paraId="524510F8" w14:textId="77777777" w:rsidR="007A522F" w:rsidRPr="00DF3006" w:rsidRDefault="007A522F" w:rsidP="007A522F">
      <w:pPr>
        <w:rPr>
          <w:color w:val="414042" w:themeColor="text1"/>
        </w:rPr>
      </w:pPr>
      <w:r w:rsidRPr="00DF3006">
        <w:rPr>
          <w:color w:val="414042" w:themeColor="text1"/>
        </w:rPr>
        <w:t>The JAMC draws on our allegations data and research to evaluate levels of risk. The analysis of allegations data assists the JAMC to assess whether an officer’s complaints history is significant compared to that of their peers. We continue to conduct research to better understand the importance of an officer’s allegations history in assessing matters at the JAMC.</w:t>
      </w:r>
    </w:p>
    <w:p w14:paraId="3E49E610" w14:textId="52BEAB67" w:rsidR="00B70E96" w:rsidRPr="00DF3006" w:rsidRDefault="00BE57E9" w:rsidP="00B70E96">
      <w:pPr>
        <w:rPr>
          <w:color w:val="414042" w:themeColor="text1"/>
        </w:rPr>
      </w:pPr>
      <w:r w:rsidRPr="00DF3006">
        <w:rPr>
          <w:color w:val="414042" w:themeColor="text1"/>
        </w:rPr>
        <w:br w:type="column"/>
      </w:r>
      <w:r w:rsidR="007A522F" w:rsidRPr="00DF3006">
        <w:rPr>
          <w:color w:val="414042" w:themeColor="text1"/>
        </w:rPr>
        <w:lastRenderedPageBreak/>
        <w:t>The Investigation Consultation Process (</w:t>
      </w:r>
      <w:proofErr w:type="spellStart"/>
      <w:r w:rsidR="007A522F" w:rsidRPr="00DF3006">
        <w:rPr>
          <w:color w:val="414042" w:themeColor="text1"/>
        </w:rPr>
        <w:t>ICP</w:t>
      </w:r>
      <w:proofErr w:type="spellEnd"/>
      <w:r w:rsidR="007A522F" w:rsidRPr="00DF3006">
        <w:rPr>
          <w:color w:val="414042" w:themeColor="text1"/>
        </w:rPr>
        <w:t xml:space="preserve">) is the second tier of the JAMC process. </w:t>
      </w:r>
      <w:r w:rsidR="00B70E96" w:rsidRPr="00DF3006">
        <w:rPr>
          <w:color w:val="414042" w:themeColor="text1"/>
        </w:rPr>
        <w:t xml:space="preserve">The </w:t>
      </w:r>
      <w:proofErr w:type="spellStart"/>
      <w:r w:rsidR="00B70E96" w:rsidRPr="00DF3006">
        <w:rPr>
          <w:color w:val="414042" w:themeColor="text1"/>
        </w:rPr>
        <w:t>ICP</w:t>
      </w:r>
      <w:proofErr w:type="spellEnd"/>
      <w:r w:rsidR="00B70E96" w:rsidRPr="00DF3006">
        <w:rPr>
          <w:color w:val="414042" w:themeColor="text1"/>
        </w:rPr>
        <w:t xml:space="preserve"> meets whenever there is a stakeholder necessity or public interest in gaining a joint commitment to processes that will meet stakeholder expectations. During 2022–23, </w:t>
      </w:r>
      <w:r w:rsidR="00B54579" w:rsidRPr="00DF3006">
        <w:rPr>
          <w:color w:val="414042" w:themeColor="text1"/>
        </w:rPr>
        <w:t>eight</w:t>
      </w:r>
      <w:r w:rsidR="00B70E96" w:rsidRPr="00DF3006">
        <w:rPr>
          <w:color w:val="414042" w:themeColor="text1"/>
        </w:rPr>
        <w:t xml:space="preserve"> </w:t>
      </w:r>
      <w:proofErr w:type="spellStart"/>
      <w:r w:rsidR="00B70E96" w:rsidRPr="00DF3006">
        <w:rPr>
          <w:color w:val="414042" w:themeColor="text1"/>
        </w:rPr>
        <w:t>ICP</w:t>
      </w:r>
      <w:proofErr w:type="spellEnd"/>
      <w:r w:rsidR="00B70E96" w:rsidRPr="00DF3006">
        <w:rPr>
          <w:color w:val="414042" w:themeColor="text1"/>
        </w:rPr>
        <w:t xml:space="preserve"> meetings were held in relation to </w:t>
      </w:r>
      <w:r w:rsidR="00B54579" w:rsidRPr="00DF3006">
        <w:rPr>
          <w:color w:val="414042" w:themeColor="text1"/>
        </w:rPr>
        <w:t>eight</w:t>
      </w:r>
      <w:r w:rsidR="00B70E96" w:rsidRPr="00DF3006">
        <w:rPr>
          <w:color w:val="414042" w:themeColor="text1"/>
        </w:rPr>
        <w:t xml:space="preserve"> matters.</w:t>
      </w:r>
    </w:p>
    <w:p w14:paraId="3EA8D37C" w14:textId="6731A64A" w:rsidR="007A522F" w:rsidRPr="00DF3006" w:rsidRDefault="007A522F" w:rsidP="007A522F">
      <w:pPr>
        <w:rPr>
          <w:color w:val="414042" w:themeColor="text1"/>
        </w:rPr>
      </w:pPr>
      <w:r w:rsidRPr="00DF3006">
        <w:rPr>
          <w:color w:val="414042" w:themeColor="text1"/>
        </w:rPr>
        <w:t xml:space="preserve">Since its commencement in 2017, the </w:t>
      </w:r>
      <w:proofErr w:type="spellStart"/>
      <w:r w:rsidRPr="00DF3006">
        <w:rPr>
          <w:color w:val="414042" w:themeColor="text1"/>
        </w:rPr>
        <w:t>ICP</w:t>
      </w:r>
      <w:proofErr w:type="spellEnd"/>
      <w:r w:rsidRPr="00DF3006">
        <w:rPr>
          <w:color w:val="414042" w:themeColor="text1"/>
        </w:rPr>
        <w:t xml:space="preserve"> has enabled inter-agency collaboration on contemporary investigative methodologies in matters that are the subject to the CCC’s statutory monitoring function.</w:t>
      </w:r>
    </w:p>
    <w:p w14:paraId="6DC60A45" w14:textId="77777777" w:rsidR="007A522F" w:rsidRPr="00DF3006" w:rsidRDefault="007A522F" w:rsidP="007A522F">
      <w:pPr>
        <w:rPr>
          <w:color w:val="414042" w:themeColor="text1"/>
        </w:rPr>
      </w:pPr>
      <w:r w:rsidRPr="00DF3006">
        <w:rPr>
          <w:color w:val="414042" w:themeColor="text1"/>
        </w:rPr>
        <w:t xml:space="preserve">As part of the </w:t>
      </w:r>
      <w:proofErr w:type="spellStart"/>
      <w:r w:rsidRPr="00DF3006">
        <w:rPr>
          <w:color w:val="414042" w:themeColor="text1"/>
        </w:rPr>
        <w:t>ICP</w:t>
      </w:r>
      <w:proofErr w:type="spellEnd"/>
      <w:r w:rsidRPr="00DF3006">
        <w:rPr>
          <w:color w:val="414042" w:themeColor="text1"/>
        </w:rPr>
        <w:t>, the progress of matters and our expectations regarding investigations and/or criminal, disciplinary, and managerial processes are tabled. In addition, either agency can raise issues that are contentious or that impact on their resources, so that an effective resolution may be achieved.</w:t>
      </w:r>
    </w:p>
    <w:p w14:paraId="2873C5DD" w14:textId="77777777" w:rsidR="000038F3" w:rsidRPr="00DF3006" w:rsidRDefault="000038F3" w:rsidP="00463FBB">
      <w:pPr>
        <w:pStyle w:val="Heading4"/>
        <w:rPr>
          <w:highlight w:val="green"/>
        </w:rPr>
      </w:pPr>
      <w:r w:rsidRPr="00DF3006">
        <w:t>Corruption Allegations Data Dashboard</w:t>
      </w:r>
    </w:p>
    <w:p w14:paraId="3F93D21C" w14:textId="77777777" w:rsidR="00E61ECD" w:rsidRPr="00DF3006" w:rsidRDefault="000038F3" w:rsidP="000038F3">
      <w:pPr>
        <w:ind w:right="140"/>
        <w:rPr>
          <w:color w:val="414042" w:themeColor="text1"/>
        </w:rPr>
      </w:pPr>
      <w:r w:rsidRPr="00DF3006">
        <w:rPr>
          <w:color w:val="414042" w:themeColor="text1"/>
        </w:rPr>
        <w:t xml:space="preserve">In December 2016, we released the </w:t>
      </w:r>
      <w:r w:rsidRPr="00DF3006">
        <w:rPr>
          <w:i/>
          <w:iCs/>
          <w:color w:val="414042" w:themeColor="text1"/>
          <w:u w:color="BCBEC0" w:themeColor="accent5"/>
        </w:rPr>
        <w:t>Corruption Allegations Data Dashboard</w:t>
      </w:r>
      <w:r w:rsidRPr="00DF3006">
        <w:rPr>
          <w:color w:val="414042" w:themeColor="text1"/>
        </w:rPr>
        <w:t xml:space="preserve"> on our website to provide the public and public sector agencies with access to our allegations data. Since that time, agencies have given very positive feedback on the value of the database, particularly its store of data going back to 2015 and the way in which it enables them to interrogate their trends over time and identifying and preventing corruption. </w:t>
      </w:r>
    </w:p>
    <w:p w14:paraId="7C7A7856" w14:textId="5BAFD930" w:rsidR="000038F3" w:rsidRPr="00DF3006" w:rsidRDefault="000038F3" w:rsidP="000038F3">
      <w:pPr>
        <w:ind w:right="140"/>
        <w:rPr>
          <w:color w:val="414042" w:themeColor="text1"/>
        </w:rPr>
      </w:pPr>
      <w:r w:rsidRPr="00DF3006">
        <w:rPr>
          <w:color w:val="414042" w:themeColor="text1"/>
        </w:rPr>
        <w:t>Data updates are published every six months</w:t>
      </w:r>
      <w:r w:rsidR="00E61ECD" w:rsidRPr="00DF3006">
        <w:rPr>
          <w:color w:val="414042" w:themeColor="text1"/>
        </w:rPr>
        <w:t xml:space="preserve"> – as </w:t>
      </w:r>
      <w:proofErr w:type="gramStart"/>
      <w:r w:rsidR="00E61ECD" w:rsidRPr="00DF3006">
        <w:rPr>
          <w:color w:val="414042" w:themeColor="text1"/>
        </w:rPr>
        <w:t>at</w:t>
      </w:r>
      <w:proofErr w:type="gramEnd"/>
      <w:r w:rsidR="00E61ECD" w:rsidRPr="00DF3006">
        <w:rPr>
          <w:color w:val="414042" w:themeColor="text1"/>
        </w:rPr>
        <w:t xml:space="preserve"> 30 June 2023 the dataset </w:t>
      </w:r>
      <w:r w:rsidRPr="00DF3006">
        <w:rPr>
          <w:color w:val="414042" w:themeColor="text1"/>
        </w:rPr>
        <w:t>covers the period 1 July 2015 to 31 March 2023.</w:t>
      </w:r>
    </w:p>
    <w:p w14:paraId="4D9C7FB4" w14:textId="77777777" w:rsidR="0036712A" w:rsidRPr="00DF3006" w:rsidRDefault="0036712A" w:rsidP="00463FBB">
      <w:pPr>
        <w:pStyle w:val="Heading4"/>
      </w:pPr>
      <w:r w:rsidRPr="00DF3006">
        <w:t>International Anti-Corruption Day</w:t>
      </w:r>
    </w:p>
    <w:p w14:paraId="0CBCA432" w14:textId="2B013261" w:rsidR="00162D03" w:rsidRPr="00DF3006" w:rsidRDefault="00162D03" w:rsidP="0036712A">
      <w:pPr>
        <w:rPr>
          <w:color w:val="414042" w:themeColor="text1"/>
        </w:rPr>
      </w:pPr>
      <w:r w:rsidRPr="00DF3006">
        <w:rPr>
          <w:color w:val="414042" w:themeColor="text1"/>
        </w:rPr>
        <w:t>The CCC</w:t>
      </w:r>
      <w:r w:rsidR="0036712A" w:rsidRPr="00DF3006">
        <w:rPr>
          <w:color w:val="414042" w:themeColor="text1"/>
        </w:rPr>
        <w:t xml:space="preserve"> supported International Anti-Corruption Day on 9 December 2022. The United Nations’ 2022 message ‘</w:t>
      </w:r>
      <w:r w:rsidR="0036712A" w:rsidRPr="00DF3006">
        <w:rPr>
          <w:i/>
          <w:iCs/>
          <w:color w:val="414042" w:themeColor="text1"/>
        </w:rPr>
        <w:t>Uniting the world against corruption</w:t>
      </w:r>
      <w:r w:rsidR="0036712A" w:rsidRPr="00DF3006">
        <w:rPr>
          <w:color w:val="414042" w:themeColor="text1"/>
        </w:rPr>
        <w:t>’ was intended to reinforce the notion that tackling corruption is everyone’s right and responsibility.</w:t>
      </w:r>
    </w:p>
    <w:p w14:paraId="07DC0751" w14:textId="1E62C978" w:rsidR="0036712A" w:rsidRPr="00DF3006" w:rsidRDefault="0036712A" w:rsidP="0036712A">
      <w:pPr>
        <w:rPr>
          <w:color w:val="414042" w:themeColor="text1"/>
        </w:rPr>
      </w:pPr>
      <w:r w:rsidRPr="00DF3006">
        <w:rPr>
          <w:color w:val="414042" w:themeColor="text1"/>
        </w:rPr>
        <w:t>In line with that message, the Chairperson wrote to all Directors-General and CEOs of councils to reinforce that message and to thank them for their efforts and ongoing collaboration with the CCC. The letter included a draft email to be sent to all staff about the importance of their role as advocates for integrity and anti-corruption in the workplace.</w:t>
      </w:r>
    </w:p>
    <w:p w14:paraId="5F19E1FF" w14:textId="3BAACF2D" w:rsidR="0036712A" w:rsidRPr="00DF3006" w:rsidRDefault="00175484" w:rsidP="00463FBB">
      <w:pPr>
        <w:pStyle w:val="Heading4"/>
      </w:pPr>
      <w:r w:rsidRPr="00DF3006">
        <w:br w:type="column"/>
      </w:r>
      <w:r w:rsidR="0036712A" w:rsidRPr="00DF3006">
        <w:t>Corruption Prevention Network Queensland</w:t>
      </w:r>
    </w:p>
    <w:p w14:paraId="7EFFD45E" w14:textId="4D0A2C42" w:rsidR="0036712A" w:rsidRPr="00DF3006" w:rsidRDefault="0036712A" w:rsidP="0036712A">
      <w:pPr>
        <w:rPr>
          <w:color w:val="414042" w:themeColor="text1"/>
        </w:rPr>
      </w:pPr>
      <w:r w:rsidRPr="00DF3006">
        <w:rPr>
          <w:color w:val="414042" w:themeColor="text1"/>
        </w:rPr>
        <w:t>Established in 2003 as an initiative of the CCC’s predecessor organisation the CMC, the Corruption Prevention Network Queensland (</w:t>
      </w:r>
      <w:proofErr w:type="spellStart"/>
      <w:r w:rsidRPr="00DF3006">
        <w:rPr>
          <w:color w:val="414042" w:themeColor="text1"/>
        </w:rPr>
        <w:t>CPNQ</w:t>
      </w:r>
      <w:proofErr w:type="spellEnd"/>
      <w:r w:rsidRPr="00DF3006">
        <w:rPr>
          <w:color w:val="414042" w:themeColor="text1"/>
        </w:rPr>
        <w:t xml:space="preserve">) assists its members to develop knowledge, </w:t>
      </w:r>
      <w:proofErr w:type="gramStart"/>
      <w:r w:rsidRPr="00DF3006">
        <w:rPr>
          <w:color w:val="414042" w:themeColor="text1"/>
        </w:rPr>
        <w:t>skills</w:t>
      </w:r>
      <w:proofErr w:type="gramEnd"/>
      <w:r w:rsidRPr="00DF3006">
        <w:rPr>
          <w:color w:val="414042" w:themeColor="text1"/>
        </w:rPr>
        <w:t xml:space="preserve"> and professional networks to build more fraud-resilient and corruption-resilient organisations in Queensland. The CCC provides some financial support to </w:t>
      </w:r>
      <w:proofErr w:type="spellStart"/>
      <w:r w:rsidRPr="00DF3006">
        <w:rPr>
          <w:color w:val="414042" w:themeColor="text1"/>
        </w:rPr>
        <w:t>CPNQ</w:t>
      </w:r>
      <w:proofErr w:type="spellEnd"/>
      <w:r w:rsidRPr="00DF3006">
        <w:rPr>
          <w:color w:val="414042" w:themeColor="text1"/>
        </w:rPr>
        <w:t xml:space="preserve"> to help meet basic running costs to ensure that the group remains viable.</w:t>
      </w:r>
    </w:p>
    <w:p w14:paraId="37830718" w14:textId="77777777" w:rsidR="0036712A" w:rsidRPr="00DF3006" w:rsidRDefault="0036712A" w:rsidP="0036712A">
      <w:pPr>
        <w:rPr>
          <w:color w:val="414042" w:themeColor="text1"/>
        </w:rPr>
      </w:pPr>
      <w:r w:rsidRPr="00DF3006">
        <w:rPr>
          <w:color w:val="414042" w:themeColor="text1"/>
        </w:rPr>
        <w:t xml:space="preserve">Network members come from the public sector (local, </w:t>
      </w:r>
      <w:proofErr w:type="gramStart"/>
      <w:r w:rsidRPr="00DF3006">
        <w:rPr>
          <w:color w:val="414042" w:themeColor="text1"/>
        </w:rPr>
        <w:t>state</w:t>
      </w:r>
      <w:proofErr w:type="gramEnd"/>
      <w:r w:rsidRPr="00DF3006">
        <w:rPr>
          <w:color w:val="414042" w:themeColor="text1"/>
        </w:rPr>
        <w:t xml:space="preserve"> and federal), private sector, academia, and the wider community, and work together to strengthen the State’s resilience against corruption and fraud.</w:t>
      </w:r>
    </w:p>
    <w:p w14:paraId="38B401C1" w14:textId="615B4D2B" w:rsidR="0036712A" w:rsidRPr="00DF3006" w:rsidRDefault="0036712A" w:rsidP="00463FBB">
      <w:pPr>
        <w:pStyle w:val="Heading4"/>
      </w:pPr>
      <w:r w:rsidRPr="00DF3006">
        <w:t>National Anti-Corruption Investigator Network and National Intelligence Network</w:t>
      </w:r>
    </w:p>
    <w:p w14:paraId="6CB42160" w14:textId="77777777" w:rsidR="0036712A" w:rsidRPr="00DF3006" w:rsidRDefault="0036712A" w:rsidP="0036712A">
      <w:pPr>
        <w:rPr>
          <w:color w:val="414042" w:themeColor="text1"/>
        </w:rPr>
        <w:sectPr w:rsidR="0036712A" w:rsidRPr="00DF3006" w:rsidSect="00C77834">
          <w:pgSz w:w="11906" w:h="16838" w:code="9"/>
          <w:pgMar w:top="2155" w:right="1134" w:bottom="964" w:left="1134" w:header="720" w:footer="284" w:gutter="0"/>
          <w:cols w:num="2" w:space="567"/>
          <w:noEndnote/>
          <w:docGrid w:linePitch="272"/>
        </w:sectPr>
      </w:pPr>
      <w:r w:rsidRPr="00DF3006">
        <w:rPr>
          <w:color w:val="414042" w:themeColor="text1"/>
        </w:rPr>
        <w:t>The National Anti-Corruption Investigator Network (</w:t>
      </w:r>
      <w:proofErr w:type="spellStart"/>
      <w:r w:rsidRPr="00DF3006">
        <w:rPr>
          <w:color w:val="414042" w:themeColor="text1"/>
        </w:rPr>
        <w:t>NACIN</w:t>
      </w:r>
      <w:proofErr w:type="spellEnd"/>
      <w:r w:rsidRPr="00DF3006">
        <w:rPr>
          <w:color w:val="414042" w:themeColor="text1"/>
        </w:rPr>
        <w:t>) and the National Intelligence Network (NIN) bring together investigators and corruption intelligence practitioners from integrity agencies across Australia. The purpose of the</w:t>
      </w:r>
      <w:r w:rsidRPr="00DF3006">
        <w:rPr>
          <w:rStyle w:val="ui-provider"/>
          <w:color w:val="414042" w:themeColor="text1"/>
        </w:rPr>
        <w:t xml:space="preserve"> network is to share information about what each agency is focusing on at a strategic level and to facilitate information/intelligence sharing.</w:t>
      </w:r>
      <w:r w:rsidRPr="00DF3006">
        <w:rPr>
          <w:color w:val="414042" w:themeColor="text1"/>
          <w:highlight w:val="green"/>
        </w:rPr>
        <w:br/>
      </w:r>
    </w:p>
    <w:bookmarkEnd w:id="1263"/>
    <w:p w14:paraId="789ED25D" w14:textId="577C8E1B" w:rsidR="009F0652" w:rsidRPr="00DF3006" w:rsidRDefault="009F0652" w:rsidP="00261E21">
      <w:pPr>
        <w:pStyle w:val="Notes"/>
        <w:rPr>
          <w:lang w:val="en-AU"/>
        </w:rPr>
        <w:sectPr w:rsidR="009F0652" w:rsidRPr="00DF3006" w:rsidSect="00C77834">
          <w:headerReference w:type="even" r:id="rId229"/>
          <w:headerReference w:type="default" r:id="rId230"/>
          <w:headerReference w:type="first" r:id="rId231"/>
          <w:type w:val="continuous"/>
          <w:pgSz w:w="11906" w:h="16838" w:code="9"/>
          <w:pgMar w:top="2155" w:right="1134" w:bottom="964" w:left="1134" w:header="720" w:footer="284" w:gutter="0"/>
          <w:cols w:space="567"/>
          <w:noEndnote/>
          <w:docGrid w:linePitch="272"/>
        </w:sectPr>
      </w:pPr>
    </w:p>
    <w:tbl>
      <w:tblPr>
        <w:tblpPr w:leftFromText="180" w:rightFromText="180" w:vertAnchor="text" w:horzAnchor="page" w:tblpX="6222" w:tblpY="2962"/>
        <w:tblW w:w="2644" w:type="pct"/>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097"/>
      </w:tblGrid>
      <w:tr w:rsidR="00DF3006" w:rsidRPr="00DF3006" w14:paraId="736143E2" w14:textId="77777777" w:rsidTr="008A72CC">
        <w:trPr>
          <w:trHeight w:val="2126"/>
        </w:trPr>
        <w:tc>
          <w:tcPr>
            <w:tcW w:w="5000" w:type="pct"/>
            <w:shd w:val="clear" w:color="auto" w:fill="FFFFFF" w:themeFill="background1"/>
          </w:tcPr>
          <w:p w14:paraId="3D3FA3F4" w14:textId="467EBE81" w:rsidR="000B2018" w:rsidRPr="00DF3006" w:rsidRDefault="000B2018" w:rsidP="00463FBB">
            <w:pPr>
              <w:pStyle w:val="Heading4"/>
              <w:rPr>
                <w:snapToGrid w:val="0"/>
              </w:rPr>
            </w:pPr>
            <w:bookmarkStart w:id="1346" w:name="orgcapability"/>
            <w:bookmarkStart w:id="1347" w:name="_Toc102037997"/>
            <w:bookmarkStart w:id="1348" w:name="_Toc102038358"/>
            <w:bookmarkStart w:id="1349" w:name="_Toc102038719"/>
            <w:bookmarkStart w:id="1350" w:name="_Toc102039071"/>
            <w:bookmarkStart w:id="1351" w:name="_Toc102039420"/>
            <w:bookmarkStart w:id="1352" w:name="_Toc102039782"/>
            <w:bookmarkStart w:id="1353" w:name="_Toc102040139"/>
            <w:bookmarkStart w:id="1354" w:name="_Toc102040467"/>
            <w:bookmarkStart w:id="1355" w:name="_Toc102040801"/>
            <w:bookmarkStart w:id="1356" w:name="_Toc102041129"/>
            <w:bookmarkStart w:id="1357" w:name="_Toc102041458"/>
            <w:bookmarkStart w:id="1358" w:name="_Toc102041790"/>
            <w:bookmarkStart w:id="1359" w:name="_Toc102042117"/>
            <w:bookmarkStart w:id="1360" w:name="_Toc102042447"/>
            <w:bookmarkStart w:id="1361" w:name="_Toc102045577"/>
            <w:bookmarkEnd w:id="1246"/>
            <w:bookmarkEnd w:id="1346"/>
            <w:r w:rsidRPr="00DF3006">
              <w:lastRenderedPageBreak/>
              <w:br w:type="column"/>
            </w:r>
            <w:r w:rsidRPr="00DF3006">
              <w:rPr>
                <w:snapToGrid w:val="0"/>
              </w:rPr>
              <w:t>Key strategies:</w:t>
            </w:r>
          </w:p>
          <w:p w14:paraId="57BBEECE" w14:textId="18F0AD78" w:rsidR="000B2018" w:rsidRPr="00DF3006" w:rsidRDefault="000B2018" w:rsidP="00463FBB">
            <w:pPr>
              <w:pStyle w:val="Bulletpoints"/>
              <w:rPr>
                <w:snapToGrid w:val="0"/>
                <w:color w:val="414042" w:themeColor="text1"/>
              </w:rPr>
            </w:pPr>
            <w:r w:rsidRPr="00DF3006">
              <w:rPr>
                <w:snapToGrid w:val="0"/>
                <w:color w:val="414042" w:themeColor="text1"/>
              </w:rPr>
              <w:t>Develop capabilities to create a healthy</w:t>
            </w:r>
            <w:r w:rsidR="001F70C8" w:rsidRPr="00DF3006">
              <w:rPr>
                <w:snapToGrid w:val="0"/>
                <w:color w:val="414042" w:themeColor="text1"/>
              </w:rPr>
              <w:t>,</w:t>
            </w:r>
            <w:r w:rsidR="00BD39CD" w:rsidRPr="00DF3006">
              <w:rPr>
                <w:snapToGrid w:val="0"/>
                <w:color w:val="414042" w:themeColor="text1"/>
              </w:rPr>
              <w:br/>
            </w:r>
            <w:r w:rsidRPr="00DF3006">
              <w:rPr>
                <w:snapToGrid w:val="0"/>
                <w:color w:val="414042" w:themeColor="text1"/>
              </w:rPr>
              <w:t xml:space="preserve"> collaborative and innovative culture</w:t>
            </w:r>
            <w:r w:rsidR="00D04B5A" w:rsidRPr="00DF3006">
              <w:rPr>
                <w:snapToGrid w:val="0"/>
                <w:color w:val="414042" w:themeColor="text1"/>
              </w:rPr>
              <w:t xml:space="preserve"> (</w:t>
            </w:r>
            <w:r w:rsidR="00D04B5A" w:rsidRPr="00DF3006">
              <w:rPr>
                <w:b/>
                <w:snapToGrid w:val="0"/>
                <w:color w:val="414042" w:themeColor="text1"/>
              </w:rPr>
              <w:t>Workforce</w:t>
            </w:r>
            <w:r w:rsidR="00D04B5A" w:rsidRPr="00DF3006">
              <w:rPr>
                <w:snapToGrid w:val="0"/>
                <w:color w:val="414042" w:themeColor="text1"/>
              </w:rPr>
              <w:t>)</w:t>
            </w:r>
          </w:p>
          <w:p w14:paraId="6A13B2DD" w14:textId="254D7D2C" w:rsidR="008A72CC" w:rsidRPr="00DF3006" w:rsidRDefault="000B2018" w:rsidP="00463FBB">
            <w:pPr>
              <w:pStyle w:val="Bulletpoints"/>
              <w:rPr>
                <w:snapToGrid w:val="0"/>
                <w:color w:val="414042" w:themeColor="text1"/>
              </w:rPr>
            </w:pPr>
            <w:r w:rsidRPr="00DF3006">
              <w:rPr>
                <w:snapToGrid w:val="0"/>
                <w:color w:val="414042" w:themeColor="text1"/>
              </w:rPr>
              <w:t xml:space="preserve">Modernise and embed changes to our assets, systems, </w:t>
            </w:r>
            <w:proofErr w:type="gramStart"/>
            <w:r w:rsidRPr="00DF3006">
              <w:rPr>
                <w:snapToGrid w:val="0"/>
                <w:color w:val="414042" w:themeColor="text1"/>
              </w:rPr>
              <w:t>processes</w:t>
            </w:r>
            <w:proofErr w:type="gramEnd"/>
            <w:r w:rsidRPr="00DF3006">
              <w:rPr>
                <w:snapToGrid w:val="0"/>
                <w:color w:val="414042" w:themeColor="text1"/>
              </w:rPr>
              <w:t xml:space="preserve"> and workplace</w:t>
            </w:r>
            <w:r w:rsidR="00D04B5A" w:rsidRPr="00DF3006">
              <w:rPr>
                <w:snapToGrid w:val="0"/>
                <w:color w:val="414042" w:themeColor="text1"/>
              </w:rPr>
              <w:t xml:space="preserve"> (</w:t>
            </w:r>
            <w:r w:rsidR="00D04B5A" w:rsidRPr="00DF3006">
              <w:rPr>
                <w:b/>
                <w:snapToGrid w:val="0"/>
                <w:color w:val="414042" w:themeColor="text1"/>
              </w:rPr>
              <w:t>Digital</w:t>
            </w:r>
            <w:r w:rsidR="00D04B5A" w:rsidRPr="00DF3006">
              <w:rPr>
                <w:snapToGrid w:val="0"/>
                <w:color w:val="414042" w:themeColor="text1"/>
              </w:rPr>
              <w:t>)</w:t>
            </w:r>
          </w:p>
          <w:p w14:paraId="7B5E7FFF" w14:textId="20A68AC3" w:rsidR="000B2018" w:rsidRPr="00DF3006" w:rsidRDefault="000B2018" w:rsidP="00463FBB">
            <w:pPr>
              <w:pStyle w:val="Bulletpoints"/>
              <w:rPr>
                <w:snapToGrid w:val="0"/>
                <w:color w:val="414042" w:themeColor="text1"/>
              </w:rPr>
            </w:pPr>
            <w:r w:rsidRPr="00DF3006">
              <w:rPr>
                <w:snapToGrid w:val="0"/>
                <w:color w:val="414042" w:themeColor="text1"/>
              </w:rPr>
              <w:t>Leverage data and information to become an</w:t>
            </w:r>
            <w:r w:rsidR="00BD39CD" w:rsidRPr="00DF3006">
              <w:rPr>
                <w:snapToGrid w:val="0"/>
                <w:color w:val="414042" w:themeColor="text1"/>
              </w:rPr>
              <w:br/>
            </w:r>
            <w:r w:rsidRPr="00DF3006">
              <w:rPr>
                <w:snapToGrid w:val="0"/>
                <w:color w:val="414042" w:themeColor="text1"/>
              </w:rPr>
              <w:t>insight</w:t>
            </w:r>
            <w:r w:rsidR="001F70C8" w:rsidRPr="00DF3006">
              <w:rPr>
                <w:snapToGrid w:val="0"/>
                <w:color w:val="414042" w:themeColor="text1"/>
              </w:rPr>
              <w:t xml:space="preserve"> </w:t>
            </w:r>
            <w:r w:rsidRPr="00DF3006">
              <w:rPr>
                <w:snapToGrid w:val="0"/>
                <w:color w:val="414042" w:themeColor="text1"/>
              </w:rPr>
              <w:t>driven agency</w:t>
            </w:r>
            <w:r w:rsidR="00D04B5A" w:rsidRPr="00DF3006">
              <w:rPr>
                <w:snapToGrid w:val="0"/>
                <w:color w:val="414042" w:themeColor="text1"/>
              </w:rPr>
              <w:t xml:space="preserve"> (</w:t>
            </w:r>
            <w:r w:rsidR="00D04B5A" w:rsidRPr="00DF3006">
              <w:rPr>
                <w:b/>
                <w:snapToGrid w:val="0"/>
                <w:color w:val="414042" w:themeColor="text1"/>
              </w:rPr>
              <w:t>Insights</w:t>
            </w:r>
            <w:r w:rsidR="00D04B5A" w:rsidRPr="00DF3006">
              <w:rPr>
                <w:snapToGrid w:val="0"/>
                <w:color w:val="414042" w:themeColor="text1"/>
              </w:rPr>
              <w:t>)</w:t>
            </w:r>
          </w:p>
        </w:tc>
      </w:tr>
    </w:tbl>
    <w:tbl>
      <w:tblPr>
        <w:tblpPr w:leftFromText="180" w:rightFromText="180" w:vertAnchor="text" w:horzAnchor="margin" w:tblpY="2973"/>
        <w:tblW w:w="2341" w:type="pct"/>
        <w:tblBorders>
          <w:insideH w:val="single" w:sz="12" w:space="0" w:color="FFFFFF" w:themeColor="background1"/>
        </w:tblBorders>
        <w:tblLook w:val="04A0" w:firstRow="1" w:lastRow="0" w:firstColumn="1" w:lastColumn="0" w:noHBand="0" w:noVBand="1"/>
      </w:tblPr>
      <w:tblGrid>
        <w:gridCol w:w="4094"/>
        <w:gridCol w:w="419"/>
      </w:tblGrid>
      <w:tr w:rsidR="00DF3006" w:rsidRPr="00DF3006" w14:paraId="1E7165F2" w14:textId="77777777" w:rsidTr="00BE57E9">
        <w:trPr>
          <w:trHeight w:val="888"/>
        </w:trPr>
        <w:tc>
          <w:tcPr>
            <w:tcW w:w="4575" w:type="pct"/>
            <w:tcBorders>
              <w:bottom w:val="single" w:sz="4" w:space="0" w:color="FFFFFF" w:themeColor="background1"/>
            </w:tcBorders>
            <w:shd w:val="clear" w:color="auto" w:fill="auto"/>
            <w:vAlign w:val="center"/>
          </w:tcPr>
          <w:p w14:paraId="5C5A0ED7" w14:textId="5B633F5F" w:rsidR="008A72CC" w:rsidRPr="005F3051" w:rsidRDefault="00086D38" w:rsidP="006D7BAF">
            <w:pPr>
              <w:autoSpaceDE w:val="0"/>
              <w:autoSpaceDN w:val="0"/>
              <w:adjustRightInd w:val="0"/>
              <w:spacing w:before="120" w:after="120" w:line="288" w:lineRule="auto"/>
              <w:textAlignment w:val="center"/>
              <w:rPr>
                <w:rFonts w:cs="Calibri Light"/>
                <w:color w:val="414042" w:themeColor="text1"/>
                <w:szCs w:val="20"/>
              </w:rPr>
            </w:pPr>
            <w:hyperlink w:anchor="_Building_our_organisational" w:history="1">
              <w:r w:rsidR="005F3051" w:rsidRPr="005F3051">
                <w:rPr>
                  <w:rStyle w:val="Hyperlink"/>
                  <w:rFonts w:cs="Calibri Light"/>
                  <w:szCs w:val="20"/>
                  <w:u w:val="none"/>
                </w:rPr>
                <w:t>Focus area  |  Critical organisational capabilities</w:t>
              </w:r>
            </w:hyperlink>
          </w:p>
        </w:tc>
        <w:tc>
          <w:tcPr>
            <w:tcW w:w="425" w:type="pct"/>
            <w:shd w:val="clear" w:color="auto" w:fill="auto"/>
            <w:vAlign w:val="center"/>
          </w:tcPr>
          <w:p w14:paraId="05F83762" w14:textId="4888A48F" w:rsidR="008A72CC" w:rsidRPr="00DF3006" w:rsidRDefault="00404E4A" w:rsidP="008A72CC">
            <w:pPr>
              <w:spacing w:before="120" w:after="120"/>
              <w:rPr>
                <w:color w:val="414042" w:themeColor="text1"/>
              </w:rPr>
            </w:pPr>
            <w:r w:rsidRPr="00DF3006">
              <w:rPr>
                <w:color w:val="414042" w:themeColor="text1"/>
              </w:rPr>
              <w:t>52</w:t>
            </w:r>
          </w:p>
        </w:tc>
      </w:tr>
    </w:tbl>
    <w:p w14:paraId="60C70D5A" w14:textId="71D80938" w:rsidR="00B6157E" w:rsidRPr="00DF3006" w:rsidRDefault="000B2018" w:rsidP="00762C97">
      <w:pPr>
        <w:pStyle w:val="Heading1"/>
      </w:pPr>
      <w:bookmarkStart w:id="1362" w:name="_Building_our_organisational"/>
      <w:bookmarkEnd w:id="1362"/>
      <w:r w:rsidRPr="00DF3006">
        <w:t xml:space="preserve">Building our </w:t>
      </w:r>
      <w:bookmarkEnd w:id="1247"/>
      <w:r w:rsidRPr="00DF3006">
        <w:t>organisational capab</w:t>
      </w:r>
      <w:r w:rsidR="00762C97" w:rsidRPr="00DF3006">
        <w:t>ilit</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00762C97" w:rsidRPr="00DF3006">
        <w:t>y</w:t>
      </w:r>
    </w:p>
    <w:p w14:paraId="0DEABB3A" w14:textId="77777777" w:rsidR="00466065" w:rsidRPr="00DF3006" w:rsidRDefault="00466065" w:rsidP="00466065">
      <w:pPr>
        <w:rPr>
          <w:color w:val="414042" w:themeColor="text1"/>
        </w:rPr>
        <w:sectPr w:rsidR="00466065" w:rsidRPr="00DF3006" w:rsidSect="00C77834">
          <w:headerReference w:type="even" r:id="rId232"/>
          <w:headerReference w:type="default" r:id="rId233"/>
          <w:headerReference w:type="first" r:id="rId234"/>
          <w:pgSz w:w="11906" w:h="16838" w:code="9"/>
          <w:pgMar w:top="2155" w:right="1134" w:bottom="964" w:left="1134" w:header="720" w:footer="284" w:gutter="0"/>
          <w:cols w:space="567"/>
          <w:noEndnote/>
          <w:docGrid w:linePitch="272"/>
        </w:sectPr>
      </w:pPr>
      <w:bookmarkStart w:id="1363" w:name="_Toc102037998"/>
      <w:bookmarkStart w:id="1364" w:name="_Toc102038359"/>
      <w:bookmarkStart w:id="1365" w:name="_Toc102038720"/>
      <w:bookmarkStart w:id="1366" w:name="_Toc102039072"/>
      <w:bookmarkStart w:id="1367" w:name="_Toc102039421"/>
      <w:bookmarkStart w:id="1368" w:name="_Toc102039783"/>
      <w:bookmarkStart w:id="1369" w:name="_Toc102040140"/>
      <w:bookmarkStart w:id="1370" w:name="_Toc102040468"/>
      <w:bookmarkStart w:id="1371" w:name="_Toc102040802"/>
      <w:bookmarkStart w:id="1372" w:name="_Toc102041130"/>
      <w:bookmarkStart w:id="1373" w:name="_Toc102041459"/>
      <w:bookmarkStart w:id="1374" w:name="_Toc102041791"/>
      <w:bookmarkStart w:id="1375" w:name="_Toc102042118"/>
      <w:bookmarkStart w:id="1376" w:name="_Toc102042448"/>
      <w:bookmarkStart w:id="1377" w:name="_Toc102045578"/>
    </w:p>
    <w:p w14:paraId="5DC3BAB6" w14:textId="77777777" w:rsidR="00466065" w:rsidRPr="00DF3006" w:rsidRDefault="00466065" w:rsidP="00466065">
      <w:pPr>
        <w:rPr>
          <w:color w:val="414042" w:themeColor="text1"/>
        </w:rPr>
        <w:sectPr w:rsidR="00466065" w:rsidRPr="00DF3006" w:rsidSect="00C77834">
          <w:type w:val="continuous"/>
          <w:pgSz w:w="11906" w:h="16838" w:code="9"/>
          <w:pgMar w:top="2155" w:right="1134" w:bottom="964" w:left="1134" w:header="720" w:footer="284" w:gutter="0"/>
          <w:cols w:space="567"/>
          <w:noEndnote/>
          <w:docGrid w:linePitch="272"/>
        </w:sectPr>
      </w:pPr>
    </w:p>
    <w:p w14:paraId="4893AF4E" w14:textId="63F3004B" w:rsidR="00381F9D" w:rsidRPr="00DF3006" w:rsidRDefault="000B43D8" w:rsidP="00381F9D">
      <w:pPr>
        <w:pStyle w:val="Heading2"/>
        <w:spacing w:after="480"/>
        <w:sectPr w:rsidR="00381F9D" w:rsidRPr="00DF3006" w:rsidSect="00C77834">
          <w:headerReference w:type="even" r:id="rId235"/>
          <w:headerReference w:type="default" r:id="rId236"/>
          <w:footerReference w:type="even" r:id="rId237"/>
          <w:headerReference w:type="first" r:id="rId238"/>
          <w:pgSz w:w="11906" w:h="16838" w:code="9"/>
          <w:pgMar w:top="2155" w:right="1134" w:bottom="964" w:left="1134" w:header="720" w:footer="284" w:gutter="0"/>
          <w:cols w:space="567"/>
          <w:noEndnote/>
          <w:docGrid w:linePitch="272"/>
        </w:sectPr>
      </w:pPr>
      <w:r w:rsidRPr="00DF3006">
        <w:rPr>
          <w:rFonts w:asciiTheme="minorHAnsi" w:hAnsiTheme="minorHAnsi" w:cstheme="minorHAnsi"/>
          <w:b/>
          <w:bCs/>
        </w:rPr>
        <w:lastRenderedPageBreak/>
        <w:t xml:space="preserve">FOCUS AREA </w:t>
      </w:r>
      <w:r w:rsidR="00DF3006" w:rsidRPr="00DF3006">
        <w:rPr>
          <w:rFonts w:asciiTheme="minorHAnsi" w:hAnsiTheme="minorHAnsi" w:cstheme="minorHAnsi"/>
        </w:rPr>
        <w:t>|</w:t>
      </w:r>
      <w:r w:rsidR="00DF3006">
        <w:t xml:space="preserve"> </w:t>
      </w:r>
      <w:r w:rsidR="00B6157E" w:rsidRPr="00DF3006">
        <w:t xml:space="preserve">Critical </w:t>
      </w:r>
      <w:bookmarkStart w:id="1378" w:name="criticalorgcapability"/>
      <w:bookmarkEnd w:id="1378"/>
      <w:r w:rsidR="00B6157E" w:rsidRPr="00DF3006">
        <w:t>organisational capabilitie</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381F9D" w:rsidRPr="00DF3006">
        <w:t>s</w:t>
      </w:r>
    </w:p>
    <w:p w14:paraId="002544A6" w14:textId="5F7C603F" w:rsidR="00B2314C" w:rsidRPr="00DF3006" w:rsidRDefault="00545009" w:rsidP="00381F9D">
      <w:pPr>
        <w:rPr>
          <w:rFonts w:ascii="Calibri" w:hAnsi="Calibri" w:cs="Calibri"/>
          <w:b/>
          <w:bCs/>
          <w:color w:val="414042" w:themeColor="text1"/>
          <w:spacing w:val="-6"/>
          <w:sz w:val="24"/>
          <w:szCs w:val="24"/>
          <w:lang w:val="en-US"/>
        </w:rPr>
      </w:pPr>
      <w:r w:rsidRPr="00DF3006">
        <w:rPr>
          <w:rFonts w:ascii="Calibri" w:hAnsi="Calibri" w:cs="Calibri"/>
          <w:b/>
          <w:bCs/>
          <w:color w:val="414042" w:themeColor="text1"/>
          <w:spacing w:val="-6"/>
          <w:sz w:val="24"/>
          <w:szCs w:val="24"/>
          <w:lang w:val="en-US"/>
        </w:rPr>
        <w:t xml:space="preserve">In 2022–23, our </w:t>
      </w:r>
      <w:r w:rsidR="005D67C6" w:rsidRPr="00DF3006">
        <w:rPr>
          <w:rFonts w:ascii="Calibri" w:hAnsi="Calibri" w:cs="Calibri"/>
          <w:b/>
          <w:bCs/>
          <w:color w:val="414042" w:themeColor="text1"/>
          <w:spacing w:val="-6"/>
          <w:sz w:val="24"/>
          <w:szCs w:val="24"/>
          <w:lang w:val="en-US"/>
        </w:rPr>
        <w:t xml:space="preserve">Workforce, Digital and Insights Strategies </w:t>
      </w:r>
      <w:r w:rsidRPr="00DF3006">
        <w:rPr>
          <w:rFonts w:ascii="Calibri" w:hAnsi="Calibri" w:cs="Calibri"/>
          <w:b/>
          <w:bCs/>
          <w:color w:val="414042" w:themeColor="text1"/>
          <w:spacing w:val="-6"/>
          <w:sz w:val="24"/>
          <w:szCs w:val="24"/>
          <w:lang w:val="en-US"/>
        </w:rPr>
        <w:t xml:space="preserve">continued to guide our investment in initiatives to build critical capabilities and connect our people, </w:t>
      </w:r>
      <w:proofErr w:type="gramStart"/>
      <w:r w:rsidRPr="00DF3006">
        <w:rPr>
          <w:rFonts w:ascii="Calibri" w:hAnsi="Calibri" w:cs="Calibri"/>
          <w:b/>
          <w:bCs/>
          <w:color w:val="414042" w:themeColor="text1"/>
          <w:spacing w:val="-6"/>
          <w:sz w:val="24"/>
          <w:szCs w:val="24"/>
          <w:lang w:val="en-US"/>
        </w:rPr>
        <w:t>insights</w:t>
      </w:r>
      <w:proofErr w:type="gramEnd"/>
      <w:r w:rsidRPr="00DF3006">
        <w:rPr>
          <w:rFonts w:ascii="Calibri" w:hAnsi="Calibri" w:cs="Calibri"/>
          <w:b/>
          <w:bCs/>
          <w:color w:val="414042" w:themeColor="text1"/>
          <w:spacing w:val="-6"/>
          <w:sz w:val="24"/>
          <w:szCs w:val="24"/>
          <w:lang w:val="en-US"/>
        </w:rPr>
        <w:t xml:space="preserve"> and technologies</w:t>
      </w:r>
      <w:r w:rsidR="00B2314C" w:rsidRPr="00DF3006">
        <w:rPr>
          <w:rFonts w:ascii="Calibri" w:hAnsi="Calibri" w:cs="Calibri"/>
          <w:b/>
          <w:bCs/>
          <w:color w:val="414042" w:themeColor="text1"/>
          <w:spacing w:val="-6"/>
          <w:sz w:val="24"/>
          <w:szCs w:val="24"/>
          <w:lang w:val="en-US"/>
        </w:rPr>
        <w:t>.</w:t>
      </w:r>
    </w:p>
    <w:p w14:paraId="32EC5F2E" w14:textId="77777777" w:rsidR="00B2314C" w:rsidRPr="00DF3006" w:rsidRDefault="00B2314C" w:rsidP="00381F9D">
      <w:pPr>
        <w:rPr>
          <w:color w:val="414042" w:themeColor="text1"/>
        </w:rPr>
      </w:pPr>
    </w:p>
    <w:p w14:paraId="6A033E38" w14:textId="01B25ED2" w:rsidR="000B43D8" w:rsidRPr="00DF3006" w:rsidRDefault="000B43D8" w:rsidP="00381F9D">
      <w:pPr>
        <w:rPr>
          <w:color w:val="414042" w:themeColor="text1"/>
        </w:rPr>
        <w:sectPr w:rsidR="000B43D8" w:rsidRPr="00DF3006" w:rsidSect="00C77834">
          <w:headerReference w:type="even" r:id="rId239"/>
          <w:headerReference w:type="default" r:id="rId240"/>
          <w:headerReference w:type="first" r:id="rId241"/>
          <w:type w:val="continuous"/>
          <w:pgSz w:w="11906" w:h="16838" w:code="9"/>
          <w:pgMar w:top="2155" w:right="1134" w:bottom="964" w:left="1134" w:header="720" w:footer="284" w:gutter="0"/>
          <w:cols w:space="567"/>
          <w:noEndnote/>
          <w:docGrid w:linePitch="272"/>
        </w:sectPr>
      </w:pPr>
    </w:p>
    <w:p w14:paraId="65B1D691" w14:textId="77777777" w:rsidR="00381F9D" w:rsidRPr="00DF3006" w:rsidRDefault="00561686" w:rsidP="00E6066A">
      <w:pPr>
        <w:pStyle w:val="Heading3"/>
      </w:pPr>
      <w:r w:rsidRPr="00DF3006">
        <w:t>Workforce Strategy 2020–24</w:t>
      </w:r>
    </w:p>
    <w:p w14:paraId="7E590D05" w14:textId="4A1B1A54" w:rsidR="00381F9D" w:rsidRPr="00DF3006" w:rsidRDefault="00561686" w:rsidP="000B43D8">
      <w:pPr>
        <w:ind w:right="-142"/>
        <w:rPr>
          <w:color w:val="414042" w:themeColor="text1"/>
        </w:rPr>
      </w:pPr>
      <w:r w:rsidRPr="00DF3006">
        <w:rPr>
          <w:color w:val="414042" w:themeColor="text1"/>
        </w:rPr>
        <w:t xml:space="preserve">This strategy aims to enable our continual evolution as a crime and corruption workforce of the future, so that we can keep ‘ahead of the game’ to reduce major crime and improve the integrity of public </w:t>
      </w:r>
      <w:r w:rsidR="0073219A" w:rsidRPr="00DF3006">
        <w:rPr>
          <w:color w:val="414042" w:themeColor="text1"/>
        </w:rPr>
        <w:t>sector</w:t>
      </w:r>
      <w:r w:rsidRPr="00DF3006">
        <w:rPr>
          <w:color w:val="414042" w:themeColor="text1"/>
        </w:rPr>
        <w:t xml:space="preserve"> in Queensland.</w:t>
      </w:r>
    </w:p>
    <w:p w14:paraId="5CB6F86F" w14:textId="569DC9F1" w:rsidR="00561686" w:rsidRPr="00DF3006" w:rsidRDefault="00561686" w:rsidP="000B43D8">
      <w:pPr>
        <w:ind w:right="-142"/>
        <w:rPr>
          <w:color w:val="414042" w:themeColor="text1"/>
        </w:rPr>
      </w:pPr>
      <w:r w:rsidRPr="00DF3006">
        <w:rPr>
          <w:color w:val="414042" w:themeColor="text1"/>
        </w:rPr>
        <w:t>In 2022–23, we invested significant effort in developing our people and delivering initiatives that are aligned with our workforce objectives.</w:t>
      </w:r>
    </w:p>
    <w:p w14:paraId="72658F11" w14:textId="77777777" w:rsidR="00561686" w:rsidRPr="00DF3006" w:rsidRDefault="00561686" w:rsidP="00463FBB">
      <w:pPr>
        <w:pStyle w:val="Heading4"/>
      </w:pPr>
      <w:r w:rsidRPr="00DF3006">
        <w:t>Recruitment and selection</w:t>
      </w:r>
    </w:p>
    <w:p w14:paraId="3D2E7530" w14:textId="77777777" w:rsidR="00561686" w:rsidRPr="00DF3006" w:rsidRDefault="00561686" w:rsidP="000B43D8">
      <w:pPr>
        <w:ind w:right="-142"/>
        <w:rPr>
          <w:color w:val="414042" w:themeColor="text1"/>
        </w:rPr>
      </w:pPr>
      <w:r w:rsidRPr="00DF3006">
        <w:rPr>
          <w:color w:val="414042" w:themeColor="text1"/>
        </w:rPr>
        <w:t xml:space="preserve">This year we continued to review our recruitment, </w:t>
      </w:r>
      <w:proofErr w:type="gramStart"/>
      <w:r w:rsidRPr="00DF3006">
        <w:rPr>
          <w:color w:val="414042" w:themeColor="text1"/>
        </w:rPr>
        <w:t>selection</w:t>
      </w:r>
      <w:proofErr w:type="gramEnd"/>
      <w:r w:rsidRPr="00DF3006">
        <w:rPr>
          <w:color w:val="414042" w:themeColor="text1"/>
        </w:rPr>
        <w:t xml:space="preserve"> and onboarding process to focus on enhancing the candidate experience. A positive candidate experience ensures we continue to attract, engage, </w:t>
      </w:r>
      <w:proofErr w:type="gramStart"/>
      <w:r w:rsidRPr="00DF3006">
        <w:rPr>
          <w:color w:val="414042" w:themeColor="text1"/>
        </w:rPr>
        <w:t>develop</w:t>
      </w:r>
      <w:proofErr w:type="gramEnd"/>
      <w:r w:rsidRPr="00DF3006">
        <w:rPr>
          <w:color w:val="414042" w:themeColor="text1"/>
        </w:rPr>
        <w:t xml:space="preserve"> and manage our workforce to deliver on the CCC’s strategic objectives now and into the future.</w:t>
      </w:r>
    </w:p>
    <w:p w14:paraId="3A528F93" w14:textId="77777777" w:rsidR="00561686" w:rsidRPr="00DF3006" w:rsidRDefault="00561686" w:rsidP="00463FBB">
      <w:pPr>
        <w:pStyle w:val="Heading4"/>
      </w:pPr>
      <w:bookmarkStart w:id="1379" w:name="_Toc102038026"/>
      <w:bookmarkStart w:id="1380" w:name="_Toc102038387"/>
      <w:bookmarkStart w:id="1381" w:name="_Toc102038748"/>
      <w:bookmarkStart w:id="1382" w:name="_Toc102039100"/>
      <w:bookmarkStart w:id="1383" w:name="_Toc102039449"/>
      <w:bookmarkStart w:id="1384" w:name="_Toc102039811"/>
      <w:bookmarkStart w:id="1385" w:name="_Toc102040168"/>
      <w:bookmarkStart w:id="1386" w:name="_Toc102040496"/>
      <w:bookmarkStart w:id="1387" w:name="_Toc102040830"/>
      <w:bookmarkStart w:id="1388" w:name="_Toc102041158"/>
      <w:bookmarkStart w:id="1389" w:name="_Toc102041487"/>
      <w:bookmarkStart w:id="1390" w:name="_Toc102041819"/>
      <w:bookmarkStart w:id="1391" w:name="_Toc102042146"/>
      <w:bookmarkStart w:id="1392" w:name="_Toc102042476"/>
      <w:bookmarkStart w:id="1393" w:name="_Toc102045606"/>
      <w:r w:rsidRPr="00DF3006">
        <w:t>Early Career Pathways</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0C5ACBC7" w14:textId="77777777" w:rsidR="00561686" w:rsidRPr="00DF3006" w:rsidRDefault="00561686" w:rsidP="000B43D8">
      <w:pPr>
        <w:ind w:right="-142"/>
        <w:rPr>
          <w:color w:val="414042" w:themeColor="text1"/>
        </w:rPr>
      </w:pPr>
      <w:r w:rsidRPr="00DF3006">
        <w:rPr>
          <w:color w:val="414042" w:themeColor="text1"/>
        </w:rPr>
        <w:t xml:space="preserve">The Early Career Pathways Program is helping us to develop the CCC workforce of the future. The program provides paid and unpaid opportunities for students and graduates in the disciplines of law, financial investigation and analysis, </w:t>
      </w:r>
      <w:proofErr w:type="gramStart"/>
      <w:r w:rsidRPr="00DF3006">
        <w:rPr>
          <w:color w:val="414042" w:themeColor="text1"/>
        </w:rPr>
        <w:t>intelligence</w:t>
      </w:r>
      <w:proofErr w:type="gramEnd"/>
      <w:r w:rsidRPr="00DF3006">
        <w:rPr>
          <w:color w:val="414042" w:themeColor="text1"/>
        </w:rPr>
        <w:t xml:space="preserve"> and research. This year we have welcomed graduates through participation in the Department of Premier and Cabinet’s Policy Futures Graduate Program, and in our Corporate Legal team.</w:t>
      </w:r>
    </w:p>
    <w:p w14:paraId="12484ED0" w14:textId="77777777" w:rsidR="00561686" w:rsidRPr="00DF3006" w:rsidRDefault="00561686" w:rsidP="00463FBB">
      <w:pPr>
        <w:pStyle w:val="Heading4"/>
      </w:pPr>
      <w:bookmarkStart w:id="1394" w:name="_Toc102038024"/>
      <w:bookmarkStart w:id="1395" w:name="_Toc102038385"/>
      <w:bookmarkStart w:id="1396" w:name="_Toc102038746"/>
      <w:bookmarkStart w:id="1397" w:name="_Toc102039098"/>
      <w:bookmarkStart w:id="1398" w:name="_Toc102039447"/>
      <w:bookmarkStart w:id="1399" w:name="_Toc102039809"/>
      <w:bookmarkStart w:id="1400" w:name="_Toc102040166"/>
      <w:bookmarkStart w:id="1401" w:name="_Toc102040494"/>
      <w:bookmarkStart w:id="1402" w:name="_Toc102040828"/>
      <w:bookmarkStart w:id="1403" w:name="_Toc102041156"/>
      <w:bookmarkStart w:id="1404" w:name="_Toc102041485"/>
      <w:bookmarkStart w:id="1405" w:name="_Toc102041817"/>
      <w:bookmarkStart w:id="1406" w:name="_Toc102042144"/>
      <w:bookmarkStart w:id="1407" w:name="_Toc102042474"/>
      <w:bookmarkStart w:id="1408" w:name="_Toc102045604"/>
      <w:r w:rsidRPr="00DF3006">
        <w:t>Inducting new employees</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7B0439E8" w14:textId="77777777" w:rsidR="00561686" w:rsidRPr="00DF3006" w:rsidRDefault="00561686" w:rsidP="000B43D8">
      <w:pPr>
        <w:ind w:right="-142"/>
        <w:rPr>
          <w:color w:val="414042" w:themeColor="text1"/>
        </w:rPr>
      </w:pPr>
      <w:r w:rsidRPr="00DF3006">
        <w:rPr>
          <w:color w:val="414042" w:themeColor="text1"/>
        </w:rPr>
        <w:t>We are committed to ensuring new staff have the knowledge they require to do their job effectively, as well as an understanding of their specific workplace context and how their role aligns with the priorities of the CCC.</w:t>
      </w:r>
    </w:p>
    <w:p w14:paraId="6C2E69E5" w14:textId="77777777" w:rsidR="00561686" w:rsidRPr="00DF3006" w:rsidRDefault="00561686" w:rsidP="000B43D8">
      <w:pPr>
        <w:ind w:right="-142"/>
        <w:rPr>
          <w:color w:val="414042" w:themeColor="text1"/>
        </w:rPr>
      </w:pPr>
      <w:r w:rsidRPr="00DF3006">
        <w:rPr>
          <w:color w:val="414042" w:themeColor="text1"/>
        </w:rPr>
        <w:t xml:space="preserve">Through our induction program, new employees immediately learn about our values, </w:t>
      </w:r>
      <w:proofErr w:type="gramStart"/>
      <w:r w:rsidRPr="00DF3006">
        <w:rPr>
          <w:color w:val="414042" w:themeColor="text1"/>
        </w:rPr>
        <w:t>culture</w:t>
      </w:r>
      <w:proofErr w:type="gramEnd"/>
      <w:r w:rsidRPr="00DF3006">
        <w:rPr>
          <w:color w:val="414042" w:themeColor="text1"/>
        </w:rPr>
        <w:t xml:space="preserve"> and strategic and operational priorities. During their first week new employees undertake a range of mandatory eLearning modules that cover topics such as our Code of Conduct, workplace health and safety and information security.</w:t>
      </w:r>
    </w:p>
    <w:p w14:paraId="4BA176B1" w14:textId="44598BAC" w:rsidR="00561686" w:rsidRPr="00DF3006" w:rsidRDefault="000B43D8" w:rsidP="00561686">
      <w:pPr>
        <w:rPr>
          <w:color w:val="414042" w:themeColor="text1"/>
        </w:rPr>
      </w:pPr>
      <w:r w:rsidRPr="00DF3006">
        <w:rPr>
          <w:color w:val="414042" w:themeColor="text1"/>
        </w:rPr>
        <w:br w:type="column"/>
      </w:r>
      <w:r w:rsidR="00561686" w:rsidRPr="00DF3006">
        <w:rPr>
          <w:color w:val="414042" w:themeColor="text1"/>
        </w:rPr>
        <w:t xml:space="preserve">We supplement this with a quarterly Corporate Induction Program, hosted by our Values and Culture Group (see page </w:t>
      </w:r>
      <w:r w:rsidR="00404E4A" w:rsidRPr="00DF3006">
        <w:rPr>
          <w:color w:val="414042" w:themeColor="text1"/>
        </w:rPr>
        <w:t>55</w:t>
      </w:r>
      <w:r w:rsidR="00561686" w:rsidRPr="00DF3006">
        <w:rPr>
          <w:color w:val="414042" w:themeColor="text1"/>
        </w:rPr>
        <w:t>), which provides an opportunity for our new employees to hear directly from our senior leaders.</w:t>
      </w:r>
    </w:p>
    <w:p w14:paraId="0C5351ED" w14:textId="2E21C2B7" w:rsidR="00561686" w:rsidRPr="00DF3006" w:rsidRDefault="00561686" w:rsidP="00463FBB">
      <w:pPr>
        <w:pStyle w:val="Heading4"/>
      </w:pPr>
      <w:r w:rsidRPr="00DF3006">
        <w:t>Employee experience</w:t>
      </w:r>
    </w:p>
    <w:p w14:paraId="737A9A9B" w14:textId="77777777" w:rsidR="00561686" w:rsidRPr="00DF3006" w:rsidRDefault="00561686" w:rsidP="00561686">
      <w:pPr>
        <w:ind w:right="-1"/>
        <w:rPr>
          <w:color w:val="414042" w:themeColor="text1"/>
        </w:rPr>
      </w:pPr>
      <w:r w:rsidRPr="00DF3006">
        <w:rPr>
          <w:color w:val="414042" w:themeColor="text1"/>
        </w:rPr>
        <w:t>The CCC continues to utilise the Employee Experience Measurement platform to monitor employee engagement and experience across the stages of their employee lifecycle, including recruitment and on-boarding; change, and offboarding.</w:t>
      </w:r>
    </w:p>
    <w:p w14:paraId="418A1E46" w14:textId="73CF525F" w:rsidR="00561686" w:rsidRPr="00DF3006" w:rsidRDefault="00561686" w:rsidP="00C74EF6">
      <w:pPr>
        <w:rPr>
          <w:color w:val="414042" w:themeColor="text1"/>
        </w:rPr>
      </w:pPr>
      <w:r w:rsidRPr="00DF3006">
        <w:rPr>
          <w:color w:val="414042" w:themeColor="text1"/>
        </w:rPr>
        <w:t xml:space="preserve">Survey results to date have been encouraging, with both newly commenced and departing staff providing favourable feedback. We consistently achieve high participation rates, and positive feedback received for the Induction program and recruitment and selection candidate care. </w:t>
      </w:r>
      <w:proofErr w:type="gramStart"/>
      <w:r w:rsidRPr="00DF3006">
        <w:rPr>
          <w:color w:val="414042" w:themeColor="text1"/>
        </w:rPr>
        <w:t>The majority of</w:t>
      </w:r>
      <w:proofErr w:type="gramEnd"/>
      <w:r w:rsidRPr="00DF3006">
        <w:rPr>
          <w:color w:val="414042" w:themeColor="text1"/>
        </w:rPr>
        <w:t xml:space="preserve"> commission officers positively rated their overall experience working at the CCC and state</w:t>
      </w:r>
      <w:r w:rsidR="0073219A" w:rsidRPr="00DF3006">
        <w:rPr>
          <w:color w:val="414042" w:themeColor="text1"/>
        </w:rPr>
        <w:t>d</w:t>
      </w:r>
      <w:r w:rsidRPr="00DF3006">
        <w:rPr>
          <w:color w:val="414042" w:themeColor="text1"/>
        </w:rPr>
        <w:t xml:space="preserve"> that they felt the CCC </w:t>
      </w:r>
      <w:r w:rsidR="0073219A" w:rsidRPr="00DF3006">
        <w:rPr>
          <w:color w:val="414042" w:themeColor="text1"/>
        </w:rPr>
        <w:t>wa</w:t>
      </w:r>
      <w:r w:rsidRPr="00DF3006">
        <w:rPr>
          <w:color w:val="414042" w:themeColor="text1"/>
        </w:rPr>
        <w:t>s a values-driven organisation.</w:t>
      </w:r>
    </w:p>
    <w:p w14:paraId="6AB847E8" w14:textId="77777777" w:rsidR="00561686" w:rsidRPr="00DF3006" w:rsidRDefault="00561686" w:rsidP="00463FBB">
      <w:pPr>
        <w:pStyle w:val="Heading4"/>
      </w:pPr>
      <w:r w:rsidRPr="00DF3006">
        <w:t>Developing our people</w:t>
      </w:r>
    </w:p>
    <w:p w14:paraId="3AAB7F60" w14:textId="77777777" w:rsidR="00561686" w:rsidRPr="00DF3006" w:rsidRDefault="00561686" w:rsidP="00561686">
      <w:pPr>
        <w:rPr>
          <w:color w:val="414042" w:themeColor="text1"/>
        </w:rPr>
      </w:pPr>
      <w:r w:rsidRPr="00DF3006">
        <w:rPr>
          <w:color w:val="414042" w:themeColor="text1"/>
        </w:rPr>
        <w:t>The development of our people is guided by their Performance and Development Agreement (PDA) which sets performance expectations and provides an opportunity for our people to discuss development and career goals with their line manager.</w:t>
      </w:r>
    </w:p>
    <w:p w14:paraId="60425586" w14:textId="77777777" w:rsidR="00561686" w:rsidRPr="00DF3006" w:rsidRDefault="00561686" w:rsidP="00561686">
      <w:pPr>
        <w:rPr>
          <w:color w:val="414042" w:themeColor="text1"/>
        </w:rPr>
      </w:pPr>
      <w:r w:rsidRPr="00DF3006">
        <w:rPr>
          <w:color w:val="414042" w:themeColor="text1"/>
        </w:rPr>
        <w:t xml:space="preserve">Our strategies for employee development include formal and informal learning and development activities that are designed to provide staff with the knowledge, </w:t>
      </w:r>
      <w:proofErr w:type="gramStart"/>
      <w:r w:rsidRPr="00DF3006">
        <w:rPr>
          <w:color w:val="414042" w:themeColor="text1"/>
        </w:rPr>
        <w:t>skills</w:t>
      </w:r>
      <w:proofErr w:type="gramEnd"/>
      <w:r w:rsidRPr="00DF3006">
        <w:rPr>
          <w:color w:val="414042" w:themeColor="text1"/>
        </w:rPr>
        <w:t xml:space="preserve"> and experience to deliver on our strategic objectives and grow in their careers.</w:t>
      </w:r>
    </w:p>
    <w:p w14:paraId="6BD7D2BD" w14:textId="3F851F8C" w:rsidR="00561686" w:rsidRPr="00DF3006" w:rsidRDefault="00561686" w:rsidP="00561686">
      <w:pPr>
        <w:rPr>
          <w:color w:val="414042" w:themeColor="text1"/>
        </w:rPr>
      </w:pPr>
      <w:r w:rsidRPr="00DF3006">
        <w:rPr>
          <w:color w:val="414042" w:themeColor="text1"/>
        </w:rPr>
        <w:t xml:space="preserve">We support our staff to readily adapt to the ongoing changes within our environment by providing appropriate training. </w:t>
      </w:r>
    </w:p>
    <w:p w14:paraId="5776B606" w14:textId="77777777" w:rsidR="000B43D8" w:rsidRPr="00DF3006" w:rsidRDefault="000B43D8" w:rsidP="00561686">
      <w:pPr>
        <w:rPr>
          <w:color w:val="414042" w:themeColor="text1"/>
        </w:rPr>
      </w:pPr>
      <w:r w:rsidRPr="00DF3006">
        <w:rPr>
          <w:color w:val="414042" w:themeColor="text1"/>
        </w:rPr>
        <w:br w:type="page"/>
      </w:r>
    </w:p>
    <w:p w14:paraId="51BC8D6D" w14:textId="46CA3C43" w:rsidR="00561686" w:rsidRPr="00DF3006" w:rsidRDefault="00561686" w:rsidP="00561686">
      <w:pPr>
        <w:rPr>
          <w:color w:val="414042" w:themeColor="text1"/>
        </w:rPr>
      </w:pPr>
      <w:r w:rsidRPr="00DF3006">
        <w:rPr>
          <w:color w:val="414042" w:themeColor="text1"/>
        </w:rPr>
        <w:lastRenderedPageBreak/>
        <w:t>We continued to support the development of our critical capabilities and digital transformation by providing investment and training to:</w:t>
      </w:r>
    </w:p>
    <w:p w14:paraId="498A76AC" w14:textId="68678F9D" w:rsidR="00561686" w:rsidRPr="00DF3006" w:rsidRDefault="00561686">
      <w:pPr>
        <w:pStyle w:val="Bullets"/>
        <w:rPr>
          <w:color w:val="414042" w:themeColor="text1"/>
        </w:rPr>
      </w:pPr>
      <w:r w:rsidRPr="00DF3006">
        <w:rPr>
          <w:color w:val="414042" w:themeColor="text1"/>
        </w:rPr>
        <w:t xml:space="preserve">improve our </w:t>
      </w:r>
      <w:r w:rsidR="0073219A" w:rsidRPr="00DF3006">
        <w:rPr>
          <w:color w:val="414042" w:themeColor="text1"/>
        </w:rPr>
        <w:t xml:space="preserve">crime and corruption </w:t>
      </w:r>
      <w:r w:rsidRPr="00DF3006">
        <w:rPr>
          <w:color w:val="414042" w:themeColor="text1"/>
        </w:rPr>
        <w:t>investigations, legal, intelligence and finance capability.</w:t>
      </w:r>
    </w:p>
    <w:p w14:paraId="366DD40A" w14:textId="77777777" w:rsidR="00561686" w:rsidRPr="00DF3006" w:rsidRDefault="00561686">
      <w:pPr>
        <w:pStyle w:val="Bullets"/>
        <w:rPr>
          <w:color w:val="414042" w:themeColor="text1"/>
        </w:rPr>
      </w:pPr>
      <w:r w:rsidRPr="00DF3006">
        <w:rPr>
          <w:color w:val="414042" w:themeColor="text1"/>
        </w:rPr>
        <w:t xml:space="preserve">maintain our strong governance, </w:t>
      </w:r>
      <w:proofErr w:type="gramStart"/>
      <w:r w:rsidRPr="00DF3006">
        <w:rPr>
          <w:color w:val="414042" w:themeColor="text1"/>
        </w:rPr>
        <w:t>risk</w:t>
      </w:r>
      <w:proofErr w:type="gramEnd"/>
      <w:r w:rsidRPr="00DF3006">
        <w:rPr>
          <w:color w:val="414042" w:themeColor="text1"/>
        </w:rPr>
        <w:t xml:space="preserve"> and compliance culture, and</w:t>
      </w:r>
    </w:p>
    <w:p w14:paraId="2E6C4C51" w14:textId="264BADBC" w:rsidR="00561686" w:rsidRPr="00DF3006" w:rsidRDefault="00561686">
      <w:pPr>
        <w:pStyle w:val="Bullets"/>
        <w:rPr>
          <w:color w:val="414042" w:themeColor="text1"/>
        </w:rPr>
      </w:pPr>
      <w:r w:rsidRPr="00DF3006">
        <w:rPr>
          <w:color w:val="414042" w:themeColor="text1"/>
        </w:rPr>
        <w:t>fully utilise our online workplace compliance training system (CCCLearning).</w:t>
      </w:r>
    </w:p>
    <w:p w14:paraId="339FFC77" w14:textId="77777777" w:rsidR="00C41DC2" w:rsidRPr="00DF3006" w:rsidRDefault="00C41DC2" w:rsidP="00C41DC2">
      <w:pPr>
        <w:rPr>
          <w:color w:val="414042" w:themeColor="text1"/>
        </w:rPr>
      </w:pPr>
      <w:r w:rsidRPr="00DF3006">
        <w:rPr>
          <w:color w:val="414042" w:themeColor="text1"/>
        </w:rPr>
        <w:t>We continued to support our people through:</w:t>
      </w:r>
    </w:p>
    <w:p w14:paraId="1BA52591" w14:textId="77777777" w:rsidR="00C41DC2" w:rsidRPr="00DF3006" w:rsidRDefault="00C41DC2">
      <w:pPr>
        <w:pStyle w:val="Bullets"/>
        <w:rPr>
          <w:color w:val="414042" w:themeColor="text1"/>
        </w:rPr>
      </w:pPr>
      <w:r w:rsidRPr="00DF3006">
        <w:rPr>
          <w:color w:val="414042" w:themeColor="text1"/>
        </w:rPr>
        <w:t>facilitating access to elective educational courses through our online platform, CCCLearning</w:t>
      </w:r>
    </w:p>
    <w:p w14:paraId="299EF854" w14:textId="77777777" w:rsidR="00C41DC2" w:rsidRPr="00DF3006" w:rsidRDefault="00C41DC2">
      <w:pPr>
        <w:pStyle w:val="Bullets"/>
        <w:rPr>
          <w:color w:val="414042" w:themeColor="text1"/>
        </w:rPr>
      </w:pPr>
      <w:r w:rsidRPr="00DF3006">
        <w:rPr>
          <w:color w:val="414042" w:themeColor="text1"/>
        </w:rPr>
        <w:t xml:space="preserve">assisting our people with their ongoing professional development by supporting opportunities to attend a range of workshops, seminars and </w:t>
      </w:r>
      <w:proofErr w:type="gramStart"/>
      <w:r w:rsidRPr="00DF3006">
        <w:rPr>
          <w:color w:val="414042" w:themeColor="text1"/>
        </w:rPr>
        <w:t>conferences</w:t>
      </w:r>
      <w:proofErr w:type="gramEnd"/>
    </w:p>
    <w:p w14:paraId="52A98163" w14:textId="77777777" w:rsidR="00C41DC2" w:rsidRPr="00DF3006" w:rsidRDefault="00C41DC2">
      <w:pPr>
        <w:pStyle w:val="Bullets"/>
        <w:rPr>
          <w:color w:val="414042" w:themeColor="text1"/>
        </w:rPr>
      </w:pPr>
      <w:r w:rsidRPr="00DF3006">
        <w:rPr>
          <w:color w:val="414042" w:themeColor="text1"/>
        </w:rPr>
        <w:t>supporting staff to undertake tertiary study by providing financial assistance toward their course fees and granting study leave (nine employees), and</w:t>
      </w:r>
    </w:p>
    <w:p w14:paraId="4BD588C2" w14:textId="20E1C2C0" w:rsidR="00C41DC2" w:rsidRPr="00DF3006" w:rsidRDefault="00C41DC2">
      <w:pPr>
        <w:pStyle w:val="Bullets"/>
        <w:rPr>
          <w:color w:val="414042" w:themeColor="text1"/>
        </w:rPr>
      </w:pPr>
      <w:r w:rsidRPr="00DF3006">
        <w:rPr>
          <w:color w:val="414042" w:themeColor="text1"/>
        </w:rPr>
        <w:t>supporting our specialists by reimbursing between 50 and 100 per cent of their professional membership fees (23 employees).</w:t>
      </w:r>
    </w:p>
    <w:p w14:paraId="59EC537D" w14:textId="2EED7332" w:rsidR="00C41DC2" w:rsidRPr="00DF3006" w:rsidRDefault="00C41DC2" w:rsidP="00B2314C">
      <w:pPr>
        <w:pStyle w:val="Bullets"/>
        <w:numPr>
          <w:ilvl w:val="0"/>
          <w:numId w:val="0"/>
        </w:numPr>
        <w:rPr>
          <w:color w:val="414042" w:themeColor="text1"/>
        </w:rPr>
      </w:pPr>
      <w:r w:rsidRPr="00DF3006">
        <w:rPr>
          <w:color w:val="414042" w:themeColor="text1"/>
        </w:rPr>
        <w:t xml:space="preserve">Throughout the year, </w:t>
      </w:r>
      <w:r w:rsidR="004E1C5A" w:rsidRPr="00DF3006">
        <w:rPr>
          <w:color w:val="414042" w:themeColor="text1"/>
        </w:rPr>
        <w:t xml:space="preserve">the </w:t>
      </w:r>
      <w:r w:rsidRPr="00DF3006">
        <w:rPr>
          <w:color w:val="414042" w:themeColor="text1"/>
        </w:rPr>
        <w:t>CCC delivered workshops and presentations to help our people to stay current and enabled with:</w:t>
      </w:r>
    </w:p>
    <w:p w14:paraId="12295FD1" w14:textId="77777777" w:rsidR="00561686" w:rsidRPr="00DF3006" w:rsidRDefault="00561686">
      <w:pPr>
        <w:pStyle w:val="Bullets"/>
        <w:rPr>
          <w:color w:val="414042" w:themeColor="text1"/>
        </w:rPr>
      </w:pPr>
      <w:r w:rsidRPr="00DF3006">
        <w:rPr>
          <w:color w:val="414042" w:themeColor="text1"/>
        </w:rPr>
        <w:t>advanced presentations</w:t>
      </w:r>
    </w:p>
    <w:p w14:paraId="584D7FB5" w14:textId="77777777" w:rsidR="00561686" w:rsidRPr="00DF3006" w:rsidRDefault="00561686">
      <w:pPr>
        <w:pStyle w:val="Bullets"/>
        <w:rPr>
          <w:color w:val="414042" w:themeColor="text1"/>
        </w:rPr>
      </w:pPr>
      <w:r w:rsidRPr="00DF3006">
        <w:rPr>
          <w:color w:val="414042" w:themeColor="text1"/>
        </w:rPr>
        <w:t>emotional intelligence</w:t>
      </w:r>
    </w:p>
    <w:p w14:paraId="30293818" w14:textId="77777777" w:rsidR="00561686" w:rsidRPr="00DF3006" w:rsidRDefault="00561686">
      <w:pPr>
        <w:pStyle w:val="Bullets"/>
        <w:rPr>
          <w:color w:val="414042" w:themeColor="text1"/>
        </w:rPr>
      </w:pPr>
      <w:r w:rsidRPr="00DF3006">
        <w:rPr>
          <w:color w:val="414042" w:themeColor="text1"/>
        </w:rPr>
        <w:t>resilience training, and</w:t>
      </w:r>
    </w:p>
    <w:p w14:paraId="3859B56E" w14:textId="77777777" w:rsidR="00561686" w:rsidRPr="00DF3006" w:rsidRDefault="00561686">
      <w:pPr>
        <w:pStyle w:val="Bullets"/>
        <w:rPr>
          <w:color w:val="414042" w:themeColor="text1"/>
        </w:rPr>
      </w:pPr>
      <w:r w:rsidRPr="00DF3006">
        <w:rPr>
          <w:color w:val="414042" w:themeColor="text1"/>
        </w:rPr>
        <w:t>government investigations.</w:t>
      </w:r>
      <w:bookmarkStart w:id="1409" w:name="_Toc102038027"/>
      <w:bookmarkStart w:id="1410" w:name="_Toc102038388"/>
      <w:bookmarkStart w:id="1411" w:name="_Toc102038749"/>
      <w:bookmarkStart w:id="1412" w:name="_Toc102039101"/>
      <w:bookmarkStart w:id="1413" w:name="_Toc102039450"/>
      <w:bookmarkStart w:id="1414" w:name="_Toc102039812"/>
      <w:bookmarkStart w:id="1415" w:name="_Toc102040169"/>
      <w:bookmarkStart w:id="1416" w:name="_Toc102040497"/>
      <w:bookmarkStart w:id="1417" w:name="_Toc102040831"/>
      <w:bookmarkStart w:id="1418" w:name="_Toc102041159"/>
      <w:bookmarkStart w:id="1419" w:name="_Toc102041488"/>
      <w:bookmarkStart w:id="1420" w:name="_Toc102041820"/>
      <w:bookmarkStart w:id="1421" w:name="_Toc102042147"/>
      <w:bookmarkStart w:id="1422" w:name="_Toc102042477"/>
      <w:bookmarkStart w:id="1423" w:name="_Toc102045607"/>
      <w:bookmarkStart w:id="1424" w:name="_Hlk109825222"/>
    </w:p>
    <w:p w14:paraId="383B0AA4" w14:textId="77777777" w:rsidR="00B2314C" w:rsidRPr="00DF3006" w:rsidRDefault="00B2314C" w:rsidP="00B2314C">
      <w:pPr>
        <w:rPr>
          <w:color w:val="414042" w:themeColor="text1"/>
        </w:rPr>
      </w:pPr>
    </w:p>
    <w:p w14:paraId="64920617" w14:textId="7173CF2E" w:rsidR="00561686" w:rsidRPr="00DF3006" w:rsidRDefault="00B2314C" w:rsidP="00463FBB">
      <w:pPr>
        <w:pStyle w:val="Heading4"/>
      </w:pPr>
      <w:r w:rsidRPr="00DF3006">
        <w:br w:type="column"/>
      </w:r>
      <w:r w:rsidR="00BA4DB7" w:rsidRPr="00DF3006">
        <w:t xml:space="preserve">Developing </w:t>
      </w:r>
      <w:r w:rsidR="00561686" w:rsidRPr="00DF3006">
        <w:t>great leaders</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510084FC" w14:textId="77777777" w:rsidR="00561686" w:rsidRPr="00DF3006" w:rsidRDefault="00561686" w:rsidP="00561686">
      <w:pPr>
        <w:rPr>
          <w:color w:val="414042" w:themeColor="text1"/>
        </w:rPr>
      </w:pPr>
      <w:r w:rsidRPr="00DF3006">
        <w:rPr>
          <w:color w:val="414042" w:themeColor="text1"/>
        </w:rPr>
        <w:t>We provide ongoing support for our leaders to enable them to deliver adaptive leadership within the ongoing change environment. We expect our leaders to model the behaviours of our values.</w:t>
      </w:r>
    </w:p>
    <w:p w14:paraId="1BFA8F37" w14:textId="77777777" w:rsidR="00561686" w:rsidRPr="00DF3006" w:rsidRDefault="00561686" w:rsidP="00561686">
      <w:pPr>
        <w:spacing w:after="120"/>
        <w:rPr>
          <w:color w:val="414042" w:themeColor="text1"/>
        </w:rPr>
      </w:pPr>
      <w:r w:rsidRPr="00DF3006">
        <w:rPr>
          <w:color w:val="414042" w:themeColor="text1"/>
        </w:rPr>
        <w:t>This year, we supported:</w:t>
      </w:r>
    </w:p>
    <w:bookmarkEnd w:id="1424"/>
    <w:p w14:paraId="7654F862" w14:textId="77777777" w:rsidR="00561686" w:rsidRPr="00DF3006" w:rsidRDefault="00561686">
      <w:pPr>
        <w:pStyle w:val="Bullets"/>
        <w:rPr>
          <w:color w:val="414042" w:themeColor="text1"/>
        </w:rPr>
      </w:pPr>
      <w:r w:rsidRPr="00DF3006">
        <w:rPr>
          <w:color w:val="414042" w:themeColor="text1"/>
        </w:rPr>
        <w:t>30 of our leaders to undertake a program to develop personal, business and team leadership capabilities, and</w:t>
      </w:r>
    </w:p>
    <w:p w14:paraId="34C9CBC7" w14:textId="421D7069" w:rsidR="00561686" w:rsidRPr="00DF3006" w:rsidRDefault="00C41DC2">
      <w:pPr>
        <w:pStyle w:val="Bullets"/>
        <w:rPr>
          <w:color w:val="414042" w:themeColor="text1"/>
        </w:rPr>
      </w:pPr>
      <w:r w:rsidRPr="00DF3006">
        <w:rPr>
          <w:color w:val="414042" w:themeColor="text1"/>
        </w:rPr>
        <w:t>27</w:t>
      </w:r>
      <w:r w:rsidR="00561686" w:rsidRPr="00DF3006">
        <w:rPr>
          <w:color w:val="414042" w:themeColor="text1"/>
        </w:rPr>
        <w:t xml:space="preserve"> of our employees to undertake a program to develop and build their capability in emotional intelligence.</w:t>
      </w:r>
    </w:p>
    <w:p w14:paraId="3C9B54A7" w14:textId="77777777" w:rsidR="00561686" w:rsidRPr="00DF3006" w:rsidRDefault="00561686" w:rsidP="00561686">
      <w:pPr>
        <w:spacing w:after="120"/>
        <w:ind w:right="-285"/>
        <w:rPr>
          <w:rFonts w:cs="Calibri Light"/>
          <w:bCs/>
          <w:color w:val="414042" w:themeColor="text1"/>
          <w:spacing w:val="-5"/>
          <w:szCs w:val="20"/>
          <w:u w:color="E6E7E8" w:themeColor="background2"/>
        </w:rPr>
      </w:pPr>
      <w:r w:rsidRPr="00DF3006">
        <w:rPr>
          <w:color w:val="414042" w:themeColor="text1"/>
        </w:rPr>
        <w:t>We also continued to support a range of initiatives that assist our people to achieve their career goals, including:</w:t>
      </w:r>
    </w:p>
    <w:p w14:paraId="2E0B6FD3" w14:textId="775E8C50" w:rsidR="00561686" w:rsidRPr="00DF3006" w:rsidRDefault="00561686">
      <w:pPr>
        <w:pStyle w:val="Bullets"/>
        <w:rPr>
          <w:color w:val="414042" w:themeColor="text1"/>
        </w:rPr>
      </w:pPr>
      <w:r w:rsidRPr="00DF3006">
        <w:rPr>
          <w:rFonts w:asciiTheme="minorHAnsi" w:hAnsiTheme="minorHAnsi" w:cstheme="minorHAnsi"/>
          <w:b/>
          <w:bCs/>
          <w:color w:val="414042" w:themeColor="text1"/>
        </w:rPr>
        <w:t>CCC Leadership Roadmap —</w:t>
      </w:r>
      <w:r w:rsidRPr="00DF3006">
        <w:rPr>
          <w:color w:val="414042" w:themeColor="text1"/>
        </w:rPr>
        <w:t xml:space="preserve"> </w:t>
      </w:r>
      <w:r w:rsidR="004100B7" w:rsidRPr="00DF3006">
        <w:rPr>
          <w:color w:val="414042" w:themeColor="text1"/>
        </w:rPr>
        <w:t>a</w:t>
      </w:r>
      <w:r w:rsidRPr="00DF3006">
        <w:rPr>
          <w:color w:val="414042" w:themeColor="text1"/>
        </w:rPr>
        <w:t xml:space="preserve"> framework to support leadership development at all career </w:t>
      </w:r>
      <w:proofErr w:type="gramStart"/>
      <w:r w:rsidRPr="00DF3006">
        <w:rPr>
          <w:color w:val="414042" w:themeColor="text1"/>
        </w:rPr>
        <w:t>stages</w:t>
      </w:r>
      <w:proofErr w:type="gramEnd"/>
    </w:p>
    <w:p w14:paraId="07CDAD60" w14:textId="67F66CC8" w:rsidR="00561686" w:rsidRPr="00DF3006" w:rsidRDefault="00561686">
      <w:pPr>
        <w:pStyle w:val="Bullets"/>
        <w:rPr>
          <w:color w:val="414042" w:themeColor="text1"/>
        </w:rPr>
      </w:pPr>
      <w:r w:rsidRPr="00DF3006">
        <w:rPr>
          <w:rFonts w:asciiTheme="minorHAnsi" w:hAnsiTheme="minorHAnsi" w:cstheme="minorHAnsi"/>
          <w:b/>
          <w:bCs/>
          <w:color w:val="414042" w:themeColor="text1"/>
        </w:rPr>
        <w:t>Career Development Pathways —</w:t>
      </w:r>
      <w:r w:rsidRPr="00DF3006">
        <w:rPr>
          <w:color w:val="414042" w:themeColor="text1"/>
        </w:rPr>
        <w:t xml:space="preserve"> </w:t>
      </w:r>
      <w:r w:rsidR="004100B7" w:rsidRPr="00DF3006">
        <w:rPr>
          <w:color w:val="414042" w:themeColor="text1"/>
        </w:rPr>
        <w:t>a</w:t>
      </w:r>
      <w:r w:rsidRPr="00DF3006">
        <w:rPr>
          <w:color w:val="414042" w:themeColor="text1"/>
        </w:rPr>
        <w:t xml:space="preserve"> framework to assist our people grow their careers as practitioners and technical specialists, and</w:t>
      </w:r>
    </w:p>
    <w:p w14:paraId="7880E66E" w14:textId="38C346B7" w:rsidR="00561686" w:rsidRPr="00DF3006" w:rsidRDefault="00561686">
      <w:pPr>
        <w:pStyle w:val="Bullets"/>
        <w:rPr>
          <w:color w:val="414042" w:themeColor="text1"/>
        </w:rPr>
      </w:pPr>
      <w:r w:rsidRPr="00DF3006">
        <w:rPr>
          <w:rFonts w:asciiTheme="minorHAnsi" w:hAnsiTheme="minorHAnsi" w:cstheme="minorHAnsi"/>
          <w:b/>
          <w:bCs/>
          <w:color w:val="414042" w:themeColor="text1"/>
        </w:rPr>
        <w:t>CCCLearning | Professional —</w:t>
      </w:r>
      <w:r w:rsidRPr="00DF3006">
        <w:rPr>
          <w:color w:val="414042" w:themeColor="text1"/>
        </w:rPr>
        <w:t xml:space="preserve"> </w:t>
      </w:r>
      <w:r w:rsidR="004100B7" w:rsidRPr="00DF3006">
        <w:rPr>
          <w:color w:val="414042" w:themeColor="text1"/>
        </w:rPr>
        <w:t>a</w:t>
      </w:r>
      <w:r w:rsidRPr="00DF3006">
        <w:rPr>
          <w:color w:val="414042" w:themeColor="text1"/>
        </w:rPr>
        <w:t xml:space="preserve"> platform that contains more than 500 bite-size courses, available on-demand covering a range of business and leadership disciplines.</w:t>
      </w:r>
    </w:p>
    <w:p w14:paraId="3B948AA4" w14:textId="77777777" w:rsidR="00561686" w:rsidRPr="00DF3006" w:rsidRDefault="00561686" w:rsidP="007E7B4C">
      <w:pPr>
        <w:pStyle w:val="Bulletlist"/>
        <w:rPr>
          <w:color w:val="414042" w:themeColor="text1"/>
        </w:rPr>
      </w:pPr>
    </w:p>
    <w:p w14:paraId="041510C3" w14:textId="299105B4" w:rsidR="00996CE7" w:rsidRPr="00DF3006" w:rsidRDefault="00996CE7" w:rsidP="007E7B4C">
      <w:pPr>
        <w:pStyle w:val="Bulletlist"/>
        <w:rPr>
          <w:color w:val="414042" w:themeColor="text1"/>
        </w:rPr>
        <w:sectPr w:rsidR="00996CE7" w:rsidRPr="00DF3006" w:rsidSect="000B43D8">
          <w:type w:val="continuous"/>
          <w:pgSz w:w="11906" w:h="16838" w:code="9"/>
          <w:pgMar w:top="2155" w:right="1134" w:bottom="964" w:left="1134" w:header="720" w:footer="284" w:gutter="0"/>
          <w:cols w:num="2" w:space="566"/>
          <w:noEndnote/>
          <w:docGrid w:linePitch="272"/>
        </w:sectPr>
      </w:pPr>
    </w:p>
    <w:p w14:paraId="3730B3A0" w14:textId="29EC63E0" w:rsidR="00561686" w:rsidRPr="00DF3006" w:rsidRDefault="00561686" w:rsidP="00463FBB">
      <w:pPr>
        <w:pStyle w:val="Heading4b"/>
      </w:pPr>
      <w:r w:rsidRPr="00DF3006">
        <w:t>Figure 20: Investment in the training and development of our people from 201</w:t>
      </w:r>
      <w:r w:rsidR="009B1408" w:rsidRPr="00DF3006">
        <w:t>8</w:t>
      </w:r>
      <w:r w:rsidRPr="00DF3006">
        <w:t>–1</w:t>
      </w:r>
      <w:r w:rsidR="009B1408" w:rsidRPr="00DF3006">
        <w:t>9</w:t>
      </w:r>
      <w:r w:rsidRPr="00DF3006">
        <w:t xml:space="preserve"> to 2022–23</w:t>
      </w:r>
    </w:p>
    <w:p w14:paraId="6267D019" w14:textId="77777777" w:rsidR="00561686" w:rsidRPr="00DF3006" w:rsidRDefault="00561686" w:rsidP="007E7B4C">
      <w:pPr>
        <w:pStyle w:val="Bulletlist"/>
        <w:rPr>
          <w:color w:val="414042" w:themeColor="text1"/>
        </w:rPr>
      </w:pPr>
      <w:r w:rsidRPr="00DF3006">
        <w:rPr>
          <w:noProof/>
          <w:color w:val="414042" w:themeColor="text1"/>
          <w:shd w:val="clear" w:color="auto" w:fill="auto"/>
        </w:rPr>
        <w:drawing>
          <wp:inline distT="0" distB="0" distL="0" distR="0" wp14:anchorId="4653F635" wp14:editId="2CAB0DA4">
            <wp:extent cx="5607685" cy="1866900"/>
            <wp:effectExtent l="0" t="0" r="0" b="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43A73A28" w14:textId="42DA24D5" w:rsidR="00996CE7" w:rsidRPr="00DF3006" w:rsidRDefault="00996CE7" w:rsidP="00996CE7">
      <w:pPr>
        <w:pStyle w:val="ListParagraph"/>
        <w:numPr>
          <w:ilvl w:val="0"/>
          <w:numId w:val="47"/>
        </w:numPr>
        <w:spacing w:line="259" w:lineRule="auto"/>
        <w:ind w:left="360"/>
        <w:rPr>
          <w:color w:val="414042" w:themeColor="text1"/>
        </w:rPr>
        <w:sectPr w:rsidR="00996CE7" w:rsidRPr="00DF3006" w:rsidSect="00C77834">
          <w:type w:val="continuous"/>
          <w:pgSz w:w="11906" w:h="16838" w:code="9"/>
          <w:pgMar w:top="2155" w:right="1134" w:bottom="964" w:left="1134" w:header="720" w:footer="284" w:gutter="0"/>
          <w:cols w:space="567"/>
          <w:noEndnote/>
          <w:docGrid w:linePitch="272"/>
        </w:sectPr>
      </w:pPr>
    </w:p>
    <w:p w14:paraId="0F4394F1" w14:textId="77777777" w:rsidR="00996CE7" w:rsidRPr="00DF3006" w:rsidRDefault="00996CE7" w:rsidP="00463FBB">
      <w:pPr>
        <w:pStyle w:val="Heading4"/>
        <w:sectPr w:rsidR="00996CE7" w:rsidRPr="00DF3006" w:rsidSect="00C77834">
          <w:headerReference w:type="even" r:id="rId243"/>
          <w:headerReference w:type="default" r:id="rId244"/>
          <w:headerReference w:type="first" r:id="rId245"/>
          <w:type w:val="continuous"/>
          <w:pgSz w:w="11906" w:h="16838" w:code="9"/>
          <w:pgMar w:top="2155" w:right="1134" w:bottom="964" w:left="1134" w:header="720" w:footer="284" w:gutter="0"/>
          <w:cols w:num="2" w:space="567"/>
          <w:noEndnote/>
          <w:docGrid w:linePitch="272"/>
        </w:sectPr>
      </w:pPr>
    </w:p>
    <w:p w14:paraId="14A10D07" w14:textId="4D3773AC" w:rsidR="00561686" w:rsidRPr="00DF3006" w:rsidRDefault="00561686" w:rsidP="00463FBB">
      <w:pPr>
        <w:pStyle w:val="Heading4"/>
      </w:pPr>
      <w:r w:rsidRPr="00DF3006">
        <w:lastRenderedPageBreak/>
        <w:t>Supporting reconciliation</w:t>
      </w:r>
    </w:p>
    <w:p w14:paraId="017D76DA" w14:textId="77777777" w:rsidR="00561686" w:rsidRPr="00DF3006" w:rsidRDefault="00561686" w:rsidP="00561686">
      <w:pPr>
        <w:rPr>
          <w:color w:val="414042" w:themeColor="text1"/>
        </w:rPr>
      </w:pPr>
      <w:r w:rsidRPr="00DF3006">
        <w:rPr>
          <w:color w:val="414042" w:themeColor="text1"/>
        </w:rPr>
        <w:t>The CCC serves an important function in responding to the needs and concerns of Aboriginal and Torres Strait Islander peoples, in relation to criminal justice issues and good governance of public sector agencies. Our vision is to partner with Aboriginal and Torres Strait Islander peoples and communities to form lasting relationships based on mutual trust, respect and understanding.</w:t>
      </w:r>
    </w:p>
    <w:p w14:paraId="454535BD" w14:textId="77777777" w:rsidR="00561686" w:rsidRPr="00DF3006" w:rsidRDefault="00561686" w:rsidP="00561686">
      <w:pPr>
        <w:rPr>
          <w:color w:val="414042" w:themeColor="text1"/>
        </w:rPr>
      </w:pPr>
      <w:r w:rsidRPr="00DF3006">
        <w:rPr>
          <w:color w:val="414042" w:themeColor="text1"/>
        </w:rPr>
        <w:t>For this reason, we focus on advancing our contribution to reconciliation through strengthening our collective and individual cultural capabilities.</w:t>
      </w:r>
    </w:p>
    <w:p w14:paraId="0B2B8020" w14:textId="54DB8054" w:rsidR="00561686" w:rsidRPr="00DF3006" w:rsidRDefault="00561686" w:rsidP="00561686">
      <w:pPr>
        <w:rPr>
          <w:color w:val="414042" w:themeColor="text1"/>
        </w:rPr>
      </w:pPr>
      <w:r w:rsidRPr="00DF3006">
        <w:rPr>
          <w:color w:val="414042" w:themeColor="text1"/>
        </w:rPr>
        <w:t xml:space="preserve">As part of our </w:t>
      </w:r>
      <w:r w:rsidRPr="00DF3006">
        <w:rPr>
          <w:i/>
          <w:iCs/>
          <w:color w:val="414042" w:themeColor="text1"/>
          <w:u w:color="BCBEC0" w:themeColor="accent5"/>
        </w:rPr>
        <w:t>Reconciliation Action Plan</w:t>
      </w:r>
      <w:r w:rsidRPr="00DF3006">
        <w:rPr>
          <w:color w:val="414042" w:themeColor="text1"/>
          <w:u w:val="single" w:color="BCBEC0" w:themeColor="accent5"/>
        </w:rPr>
        <w:t>,</w:t>
      </w:r>
      <w:r w:rsidRPr="00DF3006">
        <w:rPr>
          <w:color w:val="414042" w:themeColor="text1"/>
        </w:rPr>
        <w:t xml:space="preserve"> we are committed to engaging </w:t>
      </w:r>
      <w:proofErr w:type="gramStart"/>
      <w:r w:rsidRPr="00DF3006">
        <w:rPr>
          <w:color w:val="414042" w:themeColor="text1"/>
        </w:rPr>
        <w:t>all of</w:t>
      </w:r>
      <w:proofErr w:type="gramEnd"/>
      <w:r w:rsidRPr="00DF3006">
        <w:rPr>
          <w:color w:val="414042" w:themeColor="text1"/>
        </w:rPr>
        <w:t xml:space="preserve"> our staff in continuous cultural learning opportunities that value and recognise Aboriginal and Torres Strait Islander cultures, histories, knowledge and rights through cultural learning. We believe that more effective work with Aboriginal and Torres Strait Islander communities, based on shared understanding, can have a positive impact on reconciliation in Australia.</w:t>
      </w:r>
    </w:p>
    <w:p w14:paraId="1EDEF48A" w14:textId="77777777" w:rsidR="00561686" w:rsidRPr="00DF3006" w:rsidRDefault="00561686" w:rsidP="00561686">
      <w:pPr>
        <w:rPr>
          <w:color w:val="414042" w:themeColor="text1"/>
        </w:rPr>
      </w:pPr>
      <w:r w:rsidRPr="00DF3006" w:rsidDel="00070DE5">
        <w:rPr>
          <w:color w:val="414042" w:themeColor="text1"/>
        </w:rPr>
        <w:t>Our c</w:t>
      </w:r>
      <w:r w:rsidRPr="00DF3006">
        <w:rPr>
          <w:color w:val="414042" w:themeColor="text1"/>
        </w:rPr>
        <w:t>ontinued</w:t>
      </w:r>
      <w:r w:rsidRPr="00DF3006" w:rsidDel="00070DE5">
        <w:rPr>
          <w:color w:val="414042" w:themeColor="text1"/>
        </w:rPr>
        <w:t xml:space="preserve"> focus is on raising awareness</w:t>
      </w:r>
      <w:r w:rsidRPr="00DF3006">
        <w:rPr>
          <w:color w:val="414042" w:themeColor="text1"/>
        </w:rPr>
        <w:t xml:space="preserve"> </w:t>
      </w:r>
      <w:r w:rsidRPr="00DF3006" w:rsidDel="00070DE5">
        <w:rPr>
          <w:color w:val="414042" w:themeColor="text1"/>
        </w:rPr>
        <w:t>within our agency</w:t>
      </w:r>
      <w:r w:rsidRPr="00DF3006">
        <w:rPr>
          <w:color w:val="414042" w:themeColor="text1"/>
        </w:rPr>
        <w:t>;</w:t>
      </w:r>
      <w:r w:rsidRPr="00DF3006" w:rsidDel="00070DE5">
        <w:rPr>
          <w:color w:val="414042" w:themeColor="text1"/>
        </w:rPr>
        <w:t xml:space="preserve"> increasing our </w:t>
      </w:r>
      <w:r w:rsidRPr="00DF3006">
        <w:rPr>
          <w:color w:val="414042" w:themeColor="text1"/>
        </w:rPr>
        <w:t xml:space="preserve">staff </w:t>
      </w:r>
      <w:r w:rsidRPr="00DF3006" w:rsidDel="00070DE5">
        <w:rPr>
          <w:color w:val="414042" w:themeColor="text1"/>
        </w:rPr>
        <w:t>participation in events</w:t>
      </w:r>
      <w:r w:rsidRPr="00DF3006">
        <w:rPr>
          <w:color w:val="414042" w:themeColor="text1"/>
        </w:rPr>
        <w:t xml:space="preserve"> that</w:t>
      </w:r>
      <w:r w:rsidRPr="00DF3006" w:rsidDel="00070DE5">
        <w:rPr>
          <w:color w:val="414042" w:themeColor="text1"/>
        </w:rPr>
        <w:t xml:space="preserve"> support reconciliation</w:t>
      </w:r>
      <w:r w:rsidRPr="00DF3006">
        <w:rPr>
          <w:color w:val="414042" w:themeColor="text1"/>
        </w:rPr>
        <w:t>;</w:t>
      </w:r>
      <w:r w:rsidRPr="00DF3006" w:rsidDel="00070DE5">
        <w:rPr>
          <w:color w:val="414042" w:themeColor="text1"/>
        </w:rPr>
        <w:t xml:space="preserve"> and reviewing our services so they are culturally responsive, safe</w:t>
      </w:r>
      <w:r w:rsidRPr="00DF3006">
        <w:rPr>
          <w:color w:val="414042" w:themeColor="text1"/>
        </w:rPr>
        <w:t>,</w:t>
      </w:r>
      <w:r w:rsidRPr="00DF3006" w:rsidDel="00070DE5">
        <w:rPr>
          <w:color w:val="414042" w:themeColor="text1"/>
        </w:rPr>
        <w:t xml:space="preserve"> and equally accessible to everyone.</w:t>
      </w:r>
    </w:p>
    <w:p w14:paraId="6A580C5A" w14:textId="4044864E" w:rsidR="00561686" w:rsidRPr="00DF3006" w:rsidRDefault="00561686" w:rsidP="00561686">
      <w:pPr>
        <w:rPr>
          <w:color w:val="414042" w:themeColor="text1"/>
        </w:rPr>
      </w:pPr>
      <w:r w:rsidRPr="00DF3006">
        <w:rPr>
          <w:color w:val="414042" w:themeColor="text1"/>
        </w:rPr>
        <w:t>The CCC Cultural Advisory Group continues to provide expert cultural advice informed by standards applied elsewhere in the community and by international best</w:t>
      </w:r>
      <w:r w:rsidR="00636089" w:rsidRPr="00DF3006">
        <w:rPr>
          <w:color w:val="414042" w:themeColor="text1"/>
        </w:rPr>
        <w:t xml:space="preserve"> </w:t>
      </w:r>
      <w:r w:rsidRPr="00DF3006">
        <w:rPr>
          <w:color w:val="414042" w:themeColor="text1"/>
        </w:rPr>
        <w:t>practice.</w:t>
      </w:r>
    </w:p>
    <w:p w14:paraId="4EDEB7B4" w14:textId="397AEDA5" w:rsidR="00561686" w:rsidRPr="00DF3006" w:rsidRDefault="00FF7819" w:rsidP="00561686">
      <w:pPr>
        <w:rPr>
          <w:color w:val="414042" w:themeColor="text1"/>
        </w:rPr>
      </w:pPr>
      <w:r w:rsidRPr="00DF3006">
        <w:rPr>
          <w:color w:val="414042" w:themeColor="text1"/>
        </w:rPr>
        <w:t>T</w:t>
      </w:r>
      <w:r w:rsidR="00561686" w:rsidRPr="00DF3006">
        <w:rPr>
          <w:color w:val="414042" w:themeColor="text1"/>
        </w:rPr>
        <w:t>his year we engaged with Aboriginal and Torres Strait Islander clients and stakeholders to identify workable solutions for improving access to the CCC complaints management service</w:t>
      </w:r>
      <w:r w:rsidR="00B4047B" w:rsidRPr="00DF3006">
        <w:rPr>
          <w:color w:val="414042" w:themeColor="text1"/>
        </w:rPr>
        <w:t xml:space="preserve"> (see page </w:t>
      </w:r>
      <w:r w:rsidR="00BF2923" w:rsidRPr="00DF3006">
        <w:rPr>
          <w:color w:val="414042" w:themeColor="text1"/>
        </w:rPr>
        <w:t>49</w:t>
      </w:r>
      <w:r w:rsidR="00B4047B" w:rsidRPr="00DF3006">
        <w:rPr>
          <w:color w:val="414042" w:themeColor="text1"/>
        </w:rPr>
        <w:t>)</w:t>
      </w:r>
      <w:r w:rsidR="00561686" w:rsidRPr="00DF3006">
        <w:rPr>
          <w:color w:val="414042" w:themeColor="text1"/>
        </w:rPr>
        <w:t xml:space="preserve">. Implementation of these changes will be scheduled over the coming years and form part of the CCC’s next </w:t>
      </w:r>
      <w:r w:rsidR="00561686" w:rsidRPr="00DF3006">
        <w:rPr>
          <w:i/>
          <w:iCs/>
          <w:color w:val="414042" w:themeColor="text1"/>
        </w:rPr>
        <w:t>Reconciliation Action Plan</w:t>
      </w:r>
      <w:r w:rsidR="00561686" w:rsidRPr="00DF3006">
        <w:rPr>
          <w:color w:val="414042" w:themeColor="text1"/>
        </w:rPr>
        <w:t>.</w:t>
      </w:r>
    </w:p>
    <w:p w14:paraId="513A5A84" w14:textId="00224643" w:rsidR="00561686" w:rsidRPr="00DF3006" w:rsidRDefault="00DE7049" w:rsidP="00561686">
      <w:pPr>
        <w:rPr>
          <w:color w:val="414042" w:themeColor="text1"/>
        </w:rPr>
      </w:pPr>
      <w:r w:rsidRPr="00DF3006">
        <w:rPr>
          <w:color w:val="414042" w:themeColor="text1"/>
        </w:rPr>
        <w:br w:type="column"/>
      </w:r>
      <w:r w:rsidR="00561686" w:rsidRPr="00DF3006">
        <w:rPr>
          <w:color w:val="414042" w:themeColor="text1"/>
        </w:rPr>
        <w:t xml:space="preserve">As part of our cultural capability strategy, all </w:t>
      </w:r>
      <w:r w:rsidR="00022B27" w:rsidRPr="00DF3006">
        <w:rPr>
          <w:color w:val="414042" w:themeColor="text1"/>
        </w:rPr>
        <w:t>CCC</w:t>
      </w:r>
      <w:r w:rsidR="00561686" w:rsidRPr="00DF3006">
        <w:rPr>
          <w:color w:val="414042" w:themeColor="text1"/>
        </w:rPr>
        <w:t xml:space="preserve"> staff have completed a cultural awareness training module based on Evolve Communities’ </w:t>
      </w:r>
      <w:r w:rsidR="00022B27" w:rsidRPr="00DF3006">
        <w:rPr>
          <w:i/>
          <w:iCs/>
          <w:color w:val="414042" w:themeColor="text1"/>
        </w:rPr>
        <w:t>7 Steps To Reconciliation’ Program</w:t>
      </w:r>
      <w:r w:rsidR="00561686" w:rsidRPr="00DF3006">
        <w:rPr>
          <w:color w:val="414042" w:themeColor="text1"/>
        </w:rPr>
        <w:t>, aiming to</w:t>
      </w:r>
      <w:r w:rsidR="00022B27" w:rsidRPr="00DF3006">
        <w:rPr>
          <w:color w:val="414042" w:themeColor="text1"/>
        </w:rPr>
        <w:t xml:space="preserve">: </w:t>
      </w:r>
    </w:p>
    <w:p w14:paraId="46AF69E5" w14:textId="77777777" w:rsidR="00561686" w:rsidRPr="00DF3006" w:rsidRDefault="00561686">
      <w:pPr>
        <w:pStyle w:val="Bullets"/>
        <w:rPr>
          <w:color w:val="414042" w:themeColor="text1"/>
        </w:rPr>
      </w:pPr>
      <w:r w:rsidRPr="00DF3006">
        <w:rPr>
          <w:color w:val="414042" w:themeColor="text1"/>
        </w:rPr>
        <w:t xml:space="preserve">develop appreciation and respect for Aboriginal and Torres Strait Islander history, traditions and </w:t>
      </w:r>
      <w:proofErr w:type="gramStart"/>
      <w:r w:rsidRPr="00DF3006">
        <w:rPr>
          <w:color w:val="414042" w:themeColor="text1"/>
        </w:rPr>
        <w:t>culture</w:t>
      </w:r>
      <w:proofErr w:type="gramEnd"/>
    </w:p>
    <w:p w14:paraId="527E5E44" w14:textId="77777777" w:rsidR="00561686" w:rsidRPr="00DF3006" w:rsidRDefault="00561686">
      <w:pPr>
        <w:pStyle w:val="Bullets"/>
        <w:rPr>
          <w:color w:val="414042" w:themeColor="text1"/>
        </w:rPr>
      </w:pPr>
      <w:r w:rsidRPr="00DF3006">
        <w:rPr>
          <w:color w:val="414042" w:themeColor="text1"/>
        </w:rPr>
        <w:t xml:space="preserve">improve understanding of the relevance of reconciliation in our workplace and how it is important to building and maintaining relationships with Aboriginal and Torres Strait Islander </w:t>
      </w:r>
      <w:proofErr w:type="gramStart"/>
      <w:r w:rsidRPr="00DF3006">
        <w:rPr>
          <w:color w:val="414042" w:themeColor="text1"/>
        </w:rPr>
        <w:t>stakeholders</w:t>
      </w:r>
      <w:proofErr w:type="gramEnd"/>
    </w:p>
    <w:p w14:paraId="54F33C01" w14:textId="77777777" w:rsidR="00561686" w:rsidRPr="00DF3006" w:rsidRDefault="00561686">
      <w:pPr>
        <w:pStyle w:val="Bullets"/>
        <w:rPr>
          <w:color w:val="414042" w:themeColor="text1"/>
        </w:rPr>
      </w:pPr>
      <w:r w:rsidRPr="00DF3006">
        <w:rPr>
          <w:color w:val="414042" w:themeColor="text1"/>
        </w:rPr>
        <w:t xml:space="preserve">increase cultural safety within our organisation to attract and retain Indigenous </w:t>
      </w:r>
      <w:proofErr w:type="gramStart"/>
      <w:r w:rsidRPr="00DF3006">
        <w:rPr>
          <w:color w:val="414042" w:themeColor="text1"/>
        </w:rPr>
        <w:t>persons</w:t>
      </w:r>
      <w:proofErr w:type="gramEnd"/>
    </w:p>
    <w:p w14:paraId="1251E262" w14:textId="77777777" w:rsidR="00561686" w:rsidRPr="00DF3006" w:rsidRDefault="00561686">
      <w:pPr>
        <w:pStyle w:val="Bullets"/>
        <w:rPr>
          <w:color w:val="414042" w:themeColor="text1"/>
        </w:rPr>
      </w:pPr>
      <w:r w:rsidRPr="00DF3006">
        <w:rPr>
          <w:color w:val="414042" w:themeColor="text1"/>
        </w:rPr>
        <w:t xml:space="preserve">be, and be known as, a great place to work for all people, and be recognised as an organisation that values both its team and </w:t>
      </w:r>
      <w:proofErr w:type="gramStart"/>
      <w:r w:rsidRPr="00DF3006">
        <w:rPr>
          <w:color w:val="414042" w:themeColor="text1"/>
        </w:rPr>
        <w:t>clients</w:t>
      </w:r>
      <w:proofErr w:type="gramEnd"/>
    </w:p>
    <w:p w14:paraId="6A669248" w14:textId="77777777" w:rsidR="00561686" w:rsidRPr="00DF3006" w:rsidRDefault="00561686">
      <w:pPr>
        <w:pStyle w:val="Bullets"/>
        <w:rPr>
          <w:color w:val="414042" w:themeColor="text1"/>
        </w:rPr>
      </w:pPr>
      <w:r w:rsidRPr="00DF3006">
        <w:rPr>
          <w:color w:val="414042" w:themeColor="text1"/>
        </w:rPr>
        <w:t>build individual confidence to work within Aboriginal and Torres Strait Islander communities in a culturally appropriate manner, and</w:t>
      </w:r>
    </w:p>
    <w:p w14:paraId="7C06B556" w14:textId="77777777" w:rsidR="00561686" w:rsidRPr="00DF3006" w:rsidRDefault="00561686">
      <w:pPr>
        <w:pStyle w:val="Bullets"/>
        <w:rPr>
          <w:color w:val="414042" w:themeColor="text1"/>
        </w:rPr>
      </w:pPr>
      <w:r w:rsidRPr="00DF3006">
        <w:rPr>
          <w:color w:val="414042" w:themeColor="text1"/>
        </w:rPr>
        <w:t xml:space="preserve">inform individual perspectives of how culture shapes values, </w:t>
      </w:r>
      <w:proofErr w:type="gramStart"/>
      <w:r w:rsidRPr="00DF3006">
        <w:rPr>
          <w:color w:val="414042" w:themeColor="text1"/>
        </w:rPr>
        <w:t>attitudes</w:t>
      </w:r>
      <w:proofErr w:type="gramEnd"/>
      <w:r w:rsidRPr="00DF3006">
        <w:rPr>
          <w:color w:val="414042" w:themeColor="text1"/>
        </w:rPr>
        <w:t xml:space="preserve"> and behaviours.</w:t>
      </w:r>
    </w:p>
    <w:p w14:paraId="286794A3" w14:textId="7403DA87" w:rsidR="00561686" w:rsidRPr="00DF3006" w:rsidRDefault="00561686" w:rsidP="00561686">
      <w:pPr>
        <w:rPr>
          <w:color w:val="414042" w:themeColor="text1"/>
        </w:rPr>
      </w:pPr>
      <w:r w:rsidRPr="00DF3006">
        <w:rPr>
          <w:color w:val="414042" w:themeColor="text1"/>
        </w:rPr>
        <w:t>This program has also been incorporated into our ongoing training schedule for new staff.</w:t>
      </w:r>
    </w:p>
    <w:p w14:paraId="224A9786" w14:textId="49A1D44F" w:rsidR="00BA4DB7" w:rsidRPr="00DF3006" w:rsidRDefault="00BA4DB7" w:rsidP="00BA4DB7">
      <w:pPr>
        <w:rPr>
          <w:color w:val="414042" w:themeColor="text1"/>
        </w:rPr>
      </w:pPr>
      <w:r w:rsidRPr="00DF3006">
        <w:rPr>
          <w:color w:val="414042" w:themeColor="text1"/>
        </w:rPr>
        <w:t xml:space="preserve">In July 2022, we celebrated </w:t>
      </w:r>
      <w:r w:rsidR="00EA2C0F" w:rsidRPr="00DF3006">
        <w:rPr>
          <w:color w:val="414042" w:themeColor="text1"/>
        </w:rPr>
        <w:t>National Aborigines and Islanders Day Observance Committee (</w:t>
      </w:r>
      <w:proofErr w:type="spellStart"/>
      <w:r w:rsidRPr="00DF3006">
        <w:rPr>
          <w:color w:val="414042" w:themeColor="text1"/>
        </w:rPr>
        <w:t>NAIDOC</w:t>
      </w:r>
      <w:proofErr w:type="spellEnd"/>
      <w:r w:rsidR="00EA2C0F" w:rsidRPr="00DF3006">
        <w:rPr>
          <w:color w:val="414042" w:themeColor="text1"/>
        </w:rPr>
        <w:t>)</w:t>
      </w:r>
      <w:r w:rsidRPr="00DF3006">
        <w:rPr>
          <w:color w:val="414042" w:themeColor="text1"/>
        </w:rPr>
        <w:t xml:space="preserve"> week. We celebrated with </w:t>
      </w:r>
      <w:proofErr w:type="gramStart"/>
      <w:r w:rsidRPr="00DF3006">
        <w:rPr>
          <w:color w:val="414042" w:themeColor="text1"/>
        </w:rPr>
        <w:t>a number of</w:t>
      </w:r>
      <w:proofErr w:type="gramEnd"/>
      <w:r w:rsidRPr="00DF3006">
        <w:rPr>
          <w:color w:val="414042" w:themeColor="text1"/>
        </w:rPr>
        <w:t xml:space="preserve"> online events to enable us to share, acknowledge and celebrate Australia’s rich Aboriginal and Torres Strait Islander culture and history, including virtual community events, stories, music, language resources and documentaries.</w:t>
      </w:r>
    </w:p>
    <w:p w14:paraId="524E6A32" w14:textId="41C6E10A" w:rsidR="00C41DC2" w:rsidRPr="00DF3006" w:rsidRDefault="00C41DC2" w:rsidP="00C41DC2">
      <w:pPr>
        <w:rPr>
          <w:color w:val="414042" w:themeColor="text1"/>
        </w:rPr>
      </w:pPr>
      <w:r w:rsidRPr="00DF3006">
        <w:rPr>
          <w:color w:val="414042" w:themeColor="text1"/>
        </w:rPr>
        <w:t xml:space="preserve">In line with this year’s </w:t>
      </w:r>
      <w:r w:rsidR="00022B27" w:rsidRPr="00DF3006">
        <w:rPr>
          <w:color w:val="414042" w:themeColor="text1"/>
        </w:rPr>
        <w:t xml:space="preserve">National Reconciliation Week </w:t>
      </w:r>
      <w:r w:rsidRPr="00DF3006">
        <w:rPr>
          <w:color w:val="414042" w:themeColor="text1"/>
        </w:rPr>
        <w:t>theme</w:t>
      </w:r>
      <w:r w:rsidR="00022B27" w:rsidRPr="00DF3006">
        <w:rPr>
          <w:color w:val="414042" w:themeColor="text1"/>
        </w:rPr>
        <w:t xml:space="preserve"> ‘</w:t>
      </w:r>
      <w:r w:rsidR="00022B27" w:rsidRPr="00DF3006">
        <w:rPr>
          <w:i/>
          <w:iCs/>
          <w:color w:val="414042" w:themeColor="text1"/>
        </w:rPr>
        <w:t>Be a Voice for Generations</w:t>
      </w:r>
      <w:r w:rsidR="00022B27" w:rsidRPr="00DF3006">
        <w:rPr>
          <w:color w:val="414042" w:themeColor="text1"/>
        </w:rPr>
        <w:t>’</w:t>
      </w:r>
      <w:r w:rsidRPr="00DF3006">
        <w:rPr>
          <w:color w:val="414042" w:themeColor="text1"/>
        </w:rPr>
        <w:t xml:space="preserve">, CCC staff were encouraged to be a voice for reconciliation in tangible ways in our everyday lives </w:t>
      </w:r>
      <w:r w:rsidR="00022B27" w:rsidRPr="00DF3006">
        <w:rPr>
          <w:color w:val="414042" w:themeColor="text1"/>
        </w:rPr>
        <w:t>–</w:t>
      </w:r>
      <w:r w:rsidRPr="00DF3006">
        <w:rPr>
          <w:color w:val="414042" w:themeColor="text1"/>
        </w:rPr>
        <w:t xml:space="preserve"> including where we live, </w:t>
      </w:r>
      <w:proofErr w:type="gramStart"/>
      <w:r w:rsidRPr="00DF3006">
        <w:rPr>
          <w:color w:val="414042" w:themeColor="text1"/>
        </w:rPr>
        <w:t>work</w:t>
      </w:r>
      <w:proofErr w:type="gramEnd"/>
      <w:r w:rsidRPr="00DF3006">
        <w:rPr>
          <w:color w:val="414042" w:themeColor="text1"/>
        </w:rPr>
        <w:t xml:space="preserve"> and socialise.</w:t>
      </w:r>
    </w:p>
    <w:p w14:paraId="254CEB77" w14:textId="692B02A0" w:rsidR="00564647" w:rsidRPr="00DF3006" w:rsidRDefault="00C41DC2" w:rsidP="00C41DC2">
      <w:pPr>
        <w:rPr>
          <w:color w:val="414042" w:themeColor="text1"/>
        </w:rPr>
      </w:pPr>
      <w:r w:rsidRPr="00DF3006">
        <w:rPr>
          <w:color w:val="414042" w:themeColor="text1"/>
        </w:rPr>
        <w:t>We have installed custom artwork throughout our workplace as a constant reminder and acknowledgement of our ongoing work to respect First Nations peoples.</w:t>
      </w:r>
    </w:p>
    <w:p w14:paraId="3210A50B" w14:textId="77777777" w:rsidR="00564647" w:rsidRPr="00DF3006" w:rsidRDefault="00564647">
      <w:pPr>
        <w:spacing w:before="120" w:after="0" w:line="260" w:lineRule="exact"/>
        <w:rPr>
          <w:color w:val="414042" w:themeColor="text1"/>
        </w:rPr>
      </w:pPr>
      <w:r w:rsidRPr="00DF3006">
        <w:rPr>
          <w:color w:val="414042" w:themeColor="text1"/>
        </w:rPr>
        <w:br w:type="page"/>
      </w:r>
    </w:p>
    <w:p w14:paraId="1AA18D74" w14:textId="03B64C4C" w:rsidR="00561686" w:rsidRPr="00DF3006" w:rsidRDefault="00561686" w:rsidP="00463FBB">
      <w:pPr>
        <w:pStyle w:val="Heading4"/>
      </w:pPr>
      <w:r w:rsidRPr="00DF3006">
        <w:lastRenderedPageBreak/>
        <w:t xml:space="preserve">Respecting, promoting and protecting human </w:t>
      </w:r>
      <w:proofErr w:type="gramStart"/>
      <w:r w:rsidRPr="00DF3006">
        <w:t>rights</w:t>
      </w:r>
      <w:proofErr w:type="gramEnd"/>
    </w:p>
    <w:p w14:paraId="42BC670B" w14:textId="77777777" w:rsidR="00561686" w:rsidRPr="00DF3006" w:rsidRDefault="00561686" w:rsidP="00561686">
      <w:pPr>
        <w:rPr>
          <w:color w:val="414042" w:themeColor="text1"/>
        </w:rPr>
      </w:pPr>
      <w:r w:rsidRPr="00DF3006">
        <w:rPr>
          <w:color w:val="414042" w:themeColor="text1"/>
        </w:rPr>
        <w:t xml:space="preserve">In January 2020, the </w:t>
      </w:r>
      <w:r w:rsidRPr="00DF3006">
        <w:rPr>
          <w:i/>
          <w:iCs/>
          <w:color w:val="414042" w:themeColor="text1"/>
        </w:rPr>
        <w:t>Human Rights Act 2019</w:t>
      </w:r>
      <w:r w:rsidRPr="00DF3006">
        <w:rPr>
          <w:color w:val="414042" w:themeColor="text1"/>
        </w:rPr>
        <w:t xml:space="preserve"> (Qld) came into full effect. Since then, we have taken steps to ensure our actions and decisions comply with the requirements of the Act, including the 23 human rights.</w:t>
      </w:r>
    </w:p>
    <w:p w14:paraId="21F4822D" w14:textId="63B31198" w:rsidR="006F3054" w:rsidRPr="00DF3006" w:rsidRDefault="00B75812" w:rsidP="006F3054">
      <w:pPr>
        <w:rPr>
          <w:color w:val="414042" w:themeColor="text1"/>
        </w:rPr>
      </w:pPr>
      <w:bookmarkStart w:id="1425" w:name="_Hlk141812411"/>
      <w:r w:rsidRPr="00DF3006">
        <w:rPr>
          <w:color w:val="414042" w:themeColor="text1"/>
        </w:rPr>
        <w:t>In 2022</w:t>
      </w:r>
      <w:r w:rsidR="0013317A" w:rsidRPr="00DF3006">
        <w:rPr>
          <w:color w:val="414042" w:themeColor="text1"/>
        </w:rPr>
        <w:t>–</w:t>
      </w:r>
      <w:r w:rsidRPr="00DF3006">
        <w:rPr>
          <w:color w:val="414042" w:themeColor="text1"/>
        </w:rPr>
        <w:t>23, two human rights complaints were notified to the CCC, both by witnesses to CCC investigations. Each complaint contended that the requirement that they participate in the investigation was incompatible with their human rights. The first complaint has since been resolved. The second matter is proceeding through the courts as the human rights complaint was raised as part of other litigation.</w:t>
      </w:r>
    </w:p>
    <w:bookmarkEnd w:id="1425"/>
    <w:p w14:paraId="6D45C548" w14:textId="4B142A67" w:rsidR="00561686" w:rsidRPr="00DF3006" w:rsidRDefault="00714C08" w:rsidP="00561686">
      <w:pPr>
        <w:rPr>
          <w:color w:val="414042" w:themeColor="text1"/>
        </w:rPr>
      </w:pPr>
      <w:r w:rsidRPr="00DF3006">
        <w:rPr>
          <w:color w:val="414042" w:themeColor="text1"/>
        </w:rPr>
        <w:t>Throughout the reporting period, w</w:t>
      </w:r>
      <w:r w:rsidR="00561686" w:rsidRPr="00DF3006">
        <w:rPr>
          <w:color w:val="414042" w:themeColor="text1"/>
        </w:rPr>
        <w:t xml:space="preserve">e </w:t>
      </w:r>
      <w:r w:rsidR="00F62CBB" w:rsidRPr="00DF3006">
        <w:rPr>
          <w:color w:val="414042" w:themeColor="text1"/>
        </w:rPr>
        <w:t xml:space="preserve">continued to </w:t>
      </w:r>
      <w:r w:rsidR="00561686" w:rsidRPr="00DF3006">
        <w:rPr>
          <w:color w:val="414042" w:themeColor="text1"/>
        </w:rPr>
        <w:t>demonstrate our ongoing commitment to human rights by:</w:t>
      </w:r>
    </w:p>
    <w:p w14:paraId="28AE56CA" w14:textId="252814C0" w:rsidR="00561686" w:rsidRPr="00DF3006" w:rsidRDefault="00561686">
      <w:pPr>
        <w:pStyle w:val="Bullets"/>
        <w:rPr>
          <w:color w:val="414042" w:themeColor="text1"/>
        </w:rPr>
      </w:pPr>
      <w:r w:rsidRPr="00DF3006">
        <w:rPr>
          <w:color w:val="414042" w:themeColor="text1"/>
        </w:rPr>
        <w:t xml:space="preserve">continuing our regular human rights training to ensure our people </w:t>
      </w:r>
      <w:r w:rsidR="00F62CBB" w:rsidRPr="00DF3006">
        <w:rPr>
          <w:color w:val="414042" w:themeColor="text1"/>
        </w:rPr>
        <w:t>remain</w:t>
      </w:r>
      <w:r w:rsidRPr="00DF3006">
        <w:rPr>
          <w:color w:val="414042" w:themeColor="text1"/>
        </w:rPr>
        <w:t xml:space="preserve"> aware of their obligations under the </w:t>
      </w:r>
      <w:r w:rsidRPr="00DF3006">
        <w:rPr>
          <w:i/>
          <w:iCs/>
          <w:color w:val="414042" w:themeColor="text1"/>
        </w:rPr>
        <w:t>Human Rights Act 2019</w:t>
      </w:r>
    </w:p>
    <w:p w14:paraId="43445222" w14:textId="77777777" w:rsidR="00561686" w:rsidRPr="00DF3006" w:rsidRDefault="00561686">
      <w:pPr>
        <w:pStyle w:val="Bullets"/>
        <w:rPr>
          <w:color w:val="414042" w:themeColor="text1"/>
        </w:rPr>
      </w:pPr>
      <w:r w:rsidRPr="00DF3006">
        <w:rPr>
          <w:color w:val="414042" w:themeColor="text1"/>
        </w:rPr>
        <w:t>considering human rights in our strategic and operational planning activities</w:t>
      </w:r>
    </w:p>
    <w:p w14:paraId="2F0FB885" w14:textId="5168FC02" w:rsidR="00561686" w:rsidRPr="00DF3006" w:rsidRDefault="00561686">
      <w:pPr>
        <w:pStyle w:val="Bullets"/>
        <w:rPr>
          <w:color w:val="414042" w:themeColor="text1"/>
        </w:rPr>
      </w:pPr>
      <w:r w:rsidRPr="00DF3006">
        <w:rPr>
          <w:color w:val="414042" w:themeColor="text1"/>
        </w:rPr>
        <w:t xml:space="preserve">reflecting our commitment within our </w:t>
      </w:r>
      <w:r w:rsidRPr="00DF3006">
        <w:rPr>
          <w:i/>
          <w:iCs/>
          <w:color w:val="414042" w:themeColor="text1"/>
        </w:rPr>
        <w:t>Strategic Plan</w:t>
      </w:r>
      <w:r w:rsidR="00A83557" w:rsidRPr="00DF3006">
        <w:rPr>
          <w:i/>
          <w:iCs/>
          <w:color w:val="414042" w:themeColor="text1"/>
        </w:rPr>
        <w:t xml:space="preserve"> </w:t>
      </w:r>
      <w:r w:rsidR="00A83557" w:rsidRPr="00DF3006">
        <w:rPr>
          <w:i/>
          <w:iCs/>
          <w:color w:val="414042" w:themeColor="text1"/>
          <w:u w:color="BCBEC0" w:themeColor="accent5"/>
        </w:rPr>
        <w:t>2022–26</w:t>
      </w:r>
    </w:p>
    <w:p w14:paraId="09269BD0" w14:textId="77777777" w:rsidR="00561686" w:rsidRPr="00DF3006" w:rsidRDefault="00561686">
      <w:pPr>
        <w:pStyle w:val="Bullets"/>
        <w:rPr>
          <w:color w:val="414042" w:themeColor="text1"/>
        </w:rPr>
      </w:pPr>
      <w:r w:rsidRPr="00DF3006">
        <w:rPr>
          <w:color w:val="414042" w:themeColor="text1"/>
        </w:rPr>
        <w:t xml:space="preserve">incorporating human rights considerations into our processes for handling complaints, making </w:t>
      </w:r>
      <w:proofErr w:type="gramStart"/>
      <w:r w:rsidRPr="00DF3006">
        <w:rPr>
          <w:color w:val="414042" w:themeColor="text1"/>
        </w:rPr>
        <w:t>decisions</w:t>
      </w:r>
      <w:proofErr w:type="gramEnd"/>
      <w:r w:rsidRPr="00DF3006">
        <w:rPr>
          <w:color w:val="414042" w:themeColor="text1"/>
        </w:rPr>
        <w:t xml:space="preserve"> and developing, amending or rescinding policies and procedures, and</w:t>
      </w:r>
    </w:p>
    <w:p w14:paraId="293437B5" w14:textId="192440E5" w:rsidR="00561686" w:rsidRPr="00DF3006" w:rsidRDefault="00561686">
      <w:pPr>
        <w:pStyle w:val="Bullets"/>
        <w:rPr>
          <w:color w:val="414042" w:themeColor="text1"/>
        </w:rPr>
      </w:pPr>
      <w:r w:rsidRPr="00DF3006">
        <w:rPr>
          <w:color w:val="414042" w:themeColor="text1"/>
        </w:rPr>
        <w:t xml:space="preserve">providing resources and guidance material that support our </w:t>
      </w:r>
      <w:r w:rsidR="00A83557" w:rsidRPr="00DF3006">
        <w:rPr>
          <w:i/>
          <w:iCs/>
          <w:color w:val="414042" w:themeColor="text1"/>
        </w:rPr>
        <w:t>Human Rights Policy and Procedure</w:t>
      </w:r>
      <w:r w:rsidRPr="00DF3006">
        <w:rPr>
          <w:color w:val="414042" w:themeColor="text1"/>
        </w:rPr>
        <w:t>.</w:t>
      </w:r>
    </w:p>
    <w:p w14:paraId="5349D69F" w14:textId="00A47C86" w:rsidR="00561686" w:rsidRPr="00DF3006" w:rsidRDefault="00561686" w:rsidP="00561686">
      <w:pPr>
        <w:rPr>
          <w:color w:val="414042" w:themeColor="text1"/>
        </w:rPr>
      </w:pPr>
      <w:r w:rsidRPr="00DF3006">
        <w:rPr>
          <w:color w:val="414042" w:themeColor="text1"/>
        </w:rPr>
        <w:t xml:space="preserve">We </w:t>
      </w:r>
      <w:r w:rsidR="009D683C" w:rsidRPr="00DF3006">
        <w:rPr>
          <w:color w:val="414042" w:themeColor="text1"/>
        </w:rPr>
        <w:t xml:space="preserve">continued to </w:t>
      </w:r>
      <w:r w:rsidRPr="00DF3006">
        <w:rPr>
          <w:color w:val="414042" w:themeColor="text1"/>
        </w:rPr>
        <w:t xml:space="preserve">ensure </w:t>
      </w:r>
      <w:r w:rsidR="009D683C" w:rsidRPr="00DF3006">
        <w:rPr>
          <w:color w:val="414042" w:themeColor="text1"/>
        </w:rPr>
        <w:t xml:space="preserve">that </w:t>
      </w:r>
      <w:r w:rsidRPr="00DF3006">
        <w:rPr>
          <w:color w:val="414042" w:themeColor="text1"/>
        </w:rPr>
        <w:t>our acts and decisions d</w:t>
      </w:r>
      <w:r w:rsidR="009D683C" w:rsidRPr="00DF3006">
        <w:rPr>
          <w:color w:val="414042" w:themeColor="text1"/>
        </w:rPr>
        <w:t>id</w:t>
      </w:r>
      <w:r w:rsidRPr="00DF3006">
        <w:rPr>
          <w:color w:val="414042" w:themeColor="text1"/>
        </w:rPr>
        <w:t xml:space="preserve"> not limit human rights, or limit human rights only to the extent that </w:t>
      </w:r>
      <w:r w:rsidR="009D683C" w:rsidRPr="00DF3006">
        <w:rPr>
          <w:color w:val="414042" w:themeColor="text1"/>
        </w:rPr>
        <w:t>wa</w:t>
      </w:r>
      <w:r w:rsidRPr="00DF3006">
        <w:rPr>
          <w:color w:val="414042" w:themeColor="text1"/>
        </w:rPr>
        <w:t>s reasonable and demonstrably</w:t>
      </w:r>
      <w:r w:rsidR="009D683C" w:rsidRPr="00DF3006">
        <w:rPr>
          <w:color w:val="414042" w:themeColor="text1"/>
        </w:rPr>
        <w:t xml:space="preserve"> </w:t>
      </w:r>
      <w:r w:rsidRPr="00DF3006">
        <w:rPr>
          <w:color w:val="414042" w:themeColor="text1"/>
        </w:rPr>
        <w:t xml:space="preserve">justifiable, in accordance with section 13 of the </w:t>
      </w:r>
      <w:r w:rsidRPr="00DF3006">
        <w:rPr>
          <w:i/>
          <w:iCs/>
          <w:color w:val="414042" w:themeColor="text1"/>
        </w:rPr>
        <w:t>Human Rights Act 2019</w:t>
      </w:r>
      <w:r w:rsidRPr="00DF3006">
        <w:rPr>
          <w:color w:val="414042" w:themeColor="text1"/>
        </w:rPr>
        <w:t>, for example:</w:t>
      </w:r>
    </w:p>
    <w:p w14:paraId="52BB709F" w14:textId="77777777" w:rsidR="00561686" w:rsidRPr="00DF3006" w:rsidRDefault="00561686">
      <w:pPr>
        <w:pStyle w:val="Bullets"/>
        <w:rPr>
          <w:color w:val="414042" w:themeColor="text1"/>
        </w:rPr>
      </w:pPr>
      <w:r w:rsidRPr="00DF3006">
        <w:rPr>
          <w:color w:val="414042" w:themeColor="text1"/>
        </w:rPr>
        <w:t xml:space="preserve">decisions about the use of coercive powers and acting under coercive </w:t>
      </w:r>
      <w:proofErr w:type="gramStart"/>
      <w:r w:rsidRPr="00DF3006">
        <w:rPr>
          <w:color w:val="414042" w:themeColor="text1"/>
        </w:rPr>
        <w:t>powers</w:t>
      </w:r>
      <w:proofErr w:type="gramEnd"/>
    </w:p>
    <w:p w14:paraId="7BDC5BF3" w14:textId="77777777" w:rsidR="00561686" w:rsidRPr="00DF3006" w:rsidRDefault="00561686">
      <w:pPr>
        <w:pStyle w:val="Bullets"/>
        <w:rPr>
          <w:color w:val="414042" w:themeColor="text1"/>
        </w:rPr>
      </w:pPr>
      <w:r w:rsidRPr="00DF3006">
        <w:rPr>
          <w:color w:val="414042" w:themeColor="text1"/>
        </w:rPr>
        <w:t>decisions and actions in relation to corruption complaints and police misconduct complaints</w:t>
      </w:r>
    </w:p>
    <w:p w14:paraId="4FC07176" w14:textId="51492F8A" w:rsidR="00561686" w:rsidRPr="00DF3006" w:rsidRDefault="00561686">
      <w:pPr>
        <w:pStyle w:val="Bullets"/>
        <w:rPr>
          <w:color w:val="414042" w:themeColor="text1"/>
        </w:rPr>
      </w:pPr>
      <w:r w:rsidRPr="00DF3006">
        <w:rPr>
          <w:color w:val="414042" w:themeColor="text1"/>
        </w:rPr>
        <w:t>decisions and actions in relation to crime investigations and confiscation-related investigations</w:t>
      </w:r>
      <w:r w:rsidR="00426E82" w:rsidRPr="00DF3006">
        <w:rPr>
          <w:color w:val="414042" w:themeColor="text1"/>
        </w:rPr>
        <w:t>,</w:t>
      </w:r>
      <w:r w:rsidRPr="00DF3006">
        <w:rPr>
          <w:color w:val="414042" w:themeColor="text1"/>
        </w:rPr>
        <w:t xml:space="preserve"> and</w:t>
      </w:r>
    </w:p>
    <w:p w14:paraId="24CDA332" w14:textId="4DCE77E0" w:rsidR="00561686" w:rsidRPr="00DF3006" w:rsidRDefault="00561686">
      <w:pPr>
        <w:pStyle w:val="Bullets"/>
        <w:rPr>
          <w:color w:val="414042" w:themeColor="text1"/>
        </w:rPr>
      </w:pPr>
      <w:r w:rsidRPr="00DF3006">
        <w:rPr>
          <w:color w:val="414042" w:themeColor="text1"/>
        </w:rPr>
        <w:t xml:space="preserve">developing, </w:t>
      </w:r>
      <w:proofErr w:type="gramStart"/>
      <w:r w:rsidRPr="00DF3006">
        <w:rPr>
          <w:color w:val="414042" w:themeColor="text1"/>
        </w:rPr>
        <w:t>amending</w:t>
      </w:r>
      <w:proofErr w:type="gramEnd"/>
      <w:r w:rsidRPr="00DF3006">
        <w:rPr>
          <w:color w:val="414042" w:themeColor="text1"/>
        </w:rPr>
        <w:t xml:space="preserve"> </w:t>
      </w:r>
      <w:r w:rsidR="00426E82" w:rsidRPr="00DF3006">
        <w:rPr>
          <w:color w:val="414042" w:themeColor="text1"/>
        </w:rPr>
        <w:t>and</w:t>
      </w:r>
      <w:r w:rsidRPr="00DF3006">
        <w:rPr>
          <w:color w:val="414042" w:themeColor="text1"/>
        </w:rPr>
        <w:t xml:space="preserve"> rescinding policies and procedures.</w:t>
      </w:r>
    </w:p>
    <w:p w14:paraId="7FFA7B25" w14:textId="39370E5E" w:rsidR="00561686" w:rsidRPr="00DF3006" w:rsidRDefault="000B43D8" w:rsidP="00463FBB">
      <w:pPr>
        <w:pStyle w:val="Heading4"/>
      </w:pPr>
      <w:bookmarkStart w:id="1426" w:name="_Toc102038016"/>
      <w:bookmarkStart w:id="1427" w:name="_Toc102038377"/>
      <w:bookmarkStart w:id="1428" w:name="_Toc102038738"/>
      <w:bookmarkStart w:id="1429" w:name="_Toc102039090"/>
      <w:bookmarkStart w:id="1430" w:name="_Toc102039439"/>
      <w:bookmarkStart w:id="1431" w:name="_Toc102039801"/>
      <w:bookmarkStart w:id="1432" w:name="_Toc102040158"/>
      <w:bookmarkStart w:id="1433" w:name="_Toc102040486"/>
      <w:bookmarkStart w:id="1434" w:name="_Toc102040820"/>
      <w:bookmarkStart w:id="1435" w:name="_Toc102041148"/>
      <w:bookmarkStart w:id="1436" w:name="_Toc102041477"/>
      <w:bookmarkStart w:id="1437" w:name="_Toc102041809"/>
      <w:bookmarkStart w:id="1438" w:name="_Toc102042136"/>
      <w:bookmarkStart w:id="1439" w:name="_Toc102042466"/>
      <w:bookmarkStart w:id="1440" w:name="_Toc102045596"/>
      <w:bookmarkStart w:id="1441" w:name="_Hlk74305195"/>
      <w:r w:rsidRPr="00DF3006">
        <w:br w:type="column"/>
      </w:r>
      <w:r w:rsidR="00561686" w:rsidRPr="00DF3006">
        <w:t>Focusing on wellbeing</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47532D4E" w14:textId="45C43A0A" w:rsidR="00561686" w:rsidRPr="00DF3006" w:rsidRDefault="00561686" w:rsidP="00561686">
      <w:pPr>
        <w:rPr>
          <w:color w:val="414042" w:themeColor="text1"/>
        </w:rPr>
      </w:pPr>
      <w:bookmarkStart w:id="1442" w:name="_Toc102038017"/>
      <w:bookmarkStart w:id="1443" w:name="_Toc102038378"/>
      <w:bookmarkStart w:id="1444" w:name="_Toc102038739"/>
      <w:bookmarkStart w:id="1445" w:name="_Toc102039091"/>
      <w:bookmarkStart w:id="1446" w:name="_Toc102039440"/>
      <w:bookmarkStart w:id="1447" w:name="_Toc102039802"/>
      <w:bookmarkStart w:id="1448" w:name="_Toc102040159"/>
      <w:bookmarkStart w:id="1449" w:name="_Toc102040487"/>
      <w:bookmarkStart w:id="1450" w:name="_Toc102040821"/>
      <w:bookmarkStart w:id="1451" w:name="_Toc102041149"/>
      <w:bookmarkStart w:id="1452" w:name="_Toc102041478"/>
      <w:bookmarkStart w:id="1453" w:name="_Toc102041810"/>
      <w:bookmarkStart w:id="1454" w:name="_Toc102042137"/>
      <w:bookmarkStart w:id="1455" w:name="_Toc102042467"/>
      <w:bookmarkStart w:id="1456" w:name="_Toc102045597"/>
      <w:bookmarkStart w:id="1457" w:name="_Hlk79497901"/>
      <w:r w:rsidRPr="00DF3006">
        <w:rPr>
          <w:color w:val="414042" w:themeColor="text1"/>
        </w:rPr>
        <w:t xml:space="preserve">The ongoing safety, stability and security of our work environment is important to support our people in the challenging work that we do. We remain focused on enhancing the wellbeing of our people and ensuring they are happy, </w:t>
      </w:r>
      <w:proofErr w:type="gramStart"/>
      <w:r w:rsidRPr="00DF3006">
        <w:rPr>
          <w:color w:val="414042" w:themeColor="text1"/>
        </w:rPr>
        <w:t>productive</w:t>
      </w:r>
      <w:proofErr w:type="gramEnd"/>
      <w:r w:rsidRPr="00DF3006">
        <w:rPr>
          <w:color w:val="414042" w:themeColor="text1"/>
        </w:rPr>
        <w:t xml:space="preserve"> and motivated at work.</w:t>
      </w:r>
    </w:p>
    <w:p w14:paraId="5CFDF4B5" w14:textId="4B0ABFA8" w:rsidR="00561686" w:rsidRPr="00DF3006" w:rsidRDefault="00F62CBB" w:rsidP="00561686">
      <w:pPr>
        <w:rPr>
          <w:color w:val="414042" w:themeColor="text1"/>
        </w:rPr>
      </w:pPr>
      <w:r w:rsidRPr="00DF3006">
        <w:rPr>
          <w:color w:val="414042" w:themeColor="text1"/>
        </w:rPr>
        <w:t>Our</w:t>
      </w:r>
      <w:r w:rsidR="00561686" w:rsidRPr="00DF3006">
        <w:rPr>
          <w:color w:val="414042" w:themeColor="text1"/>
        </w:rPr>
        <w:t xml:space="preserve"> </w:t>
      </w:r>
      <w:r w:rsidR="00561686" w:rsidRPr="00DF3006">
        <w:rPr>
          <w:i/>
          <w:iCs/>
          <w:color w:val="414042" w:themeColor="text1"/>
        </w:rPr>
        <w:t>Wellbeing Plan 2022–23</w:t>
      </w:r>
      <w:r w:rsidRPr="00DF3006">
        <w:rPr>
          <w:color w:val="414042" w:themeColor="text1"/>
        </w:rPr>
        <w:t xml:space="preserve"> aimed to </w:t>
      </w:r>
      <w:r w:rsidR="00561686" w:rsidRPr="00DF3006">
        <w:rPr>
          <w:color w:val="414042" w:themeColor="text1"/>
        </w:rPr>
        <w:t xml:space="preserve">ensure </w:t>
      </w:r>
      <w:r w:rsidRPr="00DF3006">
        <w:rPr>
          <w:color w:val="414042" w:themeColor="text1"/>
        </w:rPr>
        <w:t xml:space="preserve">that the CCC would have </w:t>
      </w:r>
      <w:r w:rsidR="00561686" w:rsidRPr="00DF3006">
        <w:rPr>
          <w:color w:val="414042" w:themeColor="text1"/>
        </w:rPr>
        <w:t>the right level of support to meet the needs of our people when and how they need</w:t>
      </w:r>
      <w:r w:rsidRPr="00DF3006">
        <w:rPr>
          <w:color w:val="414042" w:themeColor="text1"/>
        </w:rPr>
        <w:t>ed</w:t>
      </w:r>
      <w:r w:rsidR="00561686" w:rsidRPr="00DF3006">
        <w:rPr>
          <w:color w:val="414042" w:themeColor="text1"/>
        </w:rPr>
        <w:t xml:space="preserve"> it. The plan promote</w:t>
      </w:r>
      <w:r w:rsidRPr="00DF3006">
        <w:rPr>
          <w:color w:val="414042" w:themeColor="text1"/>
        </w:rPr>
        <w:t>d</w:t>
      </w:r>
      <w:r w:rsidR="00561686" w:rsidRPr="00DF3006">
        <w:rPr>
          <w:color w:val="414042" w:themeColor="text1"/>
        </w:rPr>
        <w:t xml:space="preserve"> a range of solutions for professional, peer-to-peer, and resource support, and </w:t>
      </w:r>
      <w:r w:rsidRPr="00DF3006">
        <w:rPr>
          <w:color w:val="414042" w:themeColor="text1"/>
        </w:rPr>
        <w:t>was</w:t>
      </w:r>
      <w:r w:rsidR="00561686" w:rsidRPr="00DF3006">
        <w:rPr>
          <w:color w:val="414042" w:themeColor="text1"/>
        </w:rPr>
        <w:t xml:space="preserve"> delivered by Human Resources and </w:t>
      </w:r>
      <w:r w:rsidRPr="00DF3006">
        <w:rPr>
          <w:color w:val="414042" w:themeColor="text1"/>
        </w:rPr>
        <w:t>our</w:t>
      </w:r>
      <w:r w:rsidR="00561686" w:rsidRPr="00DF3006">
        <w:rPr>
          <w:color w:val="414042" w:themeColor="text1"/>
        </w:rPr>
        <w:t xml:space="preserve"> Wellbeing Group.</w:t>
      </w:r>
    </w:p>
    <w:p w14:paraId="15A1A8C3" w14:textId="2793F737" w:rsidR="00561686" w:rsidRPr="00DF3006" w:rsidRDefault="00561686" w:rsidP="00561686">
      <w:pPr>
        <w:rPr>
          <w:color w:val="414042" w:themeColor="text1"/>
        </w:rPr>
      </w:pPr>
      <w:bookmarkStart w:id="1458" w:name="_Hlk143512555"/>
      <w:r w:rsidRPr="00DF3006">
        <w:rPr>
          <w:color w:val="414042" w:themeColor="text1"/>
        </w:rPr>
        <w:t>We continue</w:t>
      </w:r>
      <w:r w:rsidR="00F62CBB" w:rsidRPr="00DF3006">
        <w:rPr>
          <w:color w:val="414042" w:themeColor="text1"/>
        </w:rPr>
        <w:t xml:space="preserve">d to </w:t>
      </w:r>
      <w:r w:rsidRPr="00DF3006">
        <w:rPr>
          <w:color w:val="414042" w:themeColor="text1"/>
        </w:rPr>
        <w:t>focus on mental health as an integral part of people’s wellbeing. Through</w:t>
      </w:r>
      <w:r w:rsidR="00F62CBB" w:rsidRPr="00DF3006">
        <w:rPr>
          <w:color w:val="414042" w:themeColor="text1"/>
        </w:rPr>
        <w:t xml:space="preserve"> an </w:t>
      </w:r>
      <w:r w:rsidRPr="00DF3006">
        <w:rPr>
          <w:color w:val="414042" w:themeColor="text1"/>
        </w:rPr>
        <w:t>internal program</w:t>
      </w:r>
      <w:r w:rsidR="00F62CBB" w:rsidRPr="00DF3006">
        <w:rPr>
          <w:color w:val="414042" w:themeColor="text1"/>
        </w:rPr>
        <w:t>,</w:t>
      </w:r>
      <w:r w:rsidRPr="00DF3006">
        <w:rPr>
          <w:color w:val="414042" w:themeColor="text1"/>
        </w:rPr>
        <w:t xml:space="preserve"> we trained 133 officers in Mental Health First Aid (</w:t>
      </w:r>
      <w:proofErr w:type="spellStart"/>
      <w:r w:rsidRPr="00DF3006">
        <w:rPr>
          <w:color w:val="414042" w:themeColor="text1"/>
        </w:rPr>
        <w:t>M</w:t>
      </w:r>
      <w:r w:rsidR="00BA05C1" w:rsidRPr="00DF3006">
        <w:rPr>
          <w:color w:val="414042" w:themeColor="text1"/>
        </w:rPr>
        <w:t>H</w:t>
      </w:r>
      <w:r w:rsidRPr="00DF3006">
        <w:rPr>
          <w:color w:val="414042" w:themeColor="text1"/>
        </w:rPr>
        <w:t>FA</w:t>
      </w:r>
      <w:proofErr w:type="spellEnd"/>
      <w:r w:rsidRPr="00DF3006">
        <w:rPr>
          <w:color w:val="414042" w:themeColor="text1"/>
        </w:rPr>
        <w:t>), 7</w:t>
      </w:r>
      <w:r w:rsidR="00F42313" w:rsidRPr="00DF3006">
        <w:rPr>
          <w:color w:val="414042" w:themeColor="text1"/>
        </w:rPr>
        <w:t>6</w:t>
      </w:r>
      <w:r w:rsidRPr="00DF3006">
        <w:rPr>
          <w:color w:val="414042" w:themeColor="text1"/>
        </w:rPr>
        <w:t xml:space="preserve"> of which </w:t>
      </w:r>
      <w:r w:rsidR="00F62CBB" w:rsidRPr="00DF3006">
        <w:rPr>
          <w:color w:val="414042" w:themeColor="text1"/>
        </w:rPr>
        <w:t xml:space="preserve">were </w:t>
      </w:r>
      <w:r w:rsidRPr="00DF3006">
        <w:rPr>
          <w:color w:val="414042" w:themeColor="text1"/>
        </w:rPr>
        <w:t xml:space="preserve">also accredited to conduct </w:t>
      </w:r>
      <w:proofErr w:type="spellStart"/>
      <w:r w:rsidRPr="00DF3006">
        <w:rPr>
          <w:color w:val="414042" w:themeColor="text1"/>
        </w:rPr>
        <w:t>MHFA</w:t>
      </w:r>
      <w:proofErr w:type="spellEnd"/>
      <w:r w:rsidRPr="00DF3006">
        <w:rPr>
          <w:color w:val="414042" w:themeColor="text1"/>
        </w:rPr>
        <w:t xml:space="preserve"> assessments.</w:t>
      </w:r>
    </w:p>
    <w:bookmarkEnd w:id="1458"/>
    <w:p w14:paraId="75D3EE9E" w14:textId="00B73D11" w:rsidR="00561686" w:rsidRPr="00DF3006" w:rsidRDefault="00F62CBB" w:rsidP="00561686">
      <w:pPr>
        <w:rPr>
          <w:color w:val="414042" w:themeColor="text1"/>
        </w:rPr>
      </w:pPr>
      <w:r w:rsidRPr="00DF3006">
        <w:rPr>
          <w:color w:val="414042" w:themeColor="text1"/>
        </w:rPr>
        <w:t>We</w:t>
      </w:r>
      <w:r w:rsidR="00561686" w:rsidRPr="00DF3006">
        <w:rPr>
          <w:color w:val="414042" w:themeColor="text1"/>
        </w:rPr>
        <w:t xml:space="preserve"> </w:t>
      </w:r>
      <w:r w:rsidR="00426E82" w:rsidRPr="00DF3006">
        <w:rPr>
          <w:color w:val="414042" w:themeColor="text1"/>
        </w:rPr>
        <w:t xml:space="preserve">continued </w:t>
      </w:r>
      <w:r w:rsidR="009D683C" w:rsidRPr="00DF3006">
        <w:rPr>
          <w:color w:val="414042" w:themeColor="text1"/>
        </w:rPr>
        <w:t xml:space="preserve">to partner </w:t>
      </w:r>
      <w:r w:rsidR="00561686" w:rsidRPr="00DF3006">
        <w:rPr>
          <w:color w:val="414042" w:themeColor="text1"/>
        </w:rPr>
        <w:t>with Converge International to provide an Employee Assistance Program</w:t>
      </w:r>
      <w:r w:rsidRPr="00DF3006">
        <w:rPr>
          <w:color w:val="414042" w:themeColor="text1"/>
        </w:rPr>
        <w:t xml:space="preserve"> so that CC</w:t>
      </w:r>
      <w:r w:rsidR="00561686" w:rsidRPr="00DF3006">
        <w:rPr>
          <w:color w:val="414042" w:themeColor="text1"/>
        </w:rPr>
        <w:t>C officers, and their immediate family members, c</w:t>
      </w:r>
      <w:r w:rsidRPr="00DF3006">
        <w:rPr>
          <w:color w:val="414042" w:themeColor="text1"/>
        </w:rPr>
        <w:t xml:space="preserve">ould </w:t>
      </w:r>
      <w:r w:rsidR="00561686" w:rsidRPr="00DF3006">
        <w:rPr>
          <w:color w:val="414042" w:themeColor="text1"/>
        </w:rPr>
        <w:t xml:space="preserve">access wellbeing services </w:t>
      </w:r>
      <w:r w:rsidRPr="00DF3006">
        <w:rPr>
          <w:color w:val="414042" w:themeColor="text1"/>
        </w:rPr>
        <w:t>(</w:t>
      </w:r>
      <w:r w:rsidR="00561686" w:rsidRPr="00DF3006">
        <w:rPr>
          <w:color w:val="414042" w:themeColor="text1"/>
        </w:rPr>
        <w:t>including confidential personal coaching and counselling</w:t>
      </w:r>
      <w:r w:rsidRPr="00DF3006">
        <w:rPr>
          <w:color w:val="414042" w:themeColor="text1"/>
        </w:rPr>
        <w:t>)</w:t>
      </w:r>
      <w:r w:rsidR="00561686" w:rsidRPr="00DF3006">
        <w:rPr>
          <w:color w:val="414042" w:themeColor="text1"/>
        </w:rPr>
        <w:t>. We actively promote</w:t>
      </w:r>
      <w:r w:rsidRPr="00DF3006">
        <w:rPr>
          <w:color w:val="414042" w:themeColor="text1"/>
        </w:rPr>
        <w:t>d</w:t>
      </w:r>
      <w:r w:rsidR="00561686" w:rsidRPr="00DF3006">
        <w:rPr>
          <w:color w:val="414042" w:themeColor="text1"/>
        </w:rPr>
        <w:t xml:space="preserve"> these services through our induction program and published online materials.</w:t>
      </w:r>
    </w:p>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14:paraId="36C39C17" w14:textId="326D57AD" w:rsidR="001D15B1" w:rsidRPr="00DF3006" w:rsidRDefault="001D15B1" w:rsidP="001D15B1">
      <w:pPr>
        <w:rPr>
          <w:color w:val="414042" w:themeColor="text1"/>
        </w:rPr>
      </w:pPr>
      <w:r w:rsidRPr="00DF3006">
        <w:rPr>
          <w:color w:val="414042" w:themeColor="text1"/>
        </w:rPr>
        <w:t>We updated and continued to maintain a regular and proactive psychological assessment program for our officers deemed to be</w:t>
      </w:r>
      <w:r w:rsidR="00544BC3" w:rsidRPr="00DF3006">
        <w:rPr>
          <w:color w:val="414042" w:themeColor="text1"/>
        </w:rPr>
        <w:t xml:space="preserve"> </w:t>
      </w:r>
      <w:r w:rsidRPr="00DF3006">
        <w:rPr>
          <w:color w:val="414042" w:themeColor="text1"/>
        </w:rPr>
        <w:t>at higher risk of psychological injury because of the work they undertake.</w:t>
      </w:r>
    </w:p>
    <w:p w14:paraId="136E5892" w14:textId="320F0A25" w:rsidR="00381F9D" w:rsidRPr="00DF3006" w:rsidRDefault="001D15B1" w:rsidP="00381F9D">
      <w:pPr>
        <w:rPr>
          <w:color w:val="414042" w:themeColor="text1"/>
        </w:rPr>
      </w:pPr>
      <w:r w:rsidRPr="00DF3006">
        <w:rPr>
          <w:color w:val="414042" w:themeColor="text1"/>
        </w:rPr>
        <w:t>To further support our people’s wellbeing, we provide flexible work arrangements, including compressed working hours, accumulated hours, flexible start and finish times, and part-time/job-share arrangements. This year we revised our Flexible Working Arrangements Policy, providing access to arrangements to assist our people to establish work/life balance.</w:t>
      </w:r>
    </w:p>
    <w:p w14:paraId="49183FB7" w14:textId="40157D22" w:rsidR="00561686" w:rsidRPr="00DF3006" w:rsidRDefault="00561686" w:rsidP="00463FBB">
      <w:pPr>
        <w:pStyle w:val="Heading4"/>
      </w:pPr>
      <w:r w:rsidRPr="00DF3006">
        <w:t>Values and culture</w:t>
      </w:r>
    </w:p>
    <w:p w14:paraId="42512340" w14:textId="77777777" w:rsidR="00561686" w:rsidRPr="00DF3006" w:rsidRDefault="00561686" w:rsidP="00561686">
      <w:pPr>
        <w:rPr>
          <w:color w:val="414042" w:themeColor="text1"/>
        </w:rPr>
      </w:pPr>
      <w:r w:rsidRPr="00DF3006">
        <w:rPr>
          <w:color w:val="414042" w:themeColor="text1"/>
        </w:rPr>
        <w:t xml:space="preserve">Our Values and Culture Group (VCG), consisting of representatives from each of our business units, continues to lead initiatives to embed and support our organisational values of People, Accountability, Integrity, </w:t>
      </w:r>
      <w:proofErr w:type="gramStart"/>
      <w:r w:rsidRPr="00DF3006">
        <w:rPr>
          <w:color w:val="414042" w:themeColor="text1"/>
        </w:rPr>
        <w:t>Courage</w:t>
      </w:r>
      <w:proofErr w:type="gramEnd"/>
      <w:r w:rsidRPr="00DF3006">
        <w:rPr>
          <w:color w:val="414042" w:themeColor="text1"/>
        </w:rPr>
        <w:t xml:space="preserve"> and Excellence (</w:t>
      </w:r>
      <w:proofErr w:type="spellStart"/>
      <w:r w:rsidRPr="00DF3006">
        <w:rPr>
          <w:color w:val="414042" w:themeColor="text1"/>
        </w:rPr>
        <w:t>PAICE</w:t>
      </w:r>
      <w:proofErr w:type="spellEnd"/>
      <w:r w:rsidRPr="00DF3006">
        <w:rPr>
          <w:color w:val="414042" w:themeColor="text1"/>
        </w:rPr>
        <w:t>).</w:t>
      </w:r>
    </w:p>
    <w:p w14:paraId="3DC22AF0" w14:textId="77777777" w:rsidR="00561686" w:rsidRPr="00DF3006" w:rsidRDefault="00561686" w:rsidP="00561686">
      <w:pPr>
        <w:rPr>
          <w:color w:val="414042" w:themeColor="text1"/>
        </w:rPr>
      </w:pPr>
      <w:r w:rsidRPr="00DF3006">
        <w:rPr>
          <w:color w:val="414042" w:themeColor="text1"/>
        </w:rPr>
        <w:t xml:space="preserve">On 12 October 2022, our VCG coordinated the sixth annual </w:t>
      </w:r>
      <w:r w:rsidRPr="00DF3006">
        <w:rPr>
          <w:i/>
          <w:iCs/>
          <w:color w:val="414042" w:themeColor="text1"/>
        </w:rPr>
        <w:t>Team CCC Day</w:t>
      </w:r>
      <w:r w:rsidRPr="00DF3006">
        <w:rPr>
          <w:color w:val="414042" w:themeColor="text1"/>
        </w:rPr>
        <w:t xml:space="preserve"> — a day our people come together to participate in fun employee-led activities, strengthen workplace relationships and celebrate our value of ‘People’.</w:t>
      </w:r>
    </w:p>
    <w:p w14:paraId="15C5029B" w14:textId="77777777" w:rsidR="000B43D8" w:rsidRPr="00DF3006" w:rsidRDefault="000B43D8" w:rsidP="00561686">
      <w:pPr>
        <w:rPr>
          <w:color w:val="414042" w:themeColor="text1"/>
        </w:rPr>
      </w:pPr>
      <w:r w:rsidRPr="00DF3006">
        <w:rPr>
          <w:color w:val="414042" w:themeColor="text1"/>
        </w:rPr>
        <w:br w:type="page"/>
      </w:r>
    </w:p>
    <w:p w14:paraId="5CF6071D" w14:textId="37119238" w:rsidR="00561686" w:rsidRPr="00DF3006" w:rsidRDefault="00561686" w:rsidP="00561686">
      <w:pPr>
        <w:rPr>
          <w:color w:val="414042" w:themeColor="text1"/>
        </w:rPr>
      </w:pPr>
      <w:r w:rsidRPr="00DF3006">
        <w:rPr>
          <w:color w:val="414042" w:themeColor="text1"/>
        </w:rPr>
        <w:lastRenderedPageBreak/>
        <w:t xml:space="preserve">The VCG also hosts our annual 1CCC </w:t>
      </w:r>
      <w:proofErr w:type="spellStart"/>
      <w:r w:rsidRPr="00DF3006">
        <w:rPr>
          <w:color w:val="414042" w:themeColor="text1"/>
        </w:rPr>
        <w:t>PAICE</w:t>
      </w:r>
      <w:proofErr w:type="spellEnd"/>
      <w:r w:rsidRPr="00DF3006">
        <w:rPr>
          <w:color w:val="414042" w:themeColor="text1"/>
        </w:rPr>
        <w:t xml:space="preserve"> Awards ceremony. The 1CCC </w:t>
      </w:r>
      <w:proofErr w:type="spellStart"/>
      <w:r w:rsidRPr="00DF3006">
        <w:rPr>
          <w:color w:val="414042" w:themeColor="text1"/>
        </w:rPr>
        <w:t>PAICE</w:t>
      </w:r>
      <w:proofErr w:type="spellEnd"/>
      <w:r w:rsidRPr="00DF3006">
        <w:rPr>
          <w:color w:val="414042" w:themeColor="text1"/>
        </w:rPr>
        <w:t xml:space="preserve"> Awards provide an opportunity to recognise and celebrate our staff for displaying our CCC values in action. We also recognise staff contribution to reconciliation at this annual event.</w:t>
      </w:r>
    </w:p>
    <w:p w14:paraId="5692E3C1" w14:textId="79FE84FE" w:rsidR="00561686" w:rsidRPr="00DF3006" w:rsidRDefault="00561686" w:rsidP="00561686">
      <w:pPr>
        <w:rPr>
          <w:color w:val="414042" w:themeColor="text1"/>
        </w:rPr>
      </w:pPr>
      <w:r w:rsidRPr="00DF3006">
        <w:rPr>
          <w:color w:val="414042" w:themeColor="text1"/>
        </w:rPr>
        <w:t xml:space="preserve">In July 2023, we held the 1CCC </w:t>
      </w:r>
      <w:proofErr w:type="spellStart"/>
      <w:r w:rsidRPr="00DF3006">
        <w:rPr>
          <w:color w:val="414042" w:themeColor="text1"/>
        </w:rPr>
        <w:t>PAICE</w:t>
      </w:r>
      <w:proofErr w:type="spellEnd"/>
      <w:r w:rsidRPr="00DF3006">
        <w:rPr>
          <w:color w:val="414042" w:themeColor="text1"/>
        </w:rPr>
        <w:t xml:space="preserve"> Awards ceremony to recognise and celebrate staff who had been nominated by their peers via our online employee recognition tool during the </w:t>
      </w:r>
      <w:r w:rsidR="0073219A" w:rsidRPr="00DF3006">
        <w:rPr>
          <w:color w:val="414042" w:themeColor="text1"/>
        </w:rPr>
        <w:t>reporting period</w:t>
      </w:r>
      <w:r w:rsidRPr="00DF3006">
        <w:rPr>
          <w:color w:val="414042" w:themeColor="text1"/>
        </w:rPr>
        <w:t>.</w:t>
      </w:r>
      <w:r w:rsidR="0073219A" w:rsidRPr="00DF3006">
        <w:rPr>
          <w:color w:val="414042" w:themeColor="text1"/>
        </w:rPr>
        <w:t xml:space="preserve"> </w:t>
      </w:r>
      <w:r w:rsidR="006F3F52" w:rsidRPr="00DF3006">
        <w:rPr>
          <w:color w:val="414042" w:themeColor="text1"/>
        </w:rPr>
        <w:t xml:space="preserve">The </w:t>
      </w:r>
      <w:r w:rsidRPr="00DF3006">
        <w:rPr>
          <w:color w:val="414042" w:themeColor="text1"/>
        </w:rPr>
        <w:t xml:space="preserve">2022–23 </w:t>
      </w:r>
      <w:proofErr w:type="spellStart"/>
      <w:r w:rsidRPr="00DF3006">
        <w:rPr>
          <w:color w:val="414042" w:themeColor="text1"/>
        </w:rPr>
        <w:t>PAICE</w:t>
      </w:r>
      <w:proofErr w:type="spellEnd"/>
      <w:r w:rsidRPr="00DF3006">
        <w:rPr>
          <w:color w:val="414042" w:themeColor="text1"/>
        </w:rPr>
        <w:t xml:space="preserve"> Award winners</w:t>
      </w:r>
      <w:r w:rsidR="006F3F52" w:rsidRPr="00DF3006">
        <w:rPr>
          <w:color w:val="414042" w:themeColor="text1"/>
        </w:rPr>
        <w:t xml:space="preserve"> were</w:t>
      </w:r>
      <w:r w:rsidRPr="00DF3006">
        <w:rPr>
          <w:color w:val="414042" w:themeColor="text1"/>
        </w:rPr>
        <w:t>:</w:t>
      </w:r>
    </w:p>
    <w:p w14:paraId="1E32DA5D" w14:textId="28EE4C70" w:rsidR="00BB547A" w:rsidRPr="00DF3006" w:rsidRDefault="00BB547A" w:rsidP="00BB547A">
      <w:pPr>
        <w:pStyle w:val="Bullets"/>
        <w:rPr>
          <w:color w:val="414042" w:themeColor="text1"/>
        </w:rPr>
      </w:pPr>
      <w:r w:rsidRPr="00DF3006">
        <w:rPr>
          <w:b/>
          <w:bCs/>
          <w:color w:val="414042" w:themeColor="text1"/>
        </w:rPr>
        <w:t>People</w:t>
      </w:r>
      <w:r w:rsidRPr="00DF3006">
        <w:rPr>
          <w:color w:val="414042" w:themeColor="text1"/>
        </w:rPr>
        <w:t xml:space="preserve"> – Lauren Ferris (Information Services)</w:t>
      </w:r>
    </w:p>
    <w:p w14:paraId="4F08FAAF" w14:textId="196E6C66" w:rsidR="00BB547A" w:rsidRPr="00DF3006" w:rsidRDefault="00BB547A" w:rsidP="00BB547A">
      <w:pPr>
        <w:pStyle w:val="Bullets"/>
        <w:rPr>
          <w:color w:val="414042" w:themeColor="text1"/>
        </w:rPr>
      </w:pPr>
      <w:r w:rsidRPr="00DF3006">
        <w:rPr>
          <w:b/>
          <w:bCs/>
          <w:color w:val="414042" w:themeColor="text1"/>
        </w:rPr>
        <w:t>Accountability</w:t>
      </w:r>
      <w:r w:rsidRPr="00DF3006">
        <w:rPr>
          <w:color w:val="414042" w:themeColor="text1"/>
        </w:rPr>
        <w:t xml:space="preserve"> – Witness Protection Officer (Operations Support)</w:t>
      </w:r>
    </w:p>
    <w:p w14:paraId="7A0F618E" w14:textId="248FD90A" w:rsidR="00BB547A" w:rsidRPr="00DF3006" w:rsidRDefault="00BB547A" w:rsidP="00BB547A">
      <w:pPr>
        <w:pStyle w:val="Bullets"/>
        <w:rPr>
          <w:color w:val="414042" w:themeColor="text1"/>
        </w:rPr>
      </w:pPr>
      <w:r w:rsidRPr="00DF3006">
        <w:rPr>
          <w:b/>
          <w:bCs/>
          <w:color w:val="414042" w:themeColor="text1"/>
        </w:rPr>
        <w:t>Integrity</w:t>
      </w:r>
      <w:r w:rsidRPr="00DF3006">
        <w:rPr>
          <w:color w:val="414042" w:themeColor="text1"/>
        </w:rPr>
        <w:t xml:space="preserve"> – Arthur Stalley (Operations Support)</w:t>
      </w:r>
    </w:p>
    <w:p w14:paraId="1CBC4C6D" w14:textId="1D9F5D86" w:rsidR="00BB547A" w:rsidRPr="00DF3006" w:rsidRDefault="00BB547A" w:rsidP="00BB547A">
      <w:pPr>
        <w:pStyle w:val="Bullets"/>
        <w:rPr>
          <w:color w:val="414042" w:themeColor="text1"/>
        </w:rPr>
      </w:pPr>
      <w:r w:rsidRPr="00DF3006">
        <w:rPr>
          <w:b/>
          <w:bCs/>
          <w:color w:val="414042" w:themeColor="text1"/>
        </w:rPr>
        <w:t>Courage</w:t>
      </w:r>
      <w:r w:rsidRPr="00DF3006">
        <w:rPr>
          <w:color w:val="414042" w:themeColor="text1"/>
        </w:rPr>
        <w:t xml:space="preserve"> – Courtney Dunne (Corruption)</w:t>
      </w:r>
    </w:p>
    <w:p w14:paraId="0D4CEB69" w14:textId="4DB925EE" w:rsidR="00BB547A" w:rsidRPr="00DF3006" w:rsidRDefault="00BB547A" w:rsidP="00BB547A">
      <w:pPr>
        <w:pStyle w:val="Bullets"/>
        <w:rPr>
          <w:color w:val="414042" w:themeColor="text1"/>
        </w:rPr>
      </w:pPr>
      <w:r w:rsidRPr="00DF3006">
        <w:rPr>
          <w:b/>
          <w:bCs/>
          <w:color w:val="414042" w:themeColor="text1"/>
        </w:rPr>
        <w:t>Excellence</w:t>
      </w:r>
      <w:r w:rsidRPr="00DF3006">
        <w:rPr>
          <w:color w:val="414042" w:themeColor="text1"/>
        </w:rPr>
        <w:t xml:space="preserve"> – Chris Collin (Operations Support)</w:t>
      </w:r>
    </w:p>
    <w:p w14:paraId="40125630" w14:textId="52F0EB8F" w:rsidR="00BB547A" w:rsidRPr="00DF3006" w:rsidRDefault="00BB547A" w:rsidP="00BB547A">
      <w:pPr>
        <w:pStyle w:val="Bullets"/>
        <w:rPr>
          <w:color w:val="414042" w:themeColor="text1"/>
        </w:rPr>
      </w:pPr>
      <w:r w:rsidRPr="00DF3006">
        <w:rPr>
          <w:b/>
          <w:bCs/>
          <w:color w:val="414042" w:themeColor="text1"/>
        </w:rPr>
        <w:t>All Rounder</w:t>
      </w:r>
      <w:r w:rsidRPr="00DF3006">
        <w:rPr>
          <w:color w:val="414042" w:themeColor="text1"/>
        </w:rPr>
        <w:t xml:space="preserve"> </w:t>
      </w:r>
      <w:r w:rsidR="0080168D" w:rsidRPr="00DF3006">
        <w:rPr>
          <w:color w:val="414042" w:themeColor="text1"/>
        </w:rPr>
        <w:t>– Chelsea</w:t>
      </w:r>
      <w:r w:rsidRPr="00DF3006">
        <w:rPr>
          <w:color w:val="414042" w:themeColor="text1"/>
        </w:rPr>
        <w:t xml:space="preserve"> Fitzgibbon (Information Services)</w:t>
      </w:r>
      <w:r w:rsidR="00064D54" w:rsidRPr="00DF3006">
        <w:rPr>
          <w:color w:val="414042" w:themeColor="text1"/>
        </w:rPr>
        <w:t>, and</w:t>
      </w:r>
    </w:p>
    <w:p w14:paraId="0C882CF9" w14:textId="58D2FCEE" w:rsidR="00561686" w:rsidRPr="00DF3006" w:rsidRDefault="00BB547A" w:rsidP="007F2051">
      <w:pPr>
        <w:pStyle w:val="Bullets"/>
        <w:rPr>
          <w:color w:val="414042" w:themeColor="text1"/>
        </w:rPr>
      </w:pPr>
      <w:r w:rsidRPr="00DF3006">
        <w:rPr>
          <w:b/>
          <w:bCs/>
          <w:color w:val="414042" w:themeColor="text1"/>
        </w:rPr>
        <w:t>Team</w:t>
      </w:r>
      <w:r w:rsidRPr="00DF3006">
        <w:rPr>
          <w:color w:val="414042" w:themeColor="text1"/>
        </w:rPr>
        <w:t xml:space="preserve"> – </w:t>
      </w:r>
      <w:r w:rsidRPr="00DF3006">
        <w:rPr>
          <w:i/>
          <w:iCs/>
          <w:color w:val="414042" w:themeColor="text1"/>
        </w:rPr>
        <w:t>Child Protection (Offender Reporting and Offender Prohibition Order) Act</w:t>
      </w:r>
      <w:r w:rsidRPr="00DF3006">
        <w:rPr>
          <w:color w:val="414042" w:themeColor="text1"/>
        </w:rPr>
        <w:t xml:space="preserve"> Legislative Review Team (Legal, Risk and Compliance)</w:t>
      </w:r>
      <w:r w:rsidR="00561686" w:rsidRPr="00DF3006">
        <w:rPr>
          <w:color w:val="414042" w:themeColor="text1"/>
        </w:rPr>
        <w:t>.</w:t>
      </w:r>
    </w:p>
    <w:p w14:paraId="5F3213B6" w14:textId="2D98B029" w:rsidR="00561686" w:rsidRPr="00DF3006" w:rsidRDefault="00561686" w:rsidP="00463FBB">
      <w:pPr>
        <w:pStyle w:val="Heading4"/>
      </w:pPr>
      <w:bookmarkStart w:id="1459" w:name="_Toc102038019"/>
      <w:bookmarkStart w:id="1460" w:name="_Toc102038380"/>
      <w:bookmarkStart w:id="1461" w:name="_Toc102038741"/>
      <w:bookmarkStart w:id="1462" w:name="_Toc102039093"/>
      <w:bookmarkStart w:id="1463" w:name="_Toc102039442"/>
      <w:bookmarkStart w:id="1464" w:name="_Toc102039804"/>
      <w:bookmarkStart w:id="1465" w:name="_Toc102040161"/>
      <w:bookmarkStart w:id="1466" w:name="_Toc102040489"/>
      <w:bookmarkStart w:id="1467" w:name="_Toc102040823"/>
      <w:bookmarkStart w:id="1468" w:name="_Toc102041151"/>
      <w:bookmarkStart w:id="1469" w:name="_Toc102041480"/>
      <w:bookmarkStart w:id="1470" w:name="_Toc102041812"/>
      <w:bookmarkStart w:id="1471" w:name="_Toc102042139"/>
      <w:bookmarkStart w:id="1472" w:name="_Toc102042469"/>
      <w:bookmarkStart w:id="1473" w:name="_Toc102045599"/>
      <w:r w:rsidRPr="00DF3006">
        <w:t>Ensuring ethical conduct</w:t>
      </w:r>
    </w:p>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14:paraId="1F2B235B" w14:textId="77777777" w:rsidR="00561686" w:rsidRPr="00DF3006" w:rsidRDefault="00561686" w:rsidP="00561686">
      <w:pPr>
        <w:rPr>
          <w:color w:val="414042" w:themeColor="text1"/>
        </w:rPr>
      </w:pPr>
      <w:r w:rsidRPr="00DF3006">
        <w:rPr>
          <w:color w:val="414042" w:themeColor="text1"/>
        </w:rPr>
        <w:t>The CCC’s Code of Conduct sets the standard of conduct expected of our staff on, consistent with the ethics principles and values outlined in the</w:t>
      </w:r>
      <w:r w:rsidRPr="00DF3006">
        <w:rPr>
          <w:i/>
          <w:iCs/>
          <w:color w:val="414042" w:themeColor="text1"/>
        </w:rPr>
        <w:t xml:space="preserve"> </w:t>
      </w:r>
      <w:r w:rsidRPr="00DF3006">
        <w:rPr>
          <w:i/>
          <w:iCs/>
          <w:color w:val="414042" w:themeColor="text1"/>
          <w:spacing w:val="2"/>
        </w:rPr>
        <w:t>Public Sector Ethics Act 1994</w:t>
      </w:r>
      <w:r w:rsidRPr="00DF3006">
        <w:rPr>
          <w:color w:val="414042" w:themeColor="text1"/>
        </w:rPr>
        <w:t>:</w:t>
      </w:r>
    </w:p>
    <w:p w14:paraId="54F825A9" w14:textId="77777777" w:rsidR="00561686" w:rsidRPr="00DF3006" w:rsidRDefault="00561686">
      <w:pPr>
        <w:pStyle w:val="Bullets"/>
        <w:rPr>
          <w:color w:val="414042" w:themeColor="text1"/>
        </w:rPr>
      </w:pPr>
      <w:r w:rsidRPr="00DF3006">
        <w:rPr>
          <w:color w:val="414042" w:themeColor="text1"/>
        </w:rPr>
        <w:t>integrity and impartiality</w:t>
      </w:r>
    </w:p>
    <w:p w14:paraId="4EC9A8CC" w14:textId="77777777" w:rsidR="00561686" w:rsidRPr="00DF3006" w:rsidRDefault="00561686">
      <w:pPr>
        <w:pStyle w:val="Bullets"/>
        <w:rPr>
          <w:color w:val="414042" w:themeColor="text1"/>
        </w:rPr>
      </w:pPr>
      <w:r w:rsidRPr="00DF3006">
        <w:rPr>
          <w:color w:val="414042" w:themeColor="text1"/>
        </w:rPr>
        <w:t>promoting the public good</w:t>
      </w:r>
    </w:p>
    <w:p w14:paraId="295D833C" w14:textId="77777777" w:rsidR="00561686" w:rsidRPr="00DF3006" w:rsidRDefault="00561686">
      <w:pPr>
        <w:pStyle w:val="Bullets"/>
        <w:rPr>
          <w:color w:val="414042" w:themeColor="text1"/>
        </w:rPr>
      </w:pPr>
      <w:r w:rsidRPr="00DF3006">
        <w:rPr>
          <w:color w:val="414042" w:themeColor="text1"/>
        </w:rPr>
        <w:t>commitment to the system of government, and</w:t>
      </w:r>
    </w:p>
    <w:p w14:paraId="03806892" w14:textId="77777777" w:rsidR="00561686" w:rsidRPr="00DF3006" w:rsidRDefault="00561686">
      <w:pPr>
        <w:pStyle w:val="Bullets"/>
        <w:rPr>
          <w:color w:val="414042" w:themeColor="text1"/>
        </w:rPr>
      </w:pPr>
      <w:r w:rsidRPr="00DF3006">
        <w:rPr>
          <w:color w:val="414042" w:themeColor="text1"/>
        </w:rPr>
        <w:t>accountability and transparency.</w:t>
      </w:r>
    </w:p>
    <w:p w14:paraId="70385F5C" w14:textId="673B286A" w:rsidR="00561686" w:rsidRPr="00DF3006" w:rsidRDefault="00561686" w:rsidP="00561686">
      <w:pPr>
        <w:rPr>
          <w:color w:val="414042" w:themeColor="text1"/>
        </w:rPr>
      </w:pPr>
      <w:r w:rsidRPr="00DF3006">
        <w:rPr>
          <w:color w:val="414042" w:themeColor="text1"/>
        </w:rPr>
        <w:t xml:space="preserve">These principles underpin our values (see page </w:t>
      </w:r>
      <w:r w:rsidR="004B6AC2" w:rsidRPr="00DF3006">
        <w:rPr>
          <w:color w:val="414042" w:themeColor="text1"/>
        </w:rPr>
        <w:t>10</w:t>
      </w:r>
      <w:r w:rsidRPr="00DF3006">
        <w:rPr>
          <w:color w:val="414042" w:themeColor="text1"/>
        </w:rPr>
        <w:t>), and they are embedded within individual PDAs.</w:t>
      </w:r>
    </w:p>
    <w:p w14:paraId="7FBA0FA7" w14:textId="77777777" w:rsidR="006715EE" w:rsidRPr="00DF3006" w:rsidRDefault="00561686" w:rsidP="00561686">
      <w:pPr>
        <w:rPr>
          <w:color w:val="414042" w:themeColor="text1"/>
        </w:rPr>
      </w:pPr>
      <w:r w:rsidRPr="00DF3006">
        <w:rPr>
          <w:color w:val="414042" w:themeColor="text1"/>
        </w:rPr>
        <w:t xml:space="preserve">The CCC Code of Conduct guides and assists us to identify and resolve ethical dilemmas that may rise in the course of our duties, </w:t>
      </w:r>
      <w:proofErr w:type="gramStart"/>
      <w:r w:rsidRPr="00DF3006">
        <w:rPr>
          <w:color w:val="414042" w:themeColor="text1"/>
        </w:rPr>
        <w:t>foster</w:t>
      </w:r>
      <w:proofErr w:type="gramEnd"/>
      <w:r w:rsidRPr="00DF3006">
        <w:rPr>
          <w:color w:val="414042" w:themeColor="text1"/>
        </w:rPr>
        <w:t xml:space="preserve"> and maintain an ethical culture and promote public confidence in the CCC.</w:t>
      </w:r>
    </w:p>
    <w:p w14:paraId="07525C5D" w14:textId="4201ABAE" w:rsidR="00561686" w:rsidRPr="00DF3006" w:rsidRDefault="00561686" w:rsidP="00561686">
      <w:pPr>
        <w:rPr>
          <w:color w:val="414042" w:themeColor="text1"/>
        </w:rPr>
      </w:pPr>
      <w:r w:rsidRPr="00DF3006">
        <w:rPr>
          <w:color w:val="414042" w:themeColor="text1"/>
        </w:rPr>
        <w:t>In March 2023</w:t>
      </w:r>
      <w:r w:rsidR="006F3F52" w:rsidRPr="00DF3006">
        <w:rPr>
          <w:color w:val="414042" w:themeColor="text1"/>
        </w:rPr>
        <w:t>,</w:t>
      </w:r>
      <w:r w:rsidRPr="00DF3006">
        <w:rPr>
          <w:color w:val="414042" w:themeColor="text1"/>
        </w:rPr>
        <w:t xml:space="preserve"> we relaunched the CCC</w:t>
      </w:r>
      <w:r w:rsidR="006F3F52" w:rsidRPr="00DF3006">
        <w:rPr>
          <w:color w:val="414042" w:themeColor="text1"/>
        </w:rPr>
        <w:t>’s</w:t>
      </w:r>
      <w:r w:rsidRPr="00DF3006">
        <w:rPr>
          <w:color w:val="414042" w:themeColor="text1"/>
        </w:rPr>
        <w:t xml:space="preserve"> Code of Conduct to ensure it remains relevant and aligns with our current work practices and behaviours</w:t>
      </w:r>
      <w:r w:rsidR="006F3F52" w:rsidRPr="00DF3006">
        <w:rPr>
          <w:color w:val="414042" w:themeColor="text1"/>
        </w:rPr>
        <w:t>.</w:t>
      </w:r>
      <w:r w:rsidRPr="00DF3006">
        <w:rPr>
          <w:color w:val="414042" w:themeColor="text1"/>
        </w:rPr>
        <w:t xml:space="preserve"> </w:t>
      </w:r>
      <w:r w:rsidR="000B43D8" w:rsidRPr="00DF3006">
        <w:rPr>
          <w:color w:val="414042" w:themeColor="text1"/>
        </w:rPr>
        <w:br w:type="column"/>
      </w:r>
      <w:r w:rsidRPr="00DF3006">
        <w:rPr>
          <w:color w:val="414042" w:themeColor="text1"/>
        </w:rPr>
        <w:t xml:space="preserve">Each new staff member is provided with a copy of </w:t>
      </w:r>
      <w:r w:rsidR="006F3F52" w:rsidRPr="00DF3006">
        <w:rPr>
          <w:color w:val="414042" w:themeColor="text1"/>
        </w:rPr>
        <w:t>our</w:t>
      </w:r>
      <w:r w:rsidRPr="00DF3006">
        <w:rPr>
          <w:color w:val="414042" w:themeColor="text1"/>
        </w:rPr>
        <w:t xml:space="preserve"> Code of Conduct upon their </w:t>
      </w:r>
      <w:r w:rsidR="006F3F52" w:rsidRPr="00DF3006">
        <w:rPr>
          <w:color w:val="414042" w:themeColor="text1"/>
        </w:rPr>
        <w:t>commencement and</w:t>
      </w:r>
      <w:r w:rsidRPr="00DF3006">
        <w:rPr>
          <w:color w:val="414042" w:themeColor="text1"/>
        </w:rPr>
        <w:t xml:space="preserve"> are required to complete a Code of Conduct eLearning module in their first week of employment. The module covers the following topics:</w:t>
      </w:r>
    </w:p>
    <w:p w14:paraId="7DAE11E1" w14:textId="77777777" w:rsidR="00561686" w:rsidRPr="00DF3006" w:rsidRDefault="00561686">
      <w:pPr>
        <w:pStyle w:val="Bullets"/>
        <w:rPr>
          <w:color w:val="414042" w:themeColor="text1"/>
        </w:rPr>
      </w:pPr>
      <w:r w:rsidRPr="00DF3006">
        <w:rPr>
          <w:color w:val="414042" w:themeColor="text1"/>
        </w:rPr>
        <w:t xml:space="preserve">operation of the </w:t>
      </w:r>
      <w:r w:rsidRPr="00DF3006">
        <w:rPr>
          <w:i/>
          <w:iCs/>
          <w:color w:val="414042" w:themeColor="text1"/>
          <w:spacing w:val="-2"/>
        </w:rPr>
        <w:t>Public Sector Ethics Act 1994</w:t>
      </w:r>
      <w:r w:rsidRPr="00DF3006">
        <w:rPr>
          <w:color w:val="414042" w:themeColor="text1"/>
        </w:rPr>
        <w:t>, the application of ethics principles, and their obligations as public officials, and</w:t>
      </w:r>
    </w:p>
    <w:p w14:paraId="19F0EA7D" w14:textId="77777777" w:rsidR="00561686" w:rsidRPr="00DF3006" w:rsidRDefault="00561686">
      <w:pPr>
        <w:pStyle w:val="Bullets"/>
        <w:rPr>
          <w:color w:val="414042" w:themeColor="text1"/>
        </w:rPr>
      </w:pPr>
      <w:r w:rsidRPr="00DF3006">
        <w:rPr>
          <w:color w:val="414042" w:themeColor="text1"/>
        </w:rPr>
        <w:t>the contents of our Code of Conduct, and the rights and obligations they have in relation to contraventions of our Code of Conduct.</w:t>
      </w:r>
    </w:p>
    <w:p w14:paraId="4A6079BA" w14:textId="3C6D1B0A" w:rsidR="00561686" w:rsidRPr="00DF3006" w:rsidRDefault="00561686" w:rsidP="00561686">
      <w:pPr>
        <w:rPr>
          <w:color w:val="414042" w:themeColor="text1"/>
        </w:rPr>
      </w:pPr>
      <w:r w:rsidRPr="00DF3006">
        <w:rPr>
          <w:color w:val="414042" w:themeColor="text1"/>
        </w:rPr>
        <w:t xml:space="preserve">Existing staff are required to complete </w:t>
      </w:r>
      <w:r w:rsidR="004168CA" w:rsidRPr="00DF3006">
        <w:rPr>
          <w:color w:val="414042" w:themeColor="text1"/>
        </w:rPr>
        <w:t>regular</w:t>
      </w:r>
      <w:r w:rsidRPr="00DF3006">
        <w:rPr>
          <w:color w:val="414042" w:themeColor="text1"/>
        </w:rPr>
        <w:t xml:space="preserve"> Code of Conduct refresher training.</w:t>
      </w:r>
    </w:p>
    <w:p w14:paraId="722AB6E0" w14:textId="27F20A3E" w:rsidR="00561686" w:rsidRPr="00DF3006" w:rsidRDefault="00561686" w:rsidP="00561686">
      <w:pPr>
        <w:rPr>
          <w:color w:val="414042" w:themeColor="text1"/>
        </w:rPr>
      </w:pPr>
      <w:r w:rsidRPr="00DF3006">
        <w:rPr>
          <w:color w:val="414042" w:themeColor="text1"/>
        </w:rPr>
        <w:t xml:space="preserve">Our </w:t>
      </w:r>
      <w:r w:rsidR="004B6AC2" w:rsidRPr="00DF3006">
        <w:rPr>
          <w:i/>
          <w:iCs/>
          <w:color w:val="414042" w:themeColor="text1"/>
        </w:rPr>
        <w:t>Governance Framework</w:t>
      </w:r>
      <w:r w:rsidR="004B6AC2" w:rsidRPr="00DF3006">
        <w:rPr>
          <w:color w:val="414042" w:themeColor="text1"/>
        </w:rPr>
        <w:t xml:space="preserve"> </w:t>
      </w:r>
      <w:r w:rsidRPr="00DF3006">
        <w:rPr>
          <w:color w:val="414042" w:themeColor="text1"/>
        </w:rPr>
        <w:t xml:space="preserve">(see page </w:t>
      </w:r>
      <w:r w:rsidR="004B6AC2" w:rsidRPr="00DF3006">
        <w:rPr>
          <w:color w:val="414042" w:themeColor="text1"/>
        </w:rPr>
        <w:t>65</w:t>
      </w:r>
      <w:r w:rsidRPr="00DF3006">
        <w:rPr>
          <w:color w:val="414042" w:themeColor="text1"/>
        </w:rPr>
        <w:t>) outlines the values, attitudes and behaviours expected of all staff, in alignment with international standards of best</w:t>
      </w:r>
      <w:r w:rsidR="00636089" w:rsidRPr="00DF3006">
        <w:rPr>
          <w:color w:val="414042" w:themeColor="text1"/>
        </w:rPr>
        <w:t xml:space="preserve"> </w:t>
      </w:r>
      <w:r w:rsidRPr="00DF3006">
        <w:rPr>
          <w:color w:val="414042" w:themeColor="text1"/>
        </w:rPr>
        <w:t xml:space="preserve">practice and the principles of the </w:t>
      </w:r>
      <w:r w:rsidRPr="00DF3006">
        <w:rPr>
          <w:i/>
          <w:iCs/>
          <w:color w:val="414042" w:themeColor="text1"/>
        </w:rPr>
        <w:t>Public Sector Ethics Act 1994</w:t>
      </w:r>
      <w:r w:rsidRPr="00DF3006">
        <w:rPr>
          <w:color w:val="414042" w:themeColor="text1"/>
        </w:rPr>
        <w:t>.</w:t>
      </w:r>
    </w:p>
    <w:p w14:paraId="6BB69533" w14:textId="374E12B3" w:rsidR="00561686" w:rsidRPr="00DF3006" w:rsidRDefault="00561686" w:rsidP="00561686">
      <w:pPr>
        <w:rPr>
          <w:color w:val="414042" w:themeColor="text1"/>
          <w:spacing w:val="-4"/>
        </w:rPr>
      </w:pPr>
      <w:r w:rsidRPr="00DF3006">
        <w:rPr>
          <w:color w:val="414042" w:themeColor="text1"/>
          <w:spacing w:val="-4"/>
        </w:rPr>
        <w:t xml:space="preserve">Our </w:t>
      </w:r>
      <w:r w:rsidR="006F3F52" w:rsidRPr="00DF3006">
        <w:rPr>
          <w:i/>
          <w:iCs/>
          <w:color w:val="414042" w:themeColor="text1"/>
          <w:spacing w:val="-4"/>
        </w:rPr>
        <w:t>Policy Framework</w:t>
      </w:r>
      <w:r w:rsidR="006F3F52" w:rsidRPr="00DF3006">
        <w:rPr>
          <w:color w:val="414042" w:themeColor="text1"/>
          <w:spacing w:val="-4"/>
        </w:rPr>
        <w:t xml:space="preserve"> </w:t>
      </w:r>
      <w:r w:rsidRPr="00DF3006">
        <w:rPr>
          <w:color w:val="414042" w:themeColor="text1"/>
          <w:spacing w:val="-4"/>
        </w:rPr>
        <w:t xml:space="preserve">sits within our broader </w:t>
      </w:r>
      <w:r w:rsidR="006F3F52" w:rsidRPr="00DF3006">
        <w:rPr>
          <w:i/>
          <w:iCs/>
          <w:color w:val="414042" w:themeColor="text1"/>
          <w:spacing w:val="-4"/>
        </w:rPr>
        <w:t>Governance Framework</w:t>
      </w:r>
      <w:r w:rsidR="006F3F52" w:rsidRPr="00DF3006">
        <w:rPr>
          <w:color w:val="414042" w:themeColor="text1"/>
          <w:spacing w:val="-4"/>
        </w:rPr>
        <w:t xml:space="preserve"> </w:t>
      </w:r>
      <w:r w:rsidRPr="00DF3006">
        <w:rPr>
          <w:color w:val="414042" w:themeColor="text1"/>
          <w:spacing w:val="-4"/>
        </w:rPr>
        <w:t>and ensures our policies and procedures align with the principles and values of the Act.</w:t>
      </w:r>
      <w:bookmarkEnd w:id="1441"/>
      <w:bookmarkEnd w:id="1457"/>
    </w:p>
    <w:p w14:paraId="0A81F283" w14:textId="77777777" w:rsidR="00561686" w:rsidRPr="00DF3006" w:rsidRDefault="00561686" w:rsidP="00463FBB">
      <w:pPr>
        <w:pStyle w:val="Heading4"/>
      </w:pPr>
      <w:r w:rsidRPr="00DF3006">
        <w:t>Engaging with our people</w:t>
      </w:r>
    </w:p>
    <w:p w14:paraId="36414BE1" w14:textId="47591DDC" w:rsidR="00561686" w:rsidRPr="00DF3006" w:rsidRDefault="00561686" w:rsidP="00561686">
      <w:pPr>
        <w:rPr>
          <w:color w:val="414042" w:themeColor="text1"/>
        </w:rPr>
      </w:pPr>
      <w:r w:rsidRPr="00DF3006">
        <w:rPr>
          <w:color w:val="414042" w:themeColor="text1"/>
        </w:rPr>
        <w:t xml:space="preserve">We formally engage with our people through our </w:t>
      </w:r>
      <w:r w:rsidR="00454BC6" w:rsidRPr="00DF3006">
        <w:rPr>
          <w:color w:val="414042" w:themeColor="text1"/>
        </w:rPr>
        <w:t>CCC C</w:t>
      </w:r>
      <w:r w:rsidRPr="00DF3006">
        <w:rPr>
          <w:color w:val="414042" w:themeColor="text1"/>
        </w:rPr>
        <w:t xml:space="preserve">onsultative </w:t>
      </w:r>
      <w:r w:rsidR="00454BC6" w:rsidRPr="00DF3006">
        <w:rPr>
          <w:color w:val="414042" w:themeColor="text1"/>
        </w:rPr>
        <w:t>Forum</w:t>
      </w:r>
      <w:r w:rsidRPr="00DF3006">
        <w:rPr>
          <w:color w:val="414042" w:themeColor="text1"/>
        </w:rPr>
        <w:t xml:space="preserve">, with participation from both our staff and management. Both the Chairperson and </w:t>
      </w:r>
      <w:r w:rsidR="006F3F52" w:rsidRPr="00DF3006">
        <w:rPr>
          <w:color w:val="414042" w:themeColor="text1"/>
        </w:rPr>
        <w:t>CEO</w:t>
      </w:r>
      <w:r w:rsidRPr="00DF3006">
        <w:rPr>
          <w:color w:val="414042" w:themeColor="text1"/>
        </w:rPr>
        <w:t xml:space="preserve"> are members of this committee, which meets to raise and discuss industrial or employee relations issues.</w:t>
      </w:r>
    </w:p>
    <w:p w14:paraId="0208CABD" w14:textId="251A1FE5" w:rsidR="00561686" w:rsidRPr="00DF3006" w:rsidRDefault="00561686" w:rsidP="00561686">
      <w:pPr>
        <w:rPr>
          <w:color w:val="414042" w:themeColor="text1"/>
        </w:rPr>
      </w:pPr>
      <w:r w:rsidRPr="00DF3006">
        <w:rPr>
          <w:color w:val="414042" w:themeColor="text1"/>
        </w:rPr>
        <w:t xml:space="preserve">Each year we participate in the </w:t>
      </w:r>
      <w:r w:rsidRPr="00DF3006">
        <w:rPr>
          <w:i/>
          <w:iCs/>
          <w:color w:val="414042" w:themeColor="text1"/>
        </w:rPr>
        <w:t xml:space="preserve">Working for Queensland Survey </w:t>
      </w:r>
      <w:r w:rsidRPr="00DF3006">
        <w:rPr>
          <w:color w:val="414042" w:themeColor="text1"/>
        </w:rPr>
        <w:t xml:space="preserve">for our people to have their say about the workplace climate. </w:t>
      </w:r>
      <w:r w:rsidR="006F3F52" w:rsidRPr="00DF3006">
        <w:rPr>
          <w:color w:val="414042" w:themeColor="text1"/>
        </w:rPr>
        <w:t>This reporting period, the</w:t>
      </w:r>
      <w:r w:rsidRPr="00DF3006">
        <w:rPr>
          <w:color w:val="414042" w:themeColor="text1"/>
        </w:rPr>
        <w:t xml:space="preserve"> survey was conducted between 5 September and 5</w:t>
      </w:r>
      <w:r w:rsidR="009F7A6A" w:rsidRPr="00DF3006">
        <w:rPr>
          <w:color w:val="414042" w:themeColor="text1"/>
        </w:rPr>
        <w:t> </w:t>
      </w:r>
      <w:r w:rsidRPr="00DF3006">
        <w:rPr>
          <w:color w:val="414042" w:themeColor="text1"/>
        </w:rPr>
        <w:t>October</w:t>
      </w:r>
      <w:r w:rsidR="009F7A6A" w:rsidRPr="00DF3006">
        <w:rPr>
          <w:color w:val="414042" w:themeColor="text1"/>
        </w:rPr>
        <w:t> </w:t>
      </w:r>
      <w:r w:rsidRPr="00DF3006">
        <w:rPr>
          <w:color w:val="414042" w:themeColor="text1"/>
        </w:rPr>
        <w:t>2022. We continued to have a strong participation rate, with 71</w:t>
      </w:r>
      <w:r w:rsidR="006F3F52" w:rsidRPr="00DF3006">
        <w:rPr>
          <w:color w:val="414042" w:themeColor="text1"/>
        </w:rPr>
        <w:t> </w:t>
      </w:r>
      <w:r w:rsidRPr="00DF3006">
        <w:rPr>
          <w:color w:val="414042" w:themeColor="text1"/>
        </w:rPr>
        <w:t>per cent of our people providing valuable feedback through this mechanism.</w:t>
      </w:r>
    </w:p>
    <w:p w14:paraId="26565987" w14:textId="77777777" w:rsidR="00561686" w:rsidRPr="00DF3006" w:rsidRDefault="00561686" w:rsidP="00561686">
      <w:pPr>
        <w:rPr>
          <w:color w:val="414042" w:themeColor="text1"/>
        </w:rPr>
      </w:pPr>
      <w:r w:rsidRPr="00DF3006">
        <w:rPr>
          <w:color w:val="414042" w:themeColor="text1"/>
        </w:rPr>
        <w:t xml:space="preserve">The results also provided us insights into the focus areas for improving our employee experience. To guide our response to the </w:t>
      </w:r>
      <w:r w:rsidRPr="00DF3006">
        <w:rPr>
          <w:i/>
          <w:iCs/>
          <w:color w:val="414042" w:themeColor="text1"/>
        </w:rPr>
        <w:t>Working for Queensland Survey</w:t>
      </w:r>
      <w:r w:rsidRPr="00DF3006">
        <w:rPr>
          <w:color w:val="414042" w:themeColor="text1"/>
        </w:rPr>
        <w:t>, we developed action plans to target key areas and monitor progress, including taking the following actions:</w:t>
      </w:r>
    </w:p>
    <w:p w14:paraId="59B5519B" w14:textId="09C39752" w:rsidR="00561686" w:rsidRPr="00DF3006" w:rsidRDefault="00561686">
      <w:pPr>
        <w:pStyle w:val="Bullets"/>
        <w:rPr>
          <w:color w:val="414042" w:themeColor="text1"/>
        </w:rPr>
      </w:pPr>
      <w:r w:rsidRPr="00DF3006">
        <w:rPr>
          <w:color w:val="414042" w:themeColor="text1"/>
        </w:rPr>
        <w:t>greater opportunities for broader communication activities, such as all staff quarterly forums and divisional</w:t>
      </w:r>
      <w:r w:rsidR="006F3F52" w:rsidRPr="00DF3006">
        <w:rPr>
          <w:color w:val="414042" w:themeColor="text1"/>
        </w:rPr>
        <w:t>-</w:t>
      </w:r>
      <w:r w:rsidRPr="00DF3006">
        <w:rPr>
          <w:color w:val="414042" w:themeColor="text1"/>
        </w:rPr>
        <w:t xml:space="preserve">led communication </w:t>
      </w:r>
      <w:proofErr w:type="gramStart"/>
      <w:r w:rsidRPr="00DF3006">
        <w:rPr>
          <w:color w:val="414042" w:themeColor="text1"/>
        </w:rPr>
        <w:t>channels</w:t>
      </w:r>
      <w:proofErr w:type="gramEnd"/>
    </w:p>
    <w:p w14:paraId="1C0895AE" w14:textId="77777777" w:rsidR="00561686" w:rsidRPr="00DF3006" w:rsidRDefault="00561686">
      <w:pPr>
        <w:pStyle w:val="Bullets"/>
        <w:rPr>
          <w:color w:val="414042" w:themeColor="text1"/>
        </w:rPr>
      </w:pPr>
      <w:r w:rsidRPr="00DF3006">
        <w:rPr>
          <w:color w:val="414042" w:themeColor="text1"/>
        </w:rPr>
        <w:t>continuing to support flexible working arrangements to assist people finding work-life balance, and</w:t>
      </w:r>
    </w:p>
    <w:p w14:paraId="538B0A52" w14:textId="344103E1" w:rsidR="00561686" w:rsidRPr="00DF3006" w:rsidRDefault="00561686">
      <w:pPr>
        <w:pStyle w:val="Bullets"/>
        <w:rPr>
          <w:color w:val="414042" w:themeColor="text1"/>
        </w:rPr>
      </w:pPr>
      <w:r w:rsidRPr="00DF3006">
        <w:rPr>
          <w:color w:val="414042" w:themeColor="text1"/>
        </w:rPr>
        <w:t>ensuring our investment in learning and development is balanced between leadership and technical skills.</w:t>
      </w:r>
    </w:p>
    <w:p w14:paraId="3D3E8F1A" w14:textId="4AC51349" w:rsidR="00564647" w:rsidRPr="00DF3006" w:rsidRDefault="00564647">
      <w:pPr>
        <w:spacing w:before="120" w:after="0" w:line="260" w:lineRule="exact"/>
        <w:rPr>
          <w:color w:val="414042" w:themeColor="text1"/>
        </w:rPr>
      </w:pPr>
      <w:r w:rsidRPr="00DF3006">
        <w:rPr>
          <w:color w:val="414042" w:themeColor="text1"/>
        </w:rPr>
        <w:br w:type="page"/>
      </w:r>
    </w:p>
    <w:p w14:paraId="409257C0" w14:textId="77777777" w:rsidR="00561686" w:rsidRPr="00DF3006" w:rsidRDefault="00561686" w:rsidP="00E6066A">
      <w:pPr>
        <w:pStyle w:val="Heading3"/>
      </w:pPr>
      <w:bookmarkStart w:id="1474" w:name="_Toc102038029"/>
      <w:bookmarkStart w:id="1475" w:name="_Toc102038390"/>
      <w:bookmarkStart w:id="1476" w:name="_Toc102038751"/>
      <w:bookmarkStart w:id="1477" w:name="_Toc102039103"/>
      <w:bookmarkStart w:id="1478" w:name="_Toc102039452"/>
      <w:bookmarkStart w:id="1479" w:name="_Toc102039814"/>
      <w:bookmarkStart w:id="1480" w:name="_Toc102040171"/>
      <w:bookmarkStart w:id="1481" w:name="_Toc102040499"/>
      <w:bookmarkStart w:id="1482" w:name="_Toc102040833"/>
      <w:bookmarkStart w:id="1483" w:name="_Toc102041161"/>
      <w:bookmarkStart w:id="1484" w:name="_Toc102041490"/>
      <w:bookmarkStart w:id="1485" w:name="_Toc102041822"/>
      <w:bookmarkStart w:id="1486" w:name="_Toc102042149"/>
      <w:bookmarkStart w:id="1487" w:name="_Toc102042479"/>
      <w:bookmarkStart w:id="1488" w:name="_Toc102045609"/>
      <w:bookmarkStart w:id="1489" w:name="_Hlk74317788"/>
      <w:bookmarkStart w:id="1490" w:name="_Hlk109715062"/>
      <w:r w:rsidRPr="00DF3006">
        <w:lastRenderedPageBreak/>
        <w:t>Digital Strategy 2020–24</w:t>
      </w:r>
    </w:p>
    <w:p w14:paraId="493D48E6" w14:textId="6120D872" w:rsidR="00561686" w:rsidRPr="00DF3006" w:rsidRDefault="00561686" w:rsidP="00381F9D">
      <w:pPr>
        <w:rPr>
          <w:color w:val="414042" w:themeColor="text1"/>
        </w:rPr>
      </w:pPr>
      <w:r w:rsidRPr="00DF3006">
        <w:rPr>
          <w:color w:val="414042" w:themeColor="text1"/>
        </w:rPr>
        <w:t xml:space="preserve">The CCC’s Digital Strategy enhances our capability to create a resilient, connected, </w:t>
      </w:r>
      <w:proofErr w:type="gramStart"/>
      <w:r w:rsidRPr="00DF3006">
        <w:rPr>
          <w:color w:val="414042" w:themeColor="text1"/>
        </w:rPr>
        <w:t>augmented</w:t>
      </w:r>
      <w:proofErr w:type="gramEnd"/>
      <w:r w:rsidRPr="00DF3006">
        <w:rPr>
          <w:color w:val="414042" w:themeColor="text1"/>
        </w:rPr>
        <w:t xml:space="preserve"> and automated agency enabling us to deliver smarter, simpler and effective services to reduce major crime and improve the integrity of public institutions.</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19B2E28D" w14:textId="77777777" w:rsidR="005D67C6" w:rsidRPr="00DF3006" w:rsidRDefault="005D67C6" w:rsidP="00463FBB">
      <w:pPr>
        <w:pStyle w:val="Heading4"/>
      </w:pPr>
      <w:bookmarkStart w:id="1491" w:name="_Hlk74321568"/>
      <w:bookmarkEnd w:id="1489"/>
      <w:bookmarkEnd w:id="1490"/>
      <w:r w:rsidRPr="00DF3006">
        <w:t>Supporting our operational functions</w:t>
      </w:r>
    </w:p>
    <w:p w14:paraId="7EA9F344" w14:textId="77777777" w:rsidR="005D67C6" w:rsidRPr="00DF3006" w:rsidRDefault="005D67C6" w:rsidP="005D67C6">
      <w:pPr>
        <w:rPr>
          <w:color w:val="414042" w:themeColor="text1"/>
        </w:rPr>
      </w:pPr>
      <w:r w:rsidRPr="00DF3006">
        <w:rPr>
          <w:color w:val="414042" w:themeColor="text1"/>
        </w:rPr>
        <w:t>In 2022–23, we enhanced our digital maturity by:</w:t>
      </w:r>
    </w:p>
    <w:p w14:paraId="58E672CF" w14:textId="77777777" w:rsidR="005D67C6" w:rsidRPr="00DF3006" w:rsidRDefault="005D67C6" w:rsidP="005D67C6">
      <w:pPr>
        <w:pStyle w:val="Bullets"/>
        <w:rPr>
          <w:color w:val="414042" w:themeColor="text1"/>
        </w:rPr>
      </w:pPr>
      <w:r w:rsidRPr="00DF3006">
        <w:rPr>
          <w:color w:val="414042" w:themeColor="text1"/>
        </w:rPr>
        <w:t xml:space="preserve">upskilling investigators in digital currencies and commencing a trial of cryptocurrency forensic software to enhance the effectiveness of criminal </w:t>
      </w:r>
      <w:proofErr w:type="gramStart"/>
      <w:r w:rsidRPr="00DF3006">
        <w:rPr>
          <w:color w:val="414042" w:themeColor="text1"/>
        </w:rPr>
        <w:t>investigations</w:t>
      </w:r>
      <w:proofErr w:type="gramEnd"/>
    </w:p>
    <w:p w14:paraId="1BCF59D3" w14:textId="77777777" w:rsidR="005D67C6" w:rsidRPr="00DF3006" w:rsidRDefault="005D67C6" w:rsidP="005D67C6">
      <w:pPr>
        <w:pStyle w:val="Bullets"/>
        <w:rPr>
          <w:color w:val="414042" w:themeColor="text1"/>
        </w:rPr>
      </w:pPr>
      <w:r w:rsidRPr="00DF3006">
        <w:rPr>
          <w:color w:val="414042" w:themeColor="text1"/>
        </w:rPr>
        <w:t xml:space="preserve">leveraging technology to improve the efficiency and effectiveness of our investigations by enabling electronic evidence to be shared, searched and analysed anywhere and anytime, and upgrading the system used to assist financial investigators to pursue the proceeds of </w:t>
      </w:r>
      <w:proofErr w:type="gramStart"/>
      <w:r w:rsidRPr="00DF3006">
        <w:rPr>
          <w:color w:val="414042" w:themeColor="text1"/>
        </w:rPr>
        <w:t>crime</w:t>
      </w:r>
      <w:proofErr w:type="gramEnd"/>
    </w:p>
    <w:p w14:paraId="7CB5B955" w14:textId="77777777" w:rsidR="005D67C6" w:rsidRPr="00DF3006" w:rsidRDefault="005D67C6" w:rsidP="005D67C6">
      <w:pPr>
        <w:pStyle w:val="Bullets"/>
        <w:rPr>
          <w:color w:val="414042" w:themeColor="text1"/>
        </w:rPr>
      </w:pPr>
      <w:r w:rsidRPr="00DF3006">
        <w:rPr>
          <w:color w:val="414042" w:themeColor="text1"/>
        </w:rPr>
        <w:t xml:space="preserve">upgrading our financial investigation system that holds financial transaction records related to thousands of individual </w:t>
      </w:r>
      <w:proofErr w:type="gramStart"/>
      <w:r w:rsidRPr="00DF3006">
        <w:rPr>
          <w:color w:val="414042" w:themeColor="text1"/>
        </w:rPr>
        <w:t>investigations</w:t>
      </w:r>
      <w:proofErr w:type="gramEnd"/>
    </w:p>
    <w:p w14:paraId="6293EF3B" w14:textId="77777777" w:rsidR="005D67C6" w:rsidRPr="00DF3006" w:rsidRDefault="005D67C6" w:rsidP="005D67C6">
      <w:pPr>
        <w:pStyle w:val="Bullets"/>
        <w:rPr>
          <w:color w:val="414042" w:themeColor="text1"/>
        </w:rPr>
      </w:pPr>
      <w:r w:rsidRPr="00DF3006">
        <w:rPr>
          <w:color w:val="414042" w:themeColor="text1"/>
        </w:rPr>
        <w:t>implementing Nuix Investigate, a web-based forensic computing tool which assists our investigators to collaboratively review electronic evidence, and</w:t>
      </w:r>
    </w:p>
    <w:p w14:paraId="604DA64A" w14:textId="77777777" w:rsidR="005D67C6" w:rsidRPr="00DF3006" w:rsidRDefault="005D67C6" w:rsidP="005D67C6">
      <w:pPr>
        <w:pStyle w:val="Bullets"/>
        <w:rPr>
          <w:color w:val="414042" w:themeColor="text1"/>
        </w:rPr>
      </w:pPr>
      <w:r w:rsidRPr="00DF3006">
        <w:rPr>
          <w:color w:val="414042" w:themeColor="text1"/>
        </w:rPr>
        <w:t>implementing a Stakeholder Management System for Crime division, to ensure seamless communication and collaboration with key stakeholders.</w:t>
      </w:r>
    </w:p>
    <w:p w14:paraId="4C72E032" w14:textId="77777777" w:rsidR="005D67C6" w:rsidRPr="00DF3006" w:rsidRDefault="005D67C6" w:rsidP="00463FBB">
      <w:pPr>
        <w:pStyle w:val="Heading4"/>
      </w:pPr>
      <w:r w:rsidRPr="00DF3006">
        <w:t>Supporting our corporate responsibilities</w:t>
      </w:r>
    </w:p>
    <w:p w14:paraId="6E0FBD05" w14:textId="77777777" w:rsidR="005D67C6" w:rsidRPr="00DF3006" w:rsidRDefault="005D67C6" w:rsidP="005D67C6">
      <w:pPr>
        <w:rPr>
          <w:color w:val="414042" w:themeColor="text1"/>
        </w:rPr>
      </w:pPr>
      <w:r w:rsidRPr="00DF3006">
        <w:rPr>
          <w:color w:val="414042" w:themeColor="text1"/>
        </w:rPr>
        <w:t xml:space="preserve">In 2022–23, </w:t>
      </w:r>
      <w:proofErr w:type="gramStart"/>
      <w:r w:rsidRPr="00DF3006">
        <w:rPr>
          <w:color w:val="414042" w:themeColor="text1"/>
        </w:rPr>
        <w:t>we</w:t>
      </w:r>
      <w:proofErr w:type="gramEnd"/>
      <w:r w:rsidRPr="00DF3006">
        <w:rPr>
          <w:color w:val="414042" w:themeColor="text1"/>
        </w:rPr>
        <w:t xml:space="preserve"> also:</w:t>
      </w:r>
    </w:p>
    <w:p w14:paraId="6CD3675E" w14:textId="77777777" w:rsidR="005D67C6" w:rsidRPr="00DF3006" w:rsidRDefault="005D67C6" w:rsidP="005D67C6">
      <w:pPr>
        <w:pStyle w:val="Bullets"/>
        <w:rPr>
          <w:color w:val="414042" w:themeColor="text1"/>
        </w:rPr>
      </w:pPr>
      <w:r w:rsidRPr="00DF3006">
        <w:rPr>
          <w:color w:val="414042" w:themeColor="text1"/>
        </w:rPr>
        <w:t>continued to develop our digital Governance, Risk and Compliance system which is an essential tool for managing policies and compliance obligations, and</w:t>
      </w:r>
    </w:p>
    <w:p w14:paraId="0531796A" w14:textId="002BC802" w:rsidR="005D67C6" w:rsidRPr="00DF3006" w:rsidRDefault="005D67C6" w:rsidP="005D67C6">
      <w:pPr>
        <w:pStyle w:val="Bullets"/>
        <w:rPr>
          <w:color w:val="414042" w:themeColor="text1"/>
        </w:rPr>
      </w:pPr>
      <w:bookmarkStart w:id="1492" w:name="_Hlk143513229"/>
      <w:r w:rsidRPr="00DF3006">
        <w:rPr>
          <w:color w:val="414042" w:themeColor="text1"/>
        </w:rPr>
        <w:t>developed an Application</w:t>
      </w:r>
      <w:r w:rsidR="001537BD" w:rsidRPr="00DF3006">
        <w:rPr>
          <w:color w:val="414042" w:themeColor="text1"/>
        </w:rPr>
        <w:t>s</w:t>
      </w:r>
      <w:r w:rsidRPr="00DF3006">
        <w:rPr>
          <w:color w:val="414042" w:themeColor="text1"/>
        </w:rPr>
        <w:t xml:space="preserve"> Roadmap – a </w:t>
      </w:r>
      <w:r w:rsidR="002B0185" w:rsidRPr="00DF3006">
        <w:rPr>
          <w:color w:val="414042" w:themeColor="text1"/>
        </w:rPr>
        <w:t>five</w:t>
      </w:r>
      <w:r w:rsidRPr="00DF3006">
        <w:rPr>
          <w:color w:val="414042" w:themeColor="text1"/>
        </w:rPr>
        <w:t>-year overview of the CCC application portfolio, which will guide future planning and decision-making about potential system enhancements, replacements or decommissions.</w:t>
      </w:r>
    </w:p>
    <w:bookmarkEnd w:id="1492"/>
    <w:p w14:paraId="7EAAF44A" w14:textId="06B96B3A" w:rsidR="00DE7049" w:rsidRPr="00DF3006" w:rsidRDefault="00564647" w:rsidP="00DE7049">
      <w:pPr>
        <w:spacing w:before="120" w:line="260" w:lineRule="exact"/>
        <w:rPr>
          <w:color w:val="414042" w:themeColor="text1"/>
        </w:rPr>
      </w:pPr>
      <w:r w:rsidRPr="00DF3006">
        <w:rPr>
          <w:color w:val="414042" w:themeColor="text1"/>
        </w:rPr>
        <w:br w:type="column"/>
      </w:r>
      <w:r w:rsidR="00561686" w:rsidRPr="00DF3006">
        <w:rPr>
          <w:rFonts w:asciiTheme="minorHAnsi" w:eastAsia="Times New Roman" w:hAnsiTheme="minorHAnsi" w:cs="Times New Roman"/>
          <w:b/>
          <w:bCs/>
          <w:noProof/>
          <w:color w:val="414042" w:themeColor="text1"/>
          <w:sz w:val="28"/>
          <w:szCs w:val="28"/>
          <w:lang w:eastAsia="en-AU"/>
        </w:rPr>
        <w:t>Insights Strategy 2020–24</w:t>
      </w:r>
      <w:bookmarkEnd w:id="1491"/>
    </w:p>
    <w:p w14:paraId="46A4ECD9" w14:textId="52DB1F34" w:rsidR="00564647" w:rsidRPr="00DF3006" w:rsidRDefault="00564647" w:rsidP="00564647">
      <w:pPr>
        <w:rPr>
          <w:color w:val="414042" w:themeColor="text1"/>
        </w:rPr>
      </w:pPr>
      <w:r w:rsidRPr="00DF3006">
        <w:rPr>
          <w:color w:val="414042" w:themeColor="text1"/>
        </w:rPr>
        <w:t xml:space="preserve">The CCC’s Insights Strategy leverages research, intelligence, data, </w:t>
      </w:r>
      <w:proofErr w:type="gramStart"/>
      <w:r w:rsidRPr="00DF3006">
        <w:rPr>
          <w:color w:val="414042" w:themeColor="text1"/>
        </w:rPr>
        <w:t>analytics</w:t>
      </w:r>
      <w:proofErr w:type="gramEnd"/>
      <w:r w:rsidRPr="00DF3006">
        <w:rPr>
          <w:color w:val="414042" w:themeColor="text1"/>
        </w:rPr>
        <w:t xml:space="preserve"> and external partnerships to increase operational efficiency and effectiveness and deliver innovative solutions against major crime and corruption.</w:t>
      </w:r>
    </w:p>
    <w:p w14:paraId="401F1A99" w14:textId="77777777" w:rsidR="00564647" w:rsidRPr="00DF3006" w:rsidRDefault="00564647" w:rsidP="00564647">
      <w:pPr>
        <w:rPr>
          <w:color w:val="414042" w:themeColor="text1"/>
        </w:rPr>
      </w:pPr>
      <w:r w:rsidRPr="00DF3006">
        <w:rPr>
          <w:color w:val="414042" w:themeColor="text1"/>
        </w:rPr>
        <w:t>The goals of this strategy are to:</w:t>
      </w:r>
    </w:p>
    <w:p w14:paraId="044C2A4A" w14:textId="77777777" w:rsidR="00564647" w:rsidRPr="00DF3006" w:rsidRDefault="00564647" w:rsidP="00564647">
      <w:pPr>
        <w:pStyle w:val="ListParagraph"/>
        <w:numPr>
          <w:ilvl w:val="0"/>
          <w:numId w:val="49"/>
        </w:numPr>
        <w:spacing w:before="120"/>
        <w:ind w:left="360" w:right="-143"/>
        <w:contextualSpacing w:val="0"/>
        <w:rPr>
          <w:color w:val="414042" w:themeColor="text1"/>
        </w:rPr>
      </w:pPr>
      <w:r w:rsidRPr="00DF3006">
        <w:rPr>
          <w:color w:val="414042" w:themeColor="text1"/>
        </w:rPr>
        <w:t xml:space="preserve">Empower people and stakeholders with relevant, timely and accessible data. </w:t>
      </w:r>
    </w:p>
    <w:p w14:paraId="78FF1007" w14:textId="77777777" w:rsidR="00564647" w:rsidRPr="00DF3006" w:rsidRDefault="00564647" w:rsidP="00564647">
      <w:pPr>
        <w:pStyle w:val="ListParagraph"/>
        <w:numPr>
          <w:ilvl w:val="0"/>
          <w:numId w:val="49"/>
        </w:numPr>
        <w:spacing w:before="120"/>
        <w:ind w:left="360" w:right="-143"/>
        <w:contextualSpacing w:val="0"/>
        <w:rPr>
          <w:color w:val="414042" w:themeColor="text1"/>
        </w:rPr>
      </w:pPr>
      <w:r w:rsidRPr="00DF3006">
        <w:rPr>
          <w:color w:val="414042" w:themeColor="text1"/>
        </w:rPr>
        <w:t>Enhance our agency performance by improving:</w:t>
      </w:r>
    </w:p>
    <w:p w14:paraId="6C16D0C1" w14:textId="77777777" w:rsidR="00564647" w:rsidRPr="00DF3006" w:rsidRDefault="00564647" w:rsidP="00DE7049">
      <w:pPr>
        <w:pStyle w:val="Bullets"/>
        <w:numPr>
          <w:ilvl w:val="1"/>
          <w:numId w:val="50"/>
        </w:numPr>
        <w:rPr>
          <w:color w:val="414042" w:themeColor="text1"/>
        </w:rPr>
      </w:pPr>
      <w:r w:rsidRPr="00DF3006">
        <w:rPr>
          <w:color w:val="414042" w:themeColor="text1"/>
        </w:rPr>
        <w:t>the quality and timeliness of assessments and investigations</w:t>
      </w:r>
    </w:p>
    <w:p w14:paraId="425371D3" w14:textId="77777777" w:rsidR="00564647" w:rsidRPr="00DF3006" w:rsidRDefault="00564647" w:rsidP="00DE7049">
      <w:pPr>
        <w:pStyle w:val="Bullets"/>
        <w:numPr>
          <w:ilvl w:val="1"/>
          <w:numId w:val="50"/>
        </w:numPr>
        <w:rPr>
          <w:color w:val="414042" w:themeColor="text1"/>
        </w:rPr>
      </w:pPr>
      <w:r w:rsidRPr="00DF3006">
        <w:rPr>
          <w:color w:val="414042" w:themeColor="text1"/>
        </w:rPr>
        <w:t>our operational and intelligence gathering capabilities that enable targeted and proactive action, and</w:t>
      </w:r>
    </w:p>
    <w:p w14:paraId="16429348" w14:textId="77777777" w:rsidR="00564647" w:rsidRPr="00DF3006" w:rsidRDefault="00564647" w:rsidP="00DE7049">
      <w:pPr>
        <w:pStyle w:val="Bullets"/>
        <w:numPr>
          <w:ilvl w:val="1"/>
          <w:numId w:val="50"/>
        </w:numPr>
        <w:rPr>
          <w:color w:val="414042" w:themeColor="text1"/>
        </w:rPr>
      </w:pPr>
      <w:r w:rsidRPr="00DF3006">
        <w:rPr>
          <w:color w:val="414042" w:themeColor="text1"/>
        </w:rPr>
        <w:t>the effectiveness of internal processes that create increased capacity for our people.</w:t>
      </w:r>
    </w:p>
    <w:p w14:paraId="1318ECA7" w14:textId="77777777" w:rsidR="00564647" w:rsidRPr="00DF3006" w:rsidRDefault="00564647" w:rsidP="00564647">
      <w:pPr>
        <w:pStyle w:val="ListParagraph"/>
        <w:numPr>
          <w:ilvl w:val="0"/>
          <w:numId w:val="49"/>
        </w:numPr>
        <w:spacing w:before="120"/>
        <w:ind w:left="360" w:right="-143"/>
        <w:contextualSpacing w:val="0"/>
        <w:rPr>
          <w:color w:val="414042" w:themeColor="text1"/>
        </w:rPr>
      </w:pPr>
      <w:r w:rsidRPr="00DF3006">
        <w:rPr>
          <w:color w:val="414042" w:themeColor="text1"/>
        </w:rPr>
        <w:t>Embed an insight-driven culture by increasing:</w:t>
      </w:r>
    </w:p>
    <w:p w14:paraId="3E3B7EB0" w14:textId="77777777" w:rsidR="00564647" w:rsidRPr="00DF3006" w:rsidRDefault="00564647" w:rsidP="00DE7049">
      <w:pPr>
        <w:pStyle w:val="Bullets"/>
        <w:numPr>
          <w:ilvl w:val="1"/>
          <w:numId w:val="50"/>
        </w:numPr>
        <w:rPr>
          <w:color w:val="414042" w:themeColor="text1"/>
        </w:rPr>
      </w:pPr>
      <w:r w:rsidRPr="00DF3006">
        <w:rPr>
          <w:color w:val="414042" w:themeColor="text1"/>
        </w:rPr>
        <w:t>our insights literacy and capability</w:t>
      </w:r>
    </w:p>
    <w:p w14:paraId="0B77EC60" w14:textId="77777777" w:rsidR="00564647" w:rsidRPr="00DF3006" w:rsidRDefault="00564647" w:rsidP="00DE7049">
      <w:pPr>
        <w:pStyle w:val="Bullets"/>
        <w:numPr>
          <w:ilvl w:val="1"/>
          <w:numId w:val="50"/>
        </w:numPr>
        <w:rPr>
          <w:color w:val="414042" w:themeColor="text1"/>
        </w:rPr>
      </w:pPr>
      <w:r w:rsidRPr="00DF3006">
        <w:rPr>
          <w:color w:val="414042" w:themeColor="text1"/>
        </w:rPr>
        <w:t>our delivery of insights-led innovative solutions, and</w:t>
      </w:r>
    </w:p>
    <w:p w14:paraId="12B3C877" w14:textId="77777777" w:rsidR="00564647" w:rsidRPr="00DF3006" w:rsidRDefault="00564647" w:rsidP="00DE7049">
      <w:pPr>
        <w:pStyle w:val="Bullets"/>
        <w:numPr>
          <w:ilvl w:val="1"/>
          <w:numId w:val="50"/>
        </w:numPr>
        <w:rPr>
          <w:color w:val="414042" w:themeColor="text1"/>
        </w:rPr>
      </w:pPr>
      <w:r w:rsidRPr="00DF3006">
        <w:rPr>
          <w:color w:val="414042" w:themeColor="text1"/>
        </w:rPr>
        <w:t>our participation in insights knowledge sharing and collaboration.</w:t>
      </w:r>
    </w:p>
    <w:p w14:paraId="161E2971" w14:textId="77777777" w:rsidR="00564647" w:rsidRPr="00DF3006" w:rsidRDefault="00564647" w:rsidP="00564647">
      <w:pPr>
        <w:pStyle w:val="Bullets"/>
        <w:numPr>
          <w:ilvl w:val="0"/>
          <w:numId w:val="0"/>
        </w:numPr>
        <w:rPr>
          <w:color w:val="414042" w:themeColor="text1"/>
        </w:rPr>
      </w:pPr>
      <w:r w:rsidRPr="00DF3006">
        <w:rPr>
          <w:color w:val="414042" w:themeColor="text1"/>
        </w:rPr>
        <w:t>In 2022–23, we:</w:t>
      </w:r>
    </w:p>
    <w:p w14:paraId="1E288DF9" w14:textId="3C7AAB9B" w:rsidR="00564647" w:rsidRPr="00DF3006" w:rsidRDefault="00564647" w:rsidP="00564647">
      <w:pPr>
        <w:pStyle w:val="Bullets"/>
        <w:rPr>
          <w:color w:val="414042" w:themeColor="text1"/>
        </w:rPr>
      </w:pPr>
      <w:r w:rsidRPr="00DF3006">
        <w:rPr>
          <w:color w:val="414042" w:themeColor="text1"/>
        </w:rPr>
        <w:t xml:space="preserve">continued to develop of our Analytics Data Warehouse and improve business and operational intelligence capabilities with contemporary tools and </w:t>
      </w:r>
      <w:proofErr w:type="gramStart"/>
      <w:r w:rsidRPr="00DF3006">
        <w:rPr>
          <w:color w:val="414042" w:themeColor="text1"/>
        </w:rPr>
        <w:t>platforms</w:t>
      </w:r>
      <w:proofErr w:type="gramEnd"/>
    </w:p>
    <w:p w14:paraId="14DB4C99" w14:textId="77777777" w:rsidR="00564647" w:rsidRPr="00DF3006" w:rsidRDefault="00564647" w:rsidP="00564647">
      <w:pPr>
        <w:pStyle w:val="Bullets"/>
        <w:rPr>
          <w:color w:val="414042" w:themeColor="text1"/>
        </w:rPr>
      </w:pPr>
      <w:r w:rsidRPr="00DF3006">
        <w:rPr>
          <w:color w:val="414042" w:themeColor="text1"/>
        </w:rPr>
        <w:t xml:space="preserve">formed a multi-disciplinary team with specialist skills in data consolidation, efficient analysis, reporting and advanced </w:t>
      </w:r>
      <w:proofErr w:type="gramStart"/>
      <w:r w:rsidRPr="00DF3006">
        <w:rPr>
          <w:color w:val="414042" w:themeColor="text1"/>
        </w:rPr>
        <w:t>analytics</w:t>
      </w:r>
      <w:proofErr w:type="gramEnd"/>
    </w:p>
    <w:p w14:paraId="3C163378" w14:textId="793145E4" w:rsidR="00564647" w:rsidRPr="00DF3006" w:rsidRDefault="00564647" w:rsidP="00564647">
      <w:pPr>
        <w:pStyle w:val="Bullets"/>
        <w:rPr>
          <w:color w:val="414042" w:themeColor="text1"/>
        </w:rPr>
      </w:pPr>
      <w:r w:rsidRPr="00DF3006">
        <w:rPr>
          <w:color w:val="414042" w:themeColor="text1"/>
        </w:rPr>
        <w:t xml:space="preserve">ingested HR data into the </w:t>
      </w:r>
      <w:r w:rsidR="00076199" w:rsidRPr="00DF3006">
        <w:rPr>
          <w:i/>
          <w:iCs/>
          <w:color w:val="414042" w:themeColor="text1"/>
        </w:rPr>
        <w:t>Analytics Data Warehouse (</w:t>
      </w:r>
      <w:proofErr w:type="spellStart"/>
      <w:r w:rsidR="00076199" w:rsidRPr="00DF3006">
        <w:rPr>
          <w:i/>
          <w:iCs/>
          <w:color w:val="414042" w:themeColor="text1"/>
        </w:rPr>
        <w:t>ADW</w:t>
      </w:r>
      <w:proofErr w:type="spellEnd"/>
      <w:r w:rsidR="00076199" w:rsidRPr="00DF3006">
        <w:rPr>
          <w:i/>
          <w:iCs/>
          <w:color w:val="414042" w:themeColor="text1"/>
        </w:rPr>
        <w:t>)</w:t>
      </w:r>
      <w:r w:rsidR="00076199" w:rsidRPr="00DF3006">
        <w:rPr>
          <w:color w:val="414042" w:themeColor="text1"/>
        </w:rPr>
        <w:t xml:space="preserve"> a</w:t>
      </w:r>
      <w:r w:rsidRPr="00DF3006">
        <w:rPr>
          <w:color w:val="414042" w:themeColor="text1"/>
        </w:rPr>
        <w:t xml:space="preserve">nd produced Power BI dashboards to improve establishment </w:t>
      </w:r>
      <w:proofErr w:type="gramStart"/>
      <w:r w:rsidRPr="00DF3006">
        <w:rPr>
          <w:color w:val="414042" w:themeColor="text1"/>
        </w:rPr>
        <w:t>management</w:t>
      </w:r>
      <w:proofErr w:type="gramEnd"/>
    </w:p>
    <w:p w14:paraId="3AC14AAD" w14:textId="45A78C6F" w:rsidR="00564647" w:rsidRPr="00DF3006" w:rsidRDefault="00564647" w:rsidP="00564647">
      <w:pPr>
        <w:pStyle w:val="Bullets"/>
        <w:rPr>
          <w:color w:val="414042" w:themeColor="text1"/>
        </w:rPr>
      </w:pPr>
      <w:r w:rsidRPr="00DF3006">
        <w:rPr>
          <w:color w:val="414042" w:themeColor="text1"/>
        </w:rPr>
        <w:t xml:space="preserve">ingested finance data into the </w:t>
      </w:r>
      <w:proofErr w:type="spellStart"/>
      <w:r w:rsidRPr="00DF3006">
        <w:rPr>
          <w:i/>
          <w:iCs/>
          <w:color w:val="414042" w:themeColor="text1"/>
        </w:rPr>
        <w:t>ADW</w:t>
      </w:r>
      <w:proofErr w:type="spellEnd"/>
      <w:r w:rsidRPr="00DF3006">
        <w:rPr>
          <w:color w:val="414042" w:themeColor="text1"/>
        </w:rPr>
        <w:t xml:space="preserve"> and produced Power BI dashboards to improve financial management</w:t>
      </w:r>
      <w:r w:rsidR="00095DAF">
        <w:rPr>
          <w:color w:val="414042" w:themeColor="text1"/>
        </w:rPr>
        <w:t>, and</w:t>
      </w:r>
    </w:p>
    <w:p w14:paraId="245A9EA6" w14:textId="6884A5F6" w:rsidR="00564647" w:rsidRPr="00DF3006" w:rsidRDefault="00564647" w:rsidP="00564647">
      <w:pPr>
        <w:pStyle w:val="Bullets"/>
        <w:rPr>
          <w:color w:val="414042" w:themeColor="text1"/>
        </w:rPr>
      </w:pPr>
      <w:r w:rsidRPr="00DF3006">
        <w:rPr>
          <w:color w:val="414042" w:themeColor="text1"/>
        </w:rPr>
        <w:t xml:space="preserve">ingested corruption data into the </w:t>
      </w:r>
      <w:proofErr w:type="spellStart"/>
      <w:r w:rsidRPr="00DF3006">
        <w:rPr>
          <w:i/>
          <w:iCs/>
          <w:color w:val="414042" w:themeColor="text1"/>
        </w:rPr>
        <w:t>ADW</w:t>
      </w:r>
      <w:proofErr w:type="spellEnd"/>
      <w:r w:rsidRPr="00DF3006">
        <w:rPr>
          <w:color w:val="414042" w:themeColor="text1"/>
        </w:rPr>
        <w:t xml:space="preserve"> and updated the </w:t>
      </w:r>
      <w:r w:rsidRPr="00DF3006">
        <w:rPr>
          <w:i/>
          <w:iCs/>
          <w:color w:val="414042" w:themeColor="text1"/>
        </w:rPr>
        <w:t>Corruption Allegations Data Dashboard</w:t>
      </w:r>
      <w:r w:rsidRPr="00DF3006">
        <w:rPr>
          <w:color w:val="414042" w:themeColor="text1"/>
        </w:rPr>
        <w:t>.</w:t>
      </w:r>
    </w:p>
    <w:p w14:paraId="1B52D0DA" w14:textId="77777777" w:rsidR="004C5FE9" w:rsidRPr="00DF3006" w:rsidRDefault="004C5FE9" w:rsidP="00561686">
      <w:pPr>
        <w:rPr>
          <w:color w:val="414042" w:themeColor="text1"/>
          <w:lang w:eastAsia="en-AU"/>
        </w:rPr>
      </w:pPr>
    </w:p>
    <w:p w14:paraId="5E29D66B" w14:textId="77777777" w:rsidR="00561686" w:rsidRPr="00DF3006" w:rsidRDefault="00561686" w:rsidP="00561686">
      <w:pPr>
        <w:rPr>
          <w:color w:val="414042" w:themeColor="text1"/>
          <w:lang w:eastAsia="en-AU"/>
        </w:rPr>
        <w:sectPr w:rsidR="00561686" w:rsidRPr="00DF3006" w:rsidSect="00C77834">
          <w:pgSz w:w="11906" w:h="16838" w:code="9"/>
          <w:pgMar w:top="2155" w:right="1134" w:bottom="964" w:left="1134" w:header="720" w:footer="284" w:gutter="0"/>
          <w:cols w:num="2" w:space="567"/>
          <w:noEndnote/>
          <w:docGrid w:linePitch="272"/>
        </w:sectPr>
      </w:pPr>
    </w:p>
    <w:p w14:paraId="2A9BD8B0" w14:textId="77777777" w:rsidR="00561686" w:rsidRPr="00DF3006" w:rsidRDefault="00561686" w:rsidP="00561686">
      <w:pPr>
        <w:pStyle w:val="Heading1"/>
        <w:sectPr w:rsidR="00561686" w:rsidRPr="00DF3006" w:rsidSect="00C77834">
          <w:headerReference w:type="even" r:id="rId246"/>
          <w:headerReference w:type="default" r:id="rId247"/>
          <w:headerReference w:type="first" r:id="rId248"/>
          <w:pgSz w:w="11906" w:h="16838" w:code="9"/>
          <w:pgMar w:top="2155" w:right="1134" w:bottom="964" w:left="1134" w:header="720" w:footer="284" w:gutter="0"/>
          <w:cols w:space="567"/>
          <w:noEndnote/>
          <w:docGrid w:linePitch="272"/>
        </w:sectPr>
      </w:pPr>
      <w:bookmarkStart w:id="1493" w:name="_Governance_and_people"/>
      <w:bookmarkStart w:id="1494" w:name="_Toc102038043"/>
      <w:bookmarkStart w:id="1495" w:name="_Toc102038404"/>
      <w:bookmarkStart w:id="1496" w:name="_Toc102038765"/>
      <w:bookmarkStart w:id="1497" w:name="_Toc102039117"/>
      <w:bookmarkStart w:id="1498" w:name="_Toc102039466"/>
      <w:bookmarkStart w:id="1499" w:name="_Toc102039828"/>
      <w:bookmarkStart w:id="1500" w:name="_Toc102040185"/>
      <w:bookmarkStart w:id="1501" w:name="_Toc102040513"/>
      <w:bookmarkStart w:id="1502" w:name="_Toc102040847"/>
      <w:bookmarkStart w:id="1503" w:name="_Toc102041175"/>
      <w:bookmarkStart w:id="1504" w:name="_Toc102041504"/>
      <w:bookmarkStart w:id="1505" w:name="_Toc102041836"/>
      <w:bookmarkStart w:id="1506" w:name="_Toc102042163"/>
      <w:bookmarkStart w:id="1507" w:name="_Toc102042493"/>
      <w:bookmarkStart w:id="1508" w:name="_Toc102045623"/>
      <w:bookmarkEnd w:id="1493"/>
      <w:r w:rsidRPr="00DF3006">
        <w:lastRenderedPageBreak/>
        <w:t>Governance and people</w:t>
      </w:r>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DF3006" w:rsidRPr="00DF3006" w14:paraId="5D9BCADF" w14:textId="77777777" w:rsidTr="00064E50">
        <w:trPr>
          <w:trHeight w:val="737"/>
        </w:trPr>
        <w:tc>
          <w:tcPr>
            <w:tcW w:w="4193" w:type="pct"/>
            <w:tcBorders>
              <w:bottom w:val="single" w:sz="12" w:space="0" w:color="FFFFFF" w:themeColor="background1"/>
            </w:tcBorders>
            <w:shd w:val="clear" w:color="auto" w:fill="auto"/>
            <w:vAlign w:val="center"/>
          </w:tcPr>
          <w:p w14:paraId="37D49947" w14:textId="77777777" w:rsidR="00561686" w:rsidRPr="00DF3006" w:rsidRDefault="00086D38" w:rsidP="00270F15">
            <w:pPr>
              <w:autoSpaceDE w:val="0"/>
              <w:autoSpaceDN w:val="0"/>
              <w:adjustRightInd w:val="0"/>
              <w:spacing w:after="0" w:line="288" w:lineRule="auto"/>
              <w:textAlignment w:val="center"/>
              <w:rPr>
                <w:color w:val="414042" w:themeColor="text1"/>
              </w:rPr>
            </w:pPr>
            <w:hyperlink w:anchor="ourcommission" w:history="1">
              <w:r w:rsidR="00561686" w:rsidRPr="00DF3006">
                <w:rPr>
                  <w:color w:val="414042" w:themeColor="text1"/>
                </w:rPr>
                <w:t>Our Commission</w:t>
              </w:r>
            </w:hyperlink>
          </w:p>
        </w:tc>
        <w:tc>
          <w:tcPr>
            <w:tcW w:w="807" w:type="pct"/>
            <w:tcBorders>
              <w:bottom w:val="single" w:sz="12" w:space="0" w:color="FFFFFF" w:themeColor="background1"/>
            </w:tcBorders>
            <w:shd w:val="clear" w:color="auto" w:fill="auto"/>
            <w:vAlign w:val="center"/>
          </w:tcPr>
          <w:p w14:paraId="7208FB40" w14:textId="2EAD8FC0" w:rsidR="00561686" w:rsidRPr="00DF3006" w:rsidRDefault="007D20E4" w:rsidP="00064E50">
            <w:pPr>
              <w:autoSpaceDE w:val="0"/>
              <w:autoSpaceDN w:val="0"/>
              <w:adjustRightInd w:val="0"/>
              <w:spacing w:after="0" w:line="288" w:lineRule="auto"/>
              <w:jc w:val="center"/>
              <w:textAlignment w:val="center"/>
              <w:rPr>
                <w:color w:val="414042" w:themeColor="text1"/>
              </w:rPr>
            </w:pPr>
            <w:r w:rsidRPr="00DF3006">
              <w:rPr>
                <w:color w:val="414042" w:themeColor="text1"/>
              </w:rPr>
              <w:t>59</w:t>
            </w:r>
          </w:p>
        </w:tc>
      </w:tr>
      <w:tr w:rsidR="00DF3006" w:rsidRPr="00DF3006" w14:paraId="7E020B9B" w14:textId="77777777" w:rsidTr="00064E50">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CC2BA55" w14:textId="028AB2DE" w:rsidR="00792625" w:rsidRPr="00DF3006" w:rsidRDefault="00086D38" w:rsidP="00792625">
            <w:pPr>
              <w:autoSpaceDE w:val="0"/>
              <w:autoSpaceDN w:val="0"/>
              <w:adjustRightInd w:val="0"/>
              <w:spacing w:after="0" w:line="288" w:lineRule="auto"/>
              <w:textAlignment w:val="center"/>
              <w:rPr>
                <w:color w:val="414042" w:themeColor="text1"/>
              </w:rPr>
            </w:pPr>
            <w:hyperlink w:anchor="_Our_Executive_Leadership" w:history="1">
              <w:r w:rsidR="00792625" w:rsidRPr="00DF3006">
                <w:rPr>
                  <w:color w:val="414042" w:themeColor="text1"/>
                </w:rPr>
                <w:t>Our Executive Leadership Team</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1573293F" w14:textId="6F34E086" w:rsidR="00792625" w:rsidRPr="00DF3006" w:rsidRDefault="007D20E4" w:rsidP="00064E50">
            <w:pPr>
              <w:autoSpaceDE w:val="0"/>
              <w:autoSpaceDN w:val="0"/>
              <w:adjustRightInd w:val="0"/>
              <w:spacing w:after="0" w:line="288" w:lineRule="auto"/>
              <w:jc w:val="center"/>
              <w:textAlignment w:val="center"/>
              <w:rPr>
                <w:color w:val="414042" w:themeColor="text1"/>
              </w:rPr>
            </w:pPr>
            <w:r w:rsidRPr="00DF3006">
              <w:rPr>
                <w:color w:val="414042" w:themeColor="text1"/>
              </w:rPr>
              <w:t>61</w:t>
            </w:r>
          </w:p>
        </w:tc>
      </w:tr>
      <w:tr w:rsidR="00DF3006" w:rsidRPr="00DF3006" w14:paraId="5A207880" w14:textId="77777777" w:rsidTr="00064E50">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2F844294" w14:textId="1DD4FD44" w:rsidR="00792625" w:rsidRPr="00DF3006" w:rsidRDefault="00086D38" w:rsidP="00792625">
            <w:pPr>
              <w:autoSpaceDE w:val="0"/>
              <w:autoSpaceDN w:val="0"/>
              <w:adjustRightInd w:val="0"/>
              <w:spacing w:after="0" w:line="288" w:lineRule="auto"/>
              <w:textAlignment w:val="center"/>
              <w:rPr>
                <w:color w:val="414042" w:themeColor="text1"/>
              </w:rPr>
            </w:pPr>
            <w:hyperlink w:anchor="_Our_people" w:history="1">
              <w:r w:rsidR="00792625" w:rsidRPr="00DF3006">
                <w:rPr>
                  <w:color w:val="414042" w:themeColor="text1"/>
                </w:rPr>
                <w:t>Our people</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7FFAF89C" w14:textId="6014CFB0" w:rsidR="00792625" w:rsidRPr="00DF3006" w:rsidRDefault="007D20E4" w:rsidP="00064E50">
            <w:pPr>
              <w:autoSpaceDE w:val="0"/>
              <w:autoSpaceDN w:val="0"/>
              <w:adjustRightInd w:val="0"/>
              <w:spacing w:after="0" w:line="288" w:lineRule="auto"/>
              <w:jc w:val="center"/>
              <w:textAlignment w:val="center"/>
              <w:rPr>
                <w:color w:val="414042" w:themeColor="text1"/>
              </w:rPr>
            </w:pPr>
            <w:r w:rsidRPr="00DF3006">
              <w:rPr>
                <w:color w:val="414042" w:themeColor="text1"/>
              </w:rPr>
              <w:t>62</w:t>
            </w:r>
          </w:p>
        </w:tc>
      </w:tr>
      <w:tr w:rsidR="00792625" w:rsidRPr="00DF3006" w14:paraId="63EDDABE" w14:textId="77777777" w:rsidTr="00064E50">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2ABB9BD8" w14:textId="56459CCB" w:rsidR="00792625" w:rsidRPr="00782A75" w:rsidRDefault="00086D38" w:rsidP="00792625">
            <w:pPr>
              <w:autoSpaceDE w:val="0"/>
              <w:autoSpaceDN w:val="0"/>
              <w:adjustRightInd w:val="0"/>
              <w:spacing w:after="0" w:line="288" w:lineRule="auto"/>
              <w:textAlignment w:val="center"/>
              <w:rPr>
                <w:color w:val="414042" w:themeColor="text1"/>
              </w:rPr>
            </w:pPr>
            <w:hyperlink w:anchor="_Our_governance_and" w:history="1">
              <w:r w:rsidR="00792625" w:rsidRPr="00782A75">
                <w:rPr>
                  <w:rStyle w:val="Hyperlink"/>
                  <w:u w:val="none"/>
                </w:rPr>
                <w:t>Our governance and oversight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7A568309" w14:textId="05F09C99" w:rsidR="00792625" w:rsidRPr="00DF3006" w:rsidRDefault="007D20E4" w:rsidP="00064E50">
            <w:pPr>
              <w:autoSpaceDE w:val="0"/>
              <w:autoSpaceDN w:val="0"/>
              <w:adjustRightInd w:val="0"/>
              <w:spacing w:after="0" w:line="288" w:lineRule="auto"/>
              <w:jc w:val="center"/>
              <w:textAlignment w:val="center"/>
              <w:rPr>
                <w:color w:val="414042" w:themeColor="text1"/>
              </w:rPr>
            </w:pPr>
            <w:r w:rsidRPr="00DF3006">
              <w:rPr>
                <w:color w:val="414042" w:themeColor="text1"/>
              </w:rPr>
              <w:t>65</w:t>
            </w:r>
          </w:p>
        </w:tc>
      </w:tr>
    </w:tbl>
    <w:p w14:paraId="36ED8936" w14:textId="77777777" w:rsidR="00561686" w:rsidRPr="00DF3006" w:rsidRDefault="00561686" w:rsidP="00561686">
      <w:pPr>
        <w:pStyle w:val="Heading1"/>
        <w:sectPr w:rsidR="00561686" w:rsidRPr="00DF3006" w:rsidSect="00C77834">
          <w:type w:val="continuous"/>
          <w:pgSz w:w="11906" w:h="16838" w:code="9"/>
          <w:pgMar w:top="2155" w:right="1134" w:bottom="964" w:left="1134" w:header="720" w:footer="284" w:gutter="0"/>
          <w:cols w:space="567"/>
          <w:noEndnote/>
          <w:docGrid w:linePitch="272"/>
        </w:sectPr>
      </w:pPr>
    </w:p>
    <w:p w14:paraId="51B59C75" w14:textId="77777777" w:rsidR="00561686" w:rsidRPr="00DF3006" w:rsidRDefault="00561686" w:rsidP="00561686">
      <w:pPr>
        <w:pStyle w:val="Heading2"/>
      </w:pPr>
      <w:bookmarkStart w:id="1509" w:name="ourcommission"/>
      <w:bookmarkStart w:id="1510" w:name="_Toc102038044"/>
      <w:bookmarkStart w:id="1511" w:name="_Toc102038405"/>
      <w:bookmarkStart w:id="1512" w:name="_Toc102038766"/>
      <w:bookmarkStart w:id="1513" w:name="_Toc102039118"/>
      <w:bookmarkStart w:id="1514" w:name="_Toc102039467"/>
      <w:bookmarkStart w:id="1515" w:name="_Toc102039829"/>
      <w:bookmarkStart w:id="1516" w:name="_Toc102040186"/>
      <w:bookmarkStart w:id="1517" w:name="_Toc102040514"/>
      <w:bookmarkStart w:id="1518" w:name="_Toc102040848"/>
      <w:bookmarkStart w:id="1519" w:name="_Toc102041176"/>
      <w:bookmarkStart w:id="1520" w:name="_Toc102041505"/>
      <w:bookmarkStart w:id="1521" w:name="_Toc102041837"/>
      <w:bookmarkStart w:id="1522" w:name="_Toc102042164"/>
      <w:bookmarkStart w:id="1523" w:name="_Toc102042494"/>
      <w:bookmarkStart w:id="1524" w:name="_Toc102045624"/>
      <w:bookmarkEnd w:id="1509"/>
      <w:r w:rsidRPr="00DF3006">
        <w:lastRenderedPageBreak/>
        <w:t>Our Commission</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3F40050D" w14:textId="77777777" w:rsidR="00561686" w:rsidRPr="00DF3006" w:rsidRDefault="00561686" w:rsidP="00E52781">
      <w:pPr>
        <w:pStyle w:val="Openingparagraph"/>
        <w:sectPr w:rsidR="00561686" w:rsidRPr="00DF3006" w:rsidSect="00C77834">
          <w:headerReference w:type="even" r:id="rId249"/>
          <w:headerReference w:type="default" r:id="rId250"/>
          <w:headerReference w:type="first" r:id="rId251"/>
          <w:pgSz w:w="11906" w:h="16838" w:code="9"/>
          <w:pgMar w:top="2155" w:right="1134" w:bottom="964" w:left="1134" w:header="720" w:footer="284" w:gutter="0"/>
          <w:cols w:space="567"/>
          <w:noEndnote/>
          <w:docGrid w:linePitch="272"/>
        </w:sectPr>
      </w:pPr>
      <w:r w:rsidRPr="00DF3006">
        <w:t xml:space="preserve">The Commission is responsible for providing strategic leadership and direction for the performance of the CCC’s functions and the exercise of our powers by the Chairperson, </w:t>
      </w:r>
      <w:proofErr w:type="gramStart"/>
      <w:r w:rsidRPr="00DF3006">
        <w:t>CEO</w:t>
      </w:r>
      <w:proofErr w:type="gramEnd"/>
      <w:r w:rsidRPr="00DF3006">
        <w:t xml:space="preserve"> and other commission officers.</w:t>
      </w:r>
    </w:p>
    <w:p w14:paraId="160EA7AE" w14:textId="77777777" w:rsidR="00561686" w:rsidRPr="00DF3006" w:rsidRDefault="00561686" w:rsidP="00561686">
      <w:pPr>
        <w:pStyle w:val="Openingparagraph"/>
        <w:spacing w:after="360"/>
        <w:rPr>
          <w:rFonts w:asciiTheme="minorHAnsi" w:hAnsiTheme="minorHAnsi" w:cstheme="minorHAnsi"/>
          <w:sz w:val="28"/>
          <w:szCs w:val="28"/>
        </w:rPr>
      </w:pPr>
      <w:r w:rsidRPr="00DF3006">
        <w:rPr>
          <w:rStyle w:val="Heading3Char"/>
          <w:rFonts w:eastAsiaTheme="minorHAnsi"/>
          <w:b/>
          <w:bCs/>
        </w:rPr>
        <w:t>Profile of our Commission</w:t>
      </w:r>
      <w:r w:rsidRPr="00DF3006">
        <w:rPr>
          <w:rFonts w:asciiTheme="minorHAnsi" w:hAnsiTheme="minorHAnsi" w:cstheme="minorHAnsi"/>
          <w:sz w:val="28"/>
          <w:szCs w:val="28"/>
        </w:rPr>
        <w:br/>
      </w:r>
      <w:r w:rsidRPr="00DF3006">
        <w:rPr>
          <w:b w:val="0"/>
          <w:bCs w:val="0"/>
          <w:sz w:val="20"/>
          <w:szCs w:val="20"/>
        </w:rPr>
        <w:t xml:space="preserve">(as </w:t>
      </w:r>
      <w:proofErr w:type="gramStart"/>
      <w:r w:rsidRPr="00DF3006">
        <w:rPr>
          <w:b w:val="0"/>
          <w:bCs w:val="0"/>
          <w:sz w:val="20"/>
          <w:szCs w:val="20"/>
        </w:rPr>
        <w:t>at</w:t>
      </w:r>
      <w:proofErr w:type="gramEnd"/>
      <w:r w:rsidRPr="00DF3006">
        <w:rPr>
          <w:b w:val="0"/>
          <w:bCs w:val="0"/>
          <w:sz w:val="20"/>
          <w:szCs w:val="20"/>
        </w:rPr>
        <w:t xml:space="preserve"> 30 June 2023)</w:t>
      </w:r>
    </w:p>
    <w:p w14:paraId="4B437D86" w14:textId="6825801C" w:rsidR="00561686" w:rsidRPr="00DF3006" w:rsidRDefault="00561686" w:rsidP="00463FBB">
      <w:pPr>
        <w:pStyle w:val="Heading4"/>
      </w:pPr>
      <w:r w:rsidRPr="00DF3006">
        <w:t>Mr Bruce Barbour</w:t>
      </w:r>
      <w:r w:rsidRPr="00DF3006">
        <w:br/>
      </w:r>
      <w:r w:rsidR="00835A10" w:rsidRPr="00DF3006">
        <w:t>Chairperson</w:t>
      </w:r>
    </w:p>
    <w:p w14:paraId="77336A2C" w14:textId="6D44D9D1" w:rsidR="00561686" w:rsidRPr="00DF3006" w:rsidRDefault="00561686" w:rsidP="00B05B65">
      <w:pPr>
        <w:spacing w:before="40" w:line="204" w:lineRule="auto"/>
        <w:rPr>
          <w:i/>
          <w:iCs/>
          <w:color w:val="414042" w:themeColor="text1"/>
          <w:sz w:val="18"/>
          <w:szCs w:val="18"/>
        </w:rPr>
      </w:pPr>
      <w:r w:rsidRPr="00DF3006">
        <w:rPr>
          <w:i/>
          <w:iCs/>
          <w:color w:val="414042" w:themeColor="text1"/>
          <w:sz w:val="18"/>
          <w:szCs w:val="18"/>
        </w:rPr>
        <w:t>LLB (</w:t>
      </w:r>
      <w:r w:rsidR="00A85F3C" w:rsidRPr="00DF3006">
        <w:rPr>
          <w:i/>
          <w:iCs/>
          <w:color w:val="414042" w:themeColor="text1"/>
          <w:sz w:val="18"/>
          <w:szCs w:val="18"/>
        </w:rPr>
        <w:t>admitted as a Legal Practitioner to the Supreme Court of NSW in 1995</w:t>
      </w:r>
      <w:r w:rsidRPr="00DF3006">
        <w:rPr>
          <w:i/>
          <w:iCs/>
          <w:color w:val="414042" w:themeColor="text1"/>
          <w:sz w:val="18"/>
          <w:szCs w:val="18"/>
        </w:rPr>
        <w:t xml:space="preserve">), appointed </w:t>
      </w:r>
      <w:r w:rsidR="00953477" w:rsidRPr="00DF3006">
        <w:rPr>
          <w:i/>
          <w:iCs/>
          <w:color w:val="414042" w:themeColor="text1"/>
          <w:sz w:val="18"/>
          <w:szCs w:val="18"/>
        </w:rPr>
        <w:t xml:space="preserve">for a </w:t>
      </w:r>
      <w:r w:rsidR="00B72480" w:rsidRPr="00DF3006">
        <w:rPr>
          <w:i/>
          <w:iCs/>
          <w:color w:val="414042" w:themeColor="text1"/>
          <w:sz w:val="18"/>
          <w:szCs w:val="18"/>
        </w:rPr>
        <w:t>two</w:t>
      </w:r>
      <w:r w:rsidR="00953477" w:rsidRPr="00DF3006">
        <w:rPr>
          <w:i/>
          <w:iCs/>
          <w:color w:val="414042" w:themeColor="text1"/>
          <w:sz w:val="18"/>
          <w:szCs w:val="18"/>
        </w:rPr>
        <w:t xml:space="preserve">-year term </w:t>
      </w:r>
      <w:r w:rsidRPr="00DF3006">
        <w:rPr>
          <w:i/>
          <w:iCs/>
          <w:color w:val="414042" w:themeColor="text1"/>
          <w:sz w:val="18"/>
          <w:szCs w:val="18"/>
        </w:rPr>
        <w:t xml:space="preserve">as Ordinary Commissioner on 14 May 2021, </w:t>
      </w:r>
      <w:r w:rsidR="00F9567C" w:rsidRPr="00DF3006">
        <w:rPr>
          <w:i/>
          <w:iCs/>
          <w:color w:val="414042" w:themeColor="text1"/>
          <w:sz w:val="18"/>
          <w:szCs w:val="18"/>
        </w:rPr>
        <w:t xml:space="preserve">appointed </w:t>
      </w:r>
      <w:r w:rsidRPr="00DF3006">
        <w:rPr>
          <w:i/>
          <w:iCs/>
          <w:color w:val="414042" w:themeColor="text1"/>
          <w:sz w:val="18"/>
          <w:szCs w:val="18"/>
        </w:rPr>
        <w:t>as Acting Chairperson from 28</w:t>
      </w:r>
      <w:r w:rsidR="00F9567C" w:rsidRPr="00DF3006">
        <w:rPr>
          <w:i/>
          <w:iCs/>
          <w:color w:val="414042" w:themeColor="text1"/>
          <w:sz w:val="18"/>
          <w:szCs w:val="18"/>
        </w:rPr>
        <w:t> </w:t>
      </w:r>
      <w:r w:rsidRPr="00DF3006">
        <w:rPr>
          <w:i/>
          <w:iCs/>
          <w:color w:val="414042" w:themeColor="text1"/>
          <w:sz w:val="18"/>
          <w:szCs w:val="18"/>
        </w:rPr>
        <w:t>January 2022</w:t>
      </w:r>
      <w:r w:rsidR="00F9567C" w:rsidRPr="00DF3006">
        <w:rPr>
          <w:i/>
          <w:iCs/>
          <w:color w:val="414042" w:themeColor="text1"/>
          <w:sz w:val="18"/>
          <w:szCs w:val="18"/>
        </w:rPr>
        <w:t xml:space="preserve">, and appointed </w:t>
      </w:r>
      <w:r w:rsidRPr="00DF3006">
        <w:rPr>
          <w:i/>
          <w:iCs/>
          <w:color w:val="414042" w:themeColor="text1"/>
          <w:sz w:val="18"/>
          <w:szCs w:val="18"/>
        </w:rPr>
        <w:t>as Chairperson for a three-year term from 2 July 202</w:t>
      </w:r>
      <w:r w:rsidR="00A00EC9" w:rsidRPr="00DF3006">
        <w:rPr>
          <w:i/>
          <w:iCs/>
          <w:color w:val="414042" w:themeColor="text1"/>
          <w:sz w:val="18"/>
          <w:szCs w:val="18"/>
        </w:rPr>
        <w:t>2</w:t>
      </w:r>
      <w:r w:rsidRPr="00DF3006">
        <w:rPr>
          <w:i/>
          <w:iCs/>
          <w:color w:val="414042" w:themeColor="text1"/>
          <w:sz w:val="18"/>
          <w:szCs w:val="18"/>
        </w:rPr>
        <w:t>.</w:t>
      </w:r>
    </w:p>
    <w:p w14:paraId="0A7D1ACA" w14:textId="77777777" w:rsidR="00561686" w:rsidRPr="00DF3006" w:rsidRDefault="00561686" w:rsidP="00BF2923">
      <w:pPr>
        <w:rPr>
          <w:color w:val="414042" w:themeColor="text1"/>
        </w:rPr>
      </w:pPr>
      <w:r w:rsidRPr="00DF3006">
        <w:rPr>
          <w:color w:val="414042" w:themeColor="text1"/>
        </w:rPr>
        <w:t xml:space="preserve">Mr Barbour has extensive experience in administrative law, investigations, and management. He was the NSW Ombudsman for 15 years from 2000 to 2015. </w:t>
      </w:r>
      <w:r w:rsidRPr="00DF3006">
        <w:rPr>
          <w:color w:val="414042" w:themeColor="text1"/>
        </w:rPr>
        <w:br/>
        <w:t>Mr Barbour has also been a Senior Member of the Administrative Appeals Tribunal, Member of the NSW Casino Control Authority and acted as Commonwealth Merit Protection Commissioner and Queensland Integrity Commissioner. Mr Barbour’s board experience includes being Chair of the NSW Public Interest Disclosures Steering Committee, Convenor of the NSW Child Death Advisory Committee and Vice-President of the International Ombudsman Institute.</w:t>
      </w:r>
    </w:p>
    <w:p w14:paraId="7C797425" w14:textId="53D6D45F" w:rsidR="00561686" w:rsidRPr="00DF3006" w:rsidRDefault="00561686" w:rsidP="00463FBB">
      <w:pPr>
        <w:pStyle w:val="Heading4"/>
      </w:pPr>
      <w:bookmarkStart w:id="1525" w:name="_Hlk137485094"/>
      <w:r w:rsidRPr="00DF3006">
        <w:t>Ms Kathryn McMillan KC</w:t>
      </w:r>
      <w:r w:rsidRPr="00DF3006">
        <w:br/>
      </w:r>
      <w:r w:rsidR="00835A10" w:rsidRPr="00DF3006">
        <w:t>Deputy Chairperson</w:t>
      </w:r>
    </w:p>
    <w:p w14:paraId="5A69BB8E" w14:textId="4B0AB9C7" w:rsidR="00561686" w:rsidRPr="00DF3006" w:rsidRDefault="00561686" w:rsidP="00B05B65">
      <w:pPr>
        <w:spacing w:before="40" w:line="204" w:lineRule="auto"/>
        <w:rPr>
          <w:i/>
          <w:iCs/>
          <w:color w:val="414042" w:themeColor="text1"/>
          <w:sz w:val="18"/>
          <w:szCs w:val="18"/>
        </w:rPr>
      </w:pPr>
      <w:r w:rsidRPr="00DF3006">
        <w:rPr>
          <w:i/>
          <w:iCs/>
          <w:color w:val="414042" w:themeColor="text1"/>
          <w:sz w:val="18"/>
          <w:szCs w:val="18"/>
        </w:rPr>
        <w:t xml:space="preserve">Admitted </w:t>
      </w:r>
      <w:r w:rsidR="00E44D04" w:rsidRPr="00DF3006">
        <w:rPr>
          <w:i/>
          <w:iCs/>
          <w:color w:val="414042" w:themeColor="text1"/>
          <w:sz w:val="18"/>
          <w:szCs w:val="18"/>
        </w:rPr>
        <w:t xml:space="preserve">as a barrister </w:t>
      </w:r>
      <w:r w:rsidRPr="00DF3006">
        <w:rPr>
          <w:i/>
          <w:iCs/>
          <w:color w:val="414042" w:themeColor="text1"/>
          <w:sz w:val="18"/>
          <w:szCs w:val="18"/>
        </w:rPr>
        <w:t>in 1987, appointed</w:t>
      </w:r>
      <w:r w:rsidR="00E44D04" w:rsidRPr="00DF3006">
        <w:rPr>
          <w:i/>
          <w:iCs/>
          <w:color w:val="414042" w:themeColor="text1"/>
          <w:sz w:val="18"/>
          <w:szCs w:val="18"/>
        </w:rPr>
        <w:t xml:space="preserve"> senior counsel</w:t>
      </w:r>
      <w:r w:rsidRPr="00DF3006">
        <w:rPr>
          <w:i/>
          <w:iCs/>
          <w:color w:val="414042" w:themeColor="text1"/>
          <w:sz w:val="18"/>
          <w:szCs w:val="18"/>
        </w:rPr>
        <w:t xml:space="preserve"> in 2006</w:t>
      </w:r>
      <w:r w:rsidR="00F9567C" w:rsidRPr="00DF3006">
        <w:rPr>
          <w:i/>
          <w:iCs/>
          <w:color w:val="414042" w:themeColor="text1"/>
          <w:sz w:val="18"/>
          <w:szCs w:val="18"/>
        </w:rPr>
        <w:t xml:space="preserve">, </w:t>
      </w:r>
      <w:r w:rsidR="00E44D04" w:rsidRPr="00DF3006">
        <w:rPr>
          <w:i/>
          <w:iCs/>
          <w:color w:val="414042" w:themeColor="text1"/>
          <w:sz w:val="18"/>
          <w:szCs w:val="18"/>
        </w:rPr>
        <w:t xml:space="preserve">and </w:t>
      </w:r>
      <w:r w:rsidR="00B72480" w:rsidRPr="00DF3006">
        <w:rPr>
          <w:i/>
          <w:iCs/>
          <w:color w:val="414042" w:themeColor="text1"/>
          <w:sz w:val="18"/>
          <w:szCs w:val="18"/>
        </w:rPr>
        <w:t xml:space="preserve">appointed as Deputy Chairperson </w:t>
      </w:r>
      <w:r w:rsidR="009B0939" w:rsidRPr="00DF3006">
        <w:rPr>
          <w:i/>
          <w:iCs/>
          <w:color w:val="414042" w:themeColor="text1"/>
          <w:sz w:val="18"/>
          <w:szCs w:val="18"/>
        </w:rPr>
        <w:t xml:space="preserve">for a five-year term </w:t>
      </w:r>
      <w:r w:rsidRPr="00DF3006">
        <w:rPr>
          <w:i/>
          <w:iCs/>
          <w:color w:val="414042" w:themeColor="text1"/>
          <w:sz w:val="18"/>
          <w:szCs w:val="18"/>
        </w:rPr>
        <w:t>on 16 December 2022.</w:t>
      </w:r>
    </w:p>
    <w:p w14:paraId="254D2A34" w14:textId="47513411" w:rsidR="00561686" w:rsidRPr="00DF3006" w:rsidRDefault="00561686" w:rsidP="00561686">
      <w:pPr>
        <w:rPr>
          <w:color w:val="414042" w:themeColor="text1"/>
        </w:rPr>
      </w:pPr>
      <w:r w:rsidRPr="00DF3006">
        <w:rPr>
          <w:color w:val="414042" w:themeColor="text1"/>
        </w:rPr>
        <w:t xml:space="preserve">Ms McMillan practices in personal injuries, public law, disciplinary matters, discrimination proceedings and has a long-standing practice in family law and child protection proceedings. She has been an ethics Counsellor for the Bar for many </w:t>
      </w:r>
      <w:proofErr w:type="gramStart"/>
      <w:r w:rsidRPr="00DF3006">
        <w:rPr>
          <w:color w:val="414042" w:themeColor="text1"/>
        </w:rPr>
        <w:t xml:space="preserve">years, </w:t>
      </w:r>
      <w:r w:rsidR="0060572C" w:rsidRPr="00DF3006">
        <w:rPr>
          <w:color w:val="414042" w:themeColor="text1"/>
        </w:rPr>
        <w:t>and</w:t>
      </w:r>
      <w:proofErr w:type="gramEnd"/>
      <w:r w:rsidR="0060572C" w:rsidRPr="00DF3006">
        <w:rPr>
          <w:color w:val="414042" w:themeColor="text1"/>
        </w:rPr>
        <w:t xml:space="preserve"> </w:t>
      </w:r>
      <w:r w:rsidRPr="00DF3006">
        <w:rPr>
          <w:color w:val="414042" w:themeColor="text1"/>
        </w:rPr>
        <w:t xml:space="preserve">has been appointed to the Queensland Civil and Administrative Tribunal as an assessor in legal disciplinary matters. She has appeared in numerous Royal Commissions/ Commissions of Inquiry and has held </w:t>
      </w:r>
      <w:proofErr w:type="gramStart"/>
      <w:r w:rsidRPr="00DF3006">
        <w:rPr>
          <w:color w:val="414042" w:themeColor="text1"/>
        </w:rPr>
        <w:t>a number of</w:t>
      </w:r>
      <w:proofErr w:type="gramEnd"/>
      <w:r w:rsidRPr="00DF3006">
        <w:rPr>
          <w:color w:val="414042" w:themeColor="text1"/>
        </w:rPr>
        <w:t xml:space="preserve"> Ministerial appointments.</w:t>
      </w:r>
    </w:p>
    <w:p w14:paraId="1C58CAC9" w14:textId="1E41BCF1" w:rsidR="00561686" w:rsidRPr="00DF3006" w:rsidRDefault="004001A3" w:rsidP="00463FBB">
      <w:pPr>
        <w:pStyle w:val="Heading4"/>
      </w:pPr>
      <w:r w:rsidRPr="00DF3006">
        <w:br w:type="column"/>
      </w:r>
      <w:r w:rsidR="00561686" w:rsidRPr="00DF3006">
        <w:t>Ms Helen Darch OAM</w:t>
      </w:r>
      <w:r w:rsidR="00561686" w:rsidRPr="00DF3006">
        <w:br/>
      </w:r>
      <w:r w:rsidR="00835A10" w:rsidRPr="00DF3006">
        <w:t>Ordinary Commissioner</w:t>
      </w:r>
    </w:p>
    <w:p w14:paraId="156835D9" w14:textId="5A62DD38" w:rsidR="00561686" w:rsidRPr="00DF3006" w:rsidRDefault="00561686" w:rsidP="00B05B65">
      <w:pPr>
        <w:spacing w:before="40" w:line="204" w:lineRule="auto"/>
        <w:rPr>
          <w:i/>
          <w:iCs/>
          <w:color w:val="414042" w:themeColor="text1"/>
          <w:sz w:val="18"/>
          <w:szCs w:val="18"/>
        </w:rPr>
      </w:pPr>
      <w:r w:rsidRPr="00DF3006">
        <w:rPr>
          <w:i/>
          <w:iCs/>
          <w:color w:val="414042" w:themeColor="text1"/>
          <w:sz w:val="18"/>
          <w:szCs w:val="18"/>
        </w:rPr>
        <w:t>B</w:t>
      </w:r>
      <w:r w:rsidR="00B05B65" w:rsidRPr="00DF3006">
        <w:rPr>
          <w:i/>
          <w:iCs/>
          <w:color w:val="414042" w:themeColor="text1"/>
          <w:sz w:val="18"/>
          <w:szCs w:val="18"/>
        </w:rPr>
        <w:t>A</w:t>
      </w:r>
      <w:r w:rsidRPr="00DF3006">
        <w:rPr>
          <w:i/>
          <w:iCs/>
          <w:color w:val="414042" w:themeColor="text1"/>
          <w:sz w:val="18"/>
          <w:szCs w:val="18"/>
        </w:rPr>
        <w:t xml:space="preserve">, </w:t>
      </w:r>
      <w:proofErr w:type="spellStart"/>
      <w:r w:rsidRPr="00DF3006">
        <w:rPr>
          <w:i/>
          <w:iCs/>
          <w:color w:val="414042" w:themeColor="text1"/>
          <w:sz w:val="18"/>
          <w:szCs w:val="18"/>
        </w:rPr>
        <w:t>GradDip</w:t>
      </w:r>
      <w:proofErr w:type="spellEnd"/>
      <w:r w:rsidRPr="00DF3006">
        <w:rPr>
          <w:i/>
          <w:iCs/>
          <w:color w:val="414042" w:themeColor="text1"/>
          <w:sz w:val="18"/>
          <w:szCs w:val="18"/>
        </w:rPr>
        <w:t xml:space="preserve"> (</w:t>
      </w:r>
      <w:proofErr w:type="spellStart"/>
      <w:r w:rsidR="00F9567C" w:rsidRPr="00DF3006">
        <w:rPr>
          <w:i/>
          <w:iCs/>
          <w:color w:val="414042" w:themeColor="text1"/>
          <w:sz w:val="18"/>
          <w:szCs w:val="18"/>
        </w:rPr>
        <w:t>Lib&amp;InfoServ</w:t>
      </w:r>
      <w:proofErr w:type="spellEnd"/>
      <w:r w:rsidRPr="00DF3006">
        <w:rPr>
          <w:i/>
          <w:iCs/>
          <w:color w:val="414042" w:themeColor="text1"/>
          <w:sz w:val="18"/>
          <w:szCs w:val="18"/>
        </w:rPr>
        <w:t>), MEd (</w:t>
      </w:r>
      <w:proofErr w:type="spellStart"/>
      <w:r w:rsidRPr="00DF3006">
        <w:rPr>
          <w:i/>
          <w:iCs/>
          <w:color w:val="414042" w:themeColor="text1"/>
          <w:sz w:val="18"/>
          <w:szCs w:val="18"/>
        </w:rPr>
        <w:t>Train</w:t>
      </w:r>
      <w:r w:rsidR="00F9567C" w:rsidRPr="00DF3006">
        <w:rPr>
          <w:i/>
          <w:iCs/>
          <w:color w:val="414042" w:themeColor="text1"/>
          <w:sz w:val="18"/>
          <w:szCs w:val="18"/>
        </w:rPr>
        <w:t>&amp;</w:t>
      </w:r>
      <w:r w:rsidRPr="00DF3006">
        <w:rPr>
          <w:i/>
          <w:iCs/>
          <w:color w:val="414042" w:themeColor="text1"/>
          <w:sz w:val="18"/>
          <w:szCs w:val="18"/>
        </w:rPr>
        <w:t>Dev</w:t>
      </w:r>
      <w:proofErr w:type="spellEnd"/>
      <w:r w:rsidRPr="00DF3006">
        <w:rPr>
          <w:i/>
          <w:iCs/>
          <w:color w:val="414042" w:themeColor="text1"/>
          <w:sz w:val="18"/>
          <w:szCs w:val="18"/>
        </w:rPr>
        <w:t xml:space="preserve">), </w:t>
      </w:r>
      <w:proofErr w:type="spellStart"/>
      <w:r w:rsidRPr="00DF3006">
        <w:rPr>
          <w:i/>
          <w:iCs/>
          <w:color w:val="414042" w:themeColor="text1"/>
          <w:sz w:val="18"/>
          <w:szCs w:val="18"/>
        </w:rPr>
        <w:t>MAICD</w:t>
      </w:r>
      <w:proofErr w:type="spellEnd"/>
      <w:r w:rsidRPr="00DF3006">
        <w:rPr>
          <w:i/>
          <w:iCs/>
          <w:color w:val="414042" w:themeColor="text1"/>
          <w:sz w:val="18"/>
          <w:szCs w:val="18"/>
        </w:rPr>
        <w:t xml:space="preserve">, appointed </w:t>
      </w:r>
      <w:r w:rsidR="00B72480" w:rsidRPr="00DF3006">
        <w:rPr>
          <w:i/>
          <w:iCs/>
          <w:color w:val="414042" w:themeColor="text1"/>
          <w:sz w:val="18"/>
          <w:szCs w:val="18"/>
        </w:rPr>
        <w:t xml:space="preserve">as Ordinary Commissioner </w:t>
      </w:r>
      <w:r w:rsidRPr="00DF3006">
        <w:rPr>
          <w:i/>
          <w:iCs/>
          <w:color w:val="414042" w:themeColor="text1"/>
          <w:sz w:val="18"/>
          <w:szCs w:val="18"/>
        </w:rPr>
        <w:t xml:space="preserve">for a two-year term on 14 May 2021, and reappointed </w:t>
      </w:r>
      <w:r w:rsidR="00B72480" w:rsidRPr="00DF3006">
        <w:rPr>
          <w:i/>
          <w:iCs/>
          <w:color w:val="414042" w:themeColor="text1"/>
          <w:sz w:val="18"/>
          <w:szCs w:val="18"/>
        </w:rPr>
        <w:t xml:space="preserve">as Ordinary Commissioner </w:t>
      </w:r>
      <w:r w:rsidRPr="00DF3006">
        <w:rPr>
          <w:i/>
          <w:iCs/>
          <w:color w:val="414042" w:themeColor="text1"/>
          <w:sz w:val="18"/>
          <w:szCs w:val="18"/>
        </w:rPr>
        <w:t xml:space="preserve">for </w:t>
      </w:r>
      <w:r w:rsidR="00F9567C" w:rsidRPr="00DF3006">
        <w:rPr>
          <w:i/>
          <w:iCs/>
          <w:color w:val="414042" w:themeColor="text1"/>
          <w:sz w:val="18"/>
          <w:szCs w:val="18"/>
        </w:rPr>
        <w:t xml:space="preserve">a </w:t>
      </w:r>
      <w:r w:rsidRPr="00DF3006">
        <w:rPr>
          <w:i/>
          <w:iCs/>
          <w:color w:val="414042" w:themeColor="text1"/>
          <w:sz w:val="18"/>
          <w:szCs w:val="18"/>
        </w:rPr>
        <w:t>five</w:t>
      </w:r>
      <w:r w:rsidR="00F9567C" w:rsidRPr="00DF3006">
        <w:rPr>
          <w:i/>
          <w:iCs/>
          <w:color w:val="414042" w:themeColor="text1"/>
          <w:sz w:val="18"/>
          <w:szCs w:val="18"/>
        </w:rPr>
        <w:t>-</w:t>
      </w:r>
      <w:r w:rsidRPr="00DF3006">
        <w:rPr>
          <w:i/>
          <w:iCs/>
          <w:color w:val="414042" w:themeColor="text1"/>
          <w:sz w:val="18"/>
          <w:szCs w:val="18"/>
        </w:rPr>
        <w:t>year</w:t>
      </w:r>
      <w:r w:rsidR="00F9567C" w:rsidRPr="00DF3006">
        <w:rPr>
          <w:i/>
          <w:iCs/>
          <w:color w:val="414042" w:themeColor="text1"/>
          <w:sz w:val="18"/>
          <w:szCs w:val="18"/>
        </w:rPr>
        <w:t xml:space="preserve"> term</w:t>
      </w:r>
      <w:r w:rsidRPr="00DF3006">
        <w:rPr>
          <w:i/>
          <w:iCs/>
          <w:color w:val="414042" w:themeColor="text1"/>
          <w:sz w:val="18"/>
          <w:szCs w:val="18"/>
        </w:rPr>
        <w:t xml:space="preserve"> on 14 May 2023.</w:t>
      </w:r>
    </w:p>
    <w:p w14:paraId="59E67B7B" w14:textId="50E94B03" w:rsidR="00561686" w:rsidRPr="00DF3006" w:rsidRDefault="00561686" w:rsidP="00BF2923">
      <w:pPr>
        <w:rPr>
          <w:color w:val="414042" w:themeColor="text1"/>
        </w:rPr>
      </w:pPr>
      <w:r w:rsidRPr="00DF3006">
        <w:rPr>
          <w:color w:val="414042" w:themeColor="text1"/>
        </w:rPr>
        <w:t xml:space="preserve">Ms Darch is a management consultant with extensive experience in strategy, facilitation, stakeholder engagement and change management. She has consulted to the government, health, education, and not-for-profit sectors for many years, and now focuses on executive mentoring and Board work. Ms Darch has over 15 years’ experience as a non-executive director on large not-for-profit and government boards and is currently </w:t>
      </w:r>
      <w:r w:rsidR="002E7CA5" w:rsidRPr="00DF3006">
        <w:rPr>
          <w:color w:val="414042" w:themeColor="text1"/>
        </w:rPr>
        <w:t xml:space="preserve">Chair of the Research Advisory Committee, </w:t>
      </w:r>
      <w:proofErr w:type="gramStart"/>
      <w:r w:rsidR="002E7CA5" w:rsidRPr="00DF3006">
        <w:rPr>
          <w:color w:val="414042" w:themeColor="text1"/>
        </w:rPr>
        <w:t>Health</w:t>
      </w:r>
      <w:proofErr w:type="gramEnd"/>
      <w:r w:rsidR="002E7CA5" w:rsidRPr="00DF3006">
        <w:rPr>
          <w:color w:val="414042" w:themeColor="text1"/>
        </w:rPr>
        <w:t xml:space="preserve"> and Wellbeing Queensland</w:t>
      </w:r>
      <w:r w:rsidRPr="00DF3006">
        <w:rPr>
          <w:color w:val="414042" w:themeColor="text1"/>
        </w:rPr>
        <w:t>.</w:t>
      </w:r>
      <w:bookmarkEnd w:id="1525"/>
    </w:p>
    <w:p w14:paraId="7A1BF99E" w14:textId="4C44DCB5" w:rsidR="00561686" w:rsidRPr="00DF3006" w:rsidRDefault="00561686" w:rsidP="00463FBB">
      <w:pPr>
        <w:pStyle w:val="Heading4"/>
      </w:pPr>
      <w:r w:rsidRPr="00DF3006">
        <w:t>Mr Peter Dowling AM</w:t>
      </w:r>
      <w:r w:rsidRPr="00DF3006">
        <w:br/>
      </w:r>
      <w:r w:rsidR="00835A10" w:rsidRPr="00DF3006">
        <w:t>Ordinary Commissioner</w:t>
      </w:r>
    </w:p>
    <w:p w14:paraId="1E441DBC" w14:textId="0A08E275" w:rsidR="00561686" w:rsidRPr="00DF3006" w:rsidRDefault="00561686" w:rsidP="00B05B65">
      <w:pPr>
        <w:spacing w:before="40" w:line="204" w:lineRule="auto"/>
        <w:rPr>
          <w:i/>
          <w:iCs/>
          <w:color w:val="414042" w:themeColor="text1"/>
          <w:sz w:val="18"/>
          <w:szCs w:val="18"/>
        </w:rPr>
      </w:pPr>
      <w:r w:rsidRPr="00DF3006">
        <w:rPr>
          <w:i/>
          <w:iCs/>
          <w:color w:val="414042" w:themeColor="text1"/>
          <w:sz w:val="18"/>
          <w:szCs w:val="18"/>
        </w:rPr>
        <w:t xml:space="preserve">Appointed </w:t>
      </w:r>
      <w:r w:rsidR="00B72480" w:rsidRPr="00DF3006">
        <w:rPr>
          <w:i/>
          <w:iCs/>
          <w:color w:val="414042" w:themeColor="text1"/>
          <w:sz w:val="18"/>
          <w:szCs w:val="18"/>
        </w:rPr>
        <w:t xml:space="preserve">as Ordinary Commissioner </w:t>
      </w:r>
      <w:r w:rsidRPr="00DF3006">
        <w:rPr>
          <w:i/>
          <w:iCs/>
          <w:color w:val="414042" w:themeColor="text1"/>
          <w:sz w:val="18"/>
          <w:szCs w:val="18"/>
        </w:rPr>
        <w:t>for a three-year term on 4 November 2022.</w:t>
      </w:r>
    </w:p>
    <w:p w14:paraId="3635682D" w14:textId="62C51ECB" w:rsidR="00561686" w:rsidRPr="00DF3006" w:rsidRDefault="00561686" w:rsidP="00561686">
      <w:pPr>
        <w:rPr>
          <w:color w:val="414042" w:themeColor="text1"/>
        </w:rPr>
      </w:pPr>
      <w:r w:rsidRPr="00DF3006">
        <w:rPr>
          <w:color w:val="414042" w:themeColor="text1"/>
        </w:rPr>
        <w:t>Mr Dowling is an accountant (FCPA and former E</w:t>
      </w:r>
      <w:r w:rsidR="0060572C" w:rsidRPr="00DF3006">
        <w:rPr>
          <w:color w:val="414042" w:themeColor="text1"/>
        </w:rPr>
        <w:t>Y</w:t>
      </w:r>
      <w:r w:rsidRPr="00DF3006">
        <w:rPr>
          <w:color w:val="414042" w:themeColor="text1"/>
        </w:rPr>
        <w:t xml:space="preserve"> Partner) with over 25 years’ experience as a non-executive company director and independent audit and risk committee member. He has sat on government and private sector boards in the finance, insurance, health, education, </w:t>
      </w:r>
      <w:proofErr w:type="gramStart"/>
      <w:r w:rsidRPr="00DF3006">
        <w:rPr>
          <w:color w:val="414042" w:themeColor="text1"/>
        </w:rPr>
        <w:t>electricity</w:t>
      </w:r>
      <w:proofErr w:type="gramEnd"/>
      <w:r w:rsidRPr="00DF3006">
        <w:rPr>
          <w:color w:val="414042" w:themeColor="text1"/>
        </w:rPr>
        <w:t xml:space="preserve"> and mining sectors among others. His audit and risk committee roles cover local, </w:t>
      </w:r>
      <w:proofErr w:type="gramStart"/>
      <w:r w:rsidRPr="00DF3006">
        <w:rPr>
          <w:color w:val="414042" w:themeColor="text1"/>
        </w:rPr>
        <w:t>state</w:t>
      </w:r>
      <w:proofErr w:type="gramEnd"/>
      <w:r w:rsidRPr="00DF3006">
        <w:rPr>
          <w:color w:val="414042" w:themeColor="text1"/>
        </w:rPr>
        <w:t xml:space="preserve"> and federal government and private sector entities. He currently sits on the Gold Coast Hospital and Health Services Board.</w:t>
      </w:r>
    </w:p>
    <w:p w14:paraId="39EA46A3" w14:textId="77777777" w:rsidR="00561686" w:rsidRPr="00DF3006" w:rsidRDefault="00561686" w:rsidP="00561686">
      <w:pPr>
        <w:spacing w:after="240"/>
        <w:ind w:right="-1"/>
        <w:rPr>
          <w:rFonts w:ascii="Calibri" w:hAnsi="Calibri" w:cs="Calibri"/>
          <w:b/>
          <w:bCs/>
          <w:color w:val="414042" w:themeColor="text1"/>
          <w:spacing w:val="6"/>
          <w:szCs w:val="20"/>
        </w:rPr>
        <w:sectPr w:rsidR="00561686" w:rsidRPr="00DF3006" w:rsidSect="00C77834">
          <w:type w:val="continuous"/>
          <w:pgSz w:w="11906" w:h="16838" w:code="9"/>
          <w:pgMar w:top="2155" w:right="1134" w:bottom="964" w:left="1134" w:header="720" w:footer="284" w:gutter="0"/>
          <w:cols w:num="2" w:space="567"/>
          <w:noEndnote/>
          <w:docGrid w:linePitch="272"/>
        </w:sectPr>
      </w:pPr>
      <w:bookmarkStart w:id="1526" w:name="_Toc102038046"/>
      <w:bookmarkStart w:id="1527" w:name="_Toc102038407"/>
      <w:bookmarkStart w:id="1528" w:name="_Toc102038768"/>
      <w:bookmarkStart w:id="1529" w:name="_Toc102039120"/>
      <w:bookmarkStart w:id="1530" w:name="_Toc102039469"/>
      <w:bookmarkStart w:id="1531" w:name="_Toc102039831"/>
      <w:bookmarkStart w:id="1532" w:name="_Toc102040188"/>
      <w:bookmarkStart w:id="1533" w:name="_Toc102040516"/>
      <w:bookmarkStart w:id="1534" w:name="_Toc102040850"/>
      <w:bookmarkStart w:id="1535" w:name="_Toc102041178"/>
      <w:bookmarkStart w:id="1536" w:name="_Toc102041507"/>
      <w:bookmarkStart w:id="1537" w:name="_Toc102041839"/>
      <w:bookmarkStart w:id="1538" w:name="_Toc102042166"/>
      <w:bookmarkStart w:id="1539" w:name="_Toc102042496"/>
      <w:bookmarkStart w:id="1540" w:name="_Toc102045626"/>
      <w:r w:rsidRPr="00DF3006">
        <w:rPr>
          <w:rFonts w:ascii="Calibri" w:hAnsi="Calibri" w:cs="Calibri"/>
          <w:b/>
          <w:bCs/>
          <w:color w:val="414042" w:themeColor="text1"/>
          <w:spacing w:val="6"/>
          <w:szCs w:val="20"/>
        </w:rPr>
        <w:t xml:space="preserve"> </w:t>
      </w:r>
    </w:p>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14:paraId="6BA4AF35" w14:textId="77777777" w:rsidR="00561686" w:rsidRPr="00DF3006" w:rsidRDefault="00561686" w:rsidP="00463FBB">
      <w:pPr>
        <w:pStyle w:val="Heading4b0"/>
      </w:pPr>
      <w:r w:rsidRPr="00DF3006">
        <w:lastRenderedPageBreak/>
        <w:t>Appointment criteria for Commissioners</w:t>
      </w:r>
    </w:p>
    <w:p w14:paraId="27E275D9" w14:textId="77777777" w:rsidR="00561686" w:rsidRPr="00DF3006" w:rsidRDefault="00561686" w:rsidP="00561686">
      <w:pPr>
        <w:rPr>
          <w:color w:val="414042" w:themeColor="text1"/>
        </w:rPr>
      </w:pPr>
      <w:r w:rsidRPr="00DF3006">
        <w:rPr>
          <w:color w:val="414042" w:themeColor="text1"/>
        </w:rPr>
        <w:t xml:space="preserve">The </w:t>
      </w:r>
      <w:r w:rsidRPr="00DF3006">
        <w:rPr>
          <w:bCs/>
          <w:i/>
          <w:iCs/>
          <w:color w:val="414042" w:themeColor="text1"/>
          <w:u w:color="E6E7E8" w:themeColor="background2"/>
        </w:rPr>
        <w:t>Crime and Corruption Act 2001</w:t>
      </w:r>
      <w:r w:rsidRPr="00DF3006">
        <w:rPr>
          <w:bCs/>
          <w:color w:val="414042" w:themeColor="text1"/>
          <w:u w:color="E6E7E8" w:themeColor="background2"/>
        </w:rPr>
        <w:t xml:space="preserve"> </w:t>
      </w:r>
      <w:r w:rsidRPr="00DF3006">
        <w:rPr>
          <w:color w:val="414042" w:themeColor="text1"/>
        </w:rPr>
        <w:t xml:space="preserve">requires that the CCC Chairperson and Deputy Chairperson must have served as, or are qualified to serve as, a judge of the Supreme Court of any state, the High </w:t>
      </w:r>
      <w:proofErr w:type="gramStart"/>
      <w:r w:rsidRPr="00DF3006">
        <w:rPr>
          <w:color w:val="414042" w:themeColor="text1"/>
        </w:rPr>
        <w:t>Court</w:t>
      </w:r>
      <w:proofErr w:type="gramEnd"/>
      <w:r w:rsidRPr="00DF3006">
        <w:rPr>
          <w:color w:val="414042" w:themeColor="text1"/>
        </w:rPr>
        <w:t xml:space="preserve"> or the Federal Court. The Act also requires that Ordinary Commissioners have the qualifications, experience or standing appropriate to help the Commission perform its functions.</w:t>
      </w:r>
    </w:p>
    <w:p w14:paraId="35CFC765" w14:textId="4B7B5BF4" w:rsidR="00561686" w:rsidRPr="00DF3006" w:rsidRDefault="00561686" w:rsidP="00561686">
      <w:pPr>
        <w:spacing w:after="0"/>
        <w:rPr>
          <w:color w:val="414042" w:themeColor="text1"/>
        </w:rPr>
      </w:pPr>
      <w:r w:rsidRPr="00DF3006">
        <w:rPr>
          <w:color w:val="414042" w:themeColor="text1"/>
        </w:rPr>
        <w:t xml:space="preserve">Commissioners are appointed by the Governor-in-Council for a maximum of five years, with the provision of a further five-year re-appointment if they do not hold that office for more than ten years in total. The Governor-in-Council may appoint an acting Chairperson or temporary part-time Commissioner during a period of absence or when there is a temporary vacancy in a role. The Chairperson may appoint for a temporary period a </w:t>
      </w:r>
      <w:r w:rsidR="00171C5D" w:rsidRPr="00DF3006">
        <w:rPr>
          <w:color w:val="414042" w:themeColor="text1"/>
        </w:rPr>
        <w:t xml:space="preserve">Sessional Commissioner </w:t>
      </w:r>
      <w:r w:rsidRPr="00DF3006">
        <w:rPr>
          <w:color w:val="414042" w:themeColor="text1"/>
        </w:rPr>
        <w:t xml:space="preserve">to conduct hearings, examine witnesses, or undertake specific investigations relevant to the </w:t>
      </w:r>
      <w:r w:rsidR="00171C5D" w:rsidRPr="00DF3006">
        <w:rPr>
          <w:color w:val="414042" w:themeColor="text1"/>
        </w:rPr>
        <w:t>CCC</w:t>
      </w:r>
      <w:r w:rsidRPr="00DF3006">
        <w:rPr>
          <w:color w:val="414042" w:themeColor="text1"/>
        </w:rPr>
        <w:t>’s functions.</w:t>
      </w:r>
    </w:p>
    <w:p w14:paraId="56837595" w14:textId="77777777" w:rsidR="00171C5D" w:rsidRPr="00DF3006" w:rsidRDefault="00171C5D" w:rsidP="00561686">
      <w:pPr>
        <w:spacing w:after="0"/>
        <w:rPr>
          <w:color w:val="414042" w:themeColor="text1"/>
        </w:rPr>
      </w:pPr>
    </w:p>
    <w:p w14:paraId="7F21450E" w14:textId="77777777" w:rsidR="00561686" w:rsidRPr="00DF3006" w:rsidRDefault="00561686" w:rsidP="00463FBB">
      <w:pPr>
        <w:pStyle w:val="Heading4b0"/>
      </w:pPr>
      <w:r w:rsidRPr="00DF3006">
        <w:t>Appointment criteria for the Chief Executive Officer</w:t>
      </w:r>
    </w:p>
    <w:p w14:paraId="3A632259" w14:textId="77777777" w:rsidR="00561686" w:rsidRPr="00DF3006" w:rsidRDefault="00561686" w:rsidP="00561686">
      <w:pPr>
        <w:spacing w:after="0"/>
        <w:rPr>
          <w:color w:val="414042" w:themeColor="text1"/>
        </w:rPr>
      </w:pPr>
      <w:r w:rsidRPr="00DF3006">
        <w:rPr>
          <w:color w:val="414042" w:themeColor="text1"/>
        </w:rPr>
        <w:t xml:space="preserve">The CEO is appointed by the Governor-in-Council for a maximum of five years with the option of renewal for a further five years, with no more than ten years in total. To qualify under the </w:t>
      </w:r>
      <w:r w:rsidRPr="00DF3006">
        <w:rPr>
          <w:bCs/>
          <w:i/>
          <w:iCs/>
          <w:color w:val="414042" w:themeColor="text1"/>
          <w:u w:color="E6E7E8" w:themeColor="background2"/>
        </w:rPr>
        <w:t>Crime and Corruption Act 2001</w:t>
      </w:r>
      <w:r w:rsidRPr="00DF3006">
        <w:rPr>
          <w:bCs/>
          <w:color w:val="414042" w:themeColor="text1"/>
          <w:u w:color="E6E7E8" w:themeColor="background2"/>
        </w:rPr>
        <w:t xml:space="preserve"> </w:t>
      </w:r>
      <w:r w:rsidRPr="00DF3006">
        <w:rPr>
          <w:color w:val="414042" w:themeColor="text1"/>
        </w:rPr>
        <w:t>for appointment as the CEO, the person must have qualifications, experience or standing appropriate to perform the functions of the CEO.</w:t>
      </w:r>
    </w:p>
    <w:p w14:paraId="08297858" w14:textId="77777777" w:rsidR="00561686" w:rsidRPr="00DF3006" w:rsidRDefault="00561686" w:rsidP="00561686">
      <w:pPr>
        <w:spacing w:after="0"/>
        <w:rPr>
          <w:color w:val="414042" w:themeColor="text1"/>
        </w:rPr>
      </w:pPr>
    </w:p>
    <w:p w14:paraId="1DD7611F" w14:textId="77777777" w:rsidR="00561686" w:rsidRPr="00DF3006" w:rsidRDefault="00561686" w:rsidP="00561686">
      <w:pPr>
        <w:spacing w:after="0"/>
        <w:rPr>
          <w:color w:val="414042" w:themeColor="text1"/>
        </w:rPr>
      </w:pPr>
    </w:p>
    <w:p w14:paraId="57435708" w14:textId="77777777" w:rsidR="000A44C9" w:rsidRPr="00DF3006" w:rsidRDefault="000A44C9" w:rsidP="00561686">
      <w:pPr>
        <w:spacing w:after="0"/>
        <w:rPr>
          <w:color w:val="414042" w:themeColor="text1"/>
        </w:rPr>
      </w:pPr>
    </w:p>
    <w:p w14:paraId="2C33F8E2" w14:textId="77777777" w:rsidR="000A44C9" w:rsidRPr="00DF3006" w:rsidRDefault="000A44C9" w:rsidP="00561686">
      <w:pPr>
        <w:spacing w:after="0"/>
        <w:rPr>
          <w:color w:val="414042" w:themeColor="text1"/>
        </w:rPr>
      </w:pPr>
    </w:p>
    <w:p w14:paraId="03E5F17D" w14:textId="77777777" w:rsidR="000A44C9" w:rsidRPr="00DF3006" w:rsidRDefault="000A44C9" w:rsidP="00561686">
      <w:pPr>
        <w:spacing w:after="0"/>
        <w:rPr>
          <w:color w:val="414042" w:themeColor="text1"/>
        </w:rPr>
      </w:pPr>
    </w:p>
    <w:p w14:paraId="3F769B62" w14:textId="77777777" w:rsidR="000A44C9" w:rsidRPr="00DF3006" w:rsidRDefault="000A44C9" w:rsidP="00561686">
      <w:pPr>
        <w:spacing w:after="0"/>
        <w:rPr>
          <w:color w:val="414042" w:themeColor="text1"/>
        </w:rPr>
      </w:pPr>
    </w:p>
    <w:p w14:paraId="10EF9C29" w14:textId="77777777" w:rsidR="000A44C9" w:rsidRPr="00DF3006" w:rsidRDefault="000A44C9" w:rsidP="00561686">
      <w:pPr>
        <w:spacing w:after="0"/>
        <w:rPr>
          <w:color w:val="414042" w:themeColor="text1"/>
        </w:rPr>
      </w:pPr>
    </w:p>
    <w:p w14:paraId="55BDE640" w14:textId="77777777" w:rsidR="000A44C9" w:rsidRPr="00DF3006" w:rsidRDefault="000A44C9" w:rsidP="00561686">
      <w:pPr>
        <w:spacing w:after="0"/>
        <w:rPr>
          <w:color w:val="414042" w:themeColor="text1"/>
        </w:rPr>
      </w:pPr>
    </w:p>
    <w:p w14:paraId="64A8B540" w14:textId="77777777" w:rsidR="000A44C9" w:rsidRPr="00DF3006" w:rsidRDefault="000A44C9" w:rsidP="00561686">
      <w:pPr>
        <w:spacing w:after="0"/>
        <w:rPr>
          <w:color w:val="414042" w:themeColor="text1"/>
        </w:rPr>
      </w:pPr>
    </w:p>
    <w:p w14:paraId="6CB4B8BE" w14:textId="77777777" w:rsidR="000A44C9" w:rsidRPr="00DF3006" w:rsidRDefault="000A44C9" w:rsidP="00561686">
      <w:pPr>
        <w:spacing w:after="0"/>
        <w:rPr>
          <w:color w:val="414042" w:themeColor="text1"/>
        </w:rPr>
      </w:pPr>
    </w:p>
    <w:p w14:paraId="2D4C41AA" w14:textId="77777777" w:rsidR="000A44C9" w:rsidRPr="00DF3006" w:rsidRDefault="000A44C9" w:rsidP="00561686">
      <w:pPr>
        <w:spacing w:after="0"/>
        <w:rPr>
          <w:color w:val="414042" w:themeColor="text1"/>
        </w:rPr>
      </w:pPr>
    </w:p>
    <w:p w14:paraId="04382F84" w14:textId="77777777" w:rsidR="000A44C9" w:rsidRPr="00DF3006" w:rsidRDefault="000A44C9" w:rsidP="00561686">
      <w:pPr>
        <w:spacing w:after="0"/>
        <w:rPr>
          <w:color w:val="414042" w:themeColor="text1"/>
        </w:rPr>
      </w:pPr>
    </w:p>
    <w:p w14:paraId="2526D62F" w14:textId="77777777" w:rsidR="000A44C9" w:rsidRPr="00DF3006" w:rsidRDefault="000A44C9" w:rsidP="00561686">
      <w:pPr>
        <w:spacing w:after="0"/>
        <w:rPr>
          <w:color w:val="414042" w:themeColor="text1"/>
        </w:rPr>
      </w:pPr>
    </w:p>
    <w:p w14:paraId="65B54893" w14:textId="77777777" w:rsidR="000A44C9" w:rsidRPr="00DF3006" w:rsidRDefault="000A44C9" w:rsidP="00561686">
      <w:pPr>
        <w:spacing w:after="0"/>
        <w:rPr>
          <w:color w:val="414042" w:themeColor="text1"/>
        </w:rPr>
      </w:pPr>
    </w:p>
    <w:p w14:paraId="39FA6A70" w14:textId="5DF39C05" w:rsidR="000A44C9" w:rsidRPr="00DF3006" w:rsidRDefault="000A44C9" w:rsidP="00561686">
      <w:pPr>
        <w:spacing w:after="0"/>
        <w:rPr>
          <w:color w:val="414042" w:themeColor="text1"/>
        </w:rPr>
        <w:sectPr w:rsidR="000A44C9" w:rsidRPr="00DF3006" w:rsidSect="00C77834">
          <w:pgSz w:w="11906" w:h="16838" w:code="9"/>
          <w:pgMar w:top="2155" w:right="1134" w:bottom="964" w:left="1134" w:header="720" w:footer="284" w:gutter="0"/>
          <w:cols w:num="2" w:space="567"/>
          <w:noEndnote/>
          <w:docGrid w:linePitch="272"/>
        </w:sectPr>
      </w:pPr>
    </w:p>
    <w:tbl>
      <w:tblPr>
        <w:tblStyle w:val="Annualreport2020-211"/>
        <w:tblpPr w:leftFromText="180" w:rightFromText="180" w:vertAnchor="text" w:horzAnchor="margin" w:tblpY="84"/>
        <w:tblW w:w="4854" w:type="pct"/>
        <w:tblBorders>
          <w:bottom w:val="single" w:sz="4" w:space="0" w:color="BCBEC0"/>
          <w:insideH w:val="single" w:sz="4" w:space="0" w:color="BCBEC0"/>
          <w:insideV w:val="single" w:sz="4" w:space="0" w:color="BCBEC0"/>
        </w:tblBorders>
        <w:tblCellMar>
          <w:top w:w="0" w:type="dxa"/>
          <w:left w:w="85" w:type="dxa"/>
          <w:bottom w:w="0" w:type="dxa"/>
          <w:right w:w="85" w:type="dxa"/>
        </w:tblCellMar>
        <w:tblLook w:val="04A0" w:firstRow="1" w:lastRow="0" w:firstColumn="1" w:lastColumn="0" w:noHBand="0" w:noVBand="1"/>
        <w:tblCaption w:val="Table - Commission meetings from 1 July 2017 to 30 June 2018"/>
      </w:tblPr>
      <w:tblGrid>
        <w:gridCol w:w="3118"/>
        <w:gridCol w:w="2979"/>
        <w:gridCol w:w="1701"/>
        <w:gridCol w:w="1559"/>
      </w:tblGrid>
      <w:tr w:rsidR="00DF3006" w:rsidRPr="00DF3006" w14:paraId="5440BE33" w14:textId="77777777" w:rsidTr="00F215BB">
        <w:trPr>
          <w:cnfStyle w:val="100000000000" w:firstRow="1" w:lastRow="0" w:firstColumn="0" w:lastColumn="0" w:oddVBand="0" w:evenVBand="0" w:oddHBand="0" w:evenHBand="0" w:firstRowFirstColumn="0" w:firstRowLastColumn="0" w:lastRowFirstColumn="0" w:lastRowLastColumn="0"/>
          <w:trHeight w:val="33"/>
        </w:trPr>
        <w:tc>
          <w:tcPr>
            <w:tcW w:w="5000" w:type="pct"/>
            <w:gridSpan w:val="4"/>
            <w:tcBorders>
              <w:top w:val="nil"/>
              <w:left w:val="nil"/>
              <w:bottom w:val="nil"/>
              <w:right w:val="nil"/>
            </w:tcBorders>
            <w:shd w:val="clear" w:color="auto" w:fill="auto"/>
          </w:tcPr>
          <w:p w14:paraId="56D21371" w14:textId="419B6CF8" w:rsidR="00561686" w:rsidRPr="00DF3006" w:rsidRDefault="00561686" w:rsidP="00463FBB">
            <w:pPr>
              <w:pStyle w:val="Heading4b"/>
              <w:rPr>
                <w:b/>
              </w:rPr>
            </w:pPr>
            <w:r w:rsidRPr="00DF3006">
              <w:rPr>
                <w:b/>
              </w:rPr>
              <w:t xml:space="preserve">Table </w:t>
            </w:r>
            <w:r w:rsidR="00A2421F" w:rsidRPr="00DF3006">
              <w:rPr>
                <w:b/>
              </w:rPr>
              <w:t>6</w:t>
            </w:r>
            <w:r w:rsidRPr="00DF3006">
              <w:rPr>
                <w:b/>
              </w:rPr>
              <w:t>: Commission meetings from 1 July 2022 to 30 June 2023</w:t>
            </w:r>
          </w:p>
        </w:tc>
      </w:tr>
      <w:tr w:rsidR="00DF3006" w:rsidRPr="00DF3006" w14:paraId="30695351" w14:textId="77777777" w:rsidTr="00F215BB">
        <w:trPr>
          <w:trHeight w:val="227"/>
        </w:trPr>
        <w:tc>
          <w:tcPr>
            <w:tcW w:w="1666" w:type="pct"/>
            <w:vMerge w:val="restart"/>
            <w:tcBorders>
              <w:top w:val="nil"/>
              <w:left w:val="nil"/>
              <w:right w:val="single" w:sz="4" w:space="0" w:color="BCBEC0"/>
            </w:tcBorders>
            <w:shd w:val="clear" w:color="auto" w:fill="E6E7E8" w:themeFill="accent6"/>
          </w:tcPr>
          <w:p w14:paraId="52CD96CC" w14:textId="1DC82B73" w:rsidR="00C404D9" w:rsidRPr="00DF3006" w:rsidRDefault="00C404D9" w:rsidP="00103583">
            <w:pPr>
              <w:suppressAutoHyphens/>
              <w:autoSpaceDE w:val="0"/>
              <w:autoSpaceDN w:val="0"/>
              <w:adjustRightInd w:val="0"/>
              <w:spacing w:after="0"/>
              <w:jc w:val="left"/>
              <w:textAlignment w:val="center"/>
              <w:rPr>
                <w:rFonts w:eastAsia="Calibri" w:cs="Calibri"/>
                <w:color w:val="414042" w:themeColor="text1"/>
                <w:spacing w:val="-4"/>
                <w:szCs w:val="20"/>
              </w:rPr>
            </w:pPr>
            <w:r w:rsidRPr="00DF3006">
              <w:rPr>
                <w:rFonts w:eastAsia="Calibri" w:cs="Calibri"/>
                <w:b/>
                <w:bCs/>
                <w:color w:val="414042" w:themeColor="text1"/>
                <w:spacing w:val="-4"/>
                <w:szCs w:val="20"/>
              </w:rPr>
              <w:t>Commissioner</w:t>
            </w:r>
          </w:p>
        </w:tc>
        <w:tc>
          <w:tcPr>
            <w:tcW w:w="1592" w:type="pct"/>
            <w:vMerge w:val="restart"/>
            <w:tcBorders>
              <w:top w:val="nil"/>
              <w:left w:val="single" w:sz="4" w:space="0" w:color="BCBEC0"/>
              <w:right w:val="single" w:sz="4" w:space="0" w:color="BCBEC0"/>
            </w:tcBorders>
            <w:shd w:val="clear" w:color="auto" w:fill="E6E7E8" w:themeFill="accent6"/>
          </w:tcPr>
          <w:p w14:paraId="341EFC02" w14:textId="1F71489C" w:rsidR="00C404D9" w:rsidRPr="00DF3006" w:rsidRDefault="00C404D9" w:rsidP="009F3A4C">
            <w:pPr>
              <w:suppressAutoHyphens/>
              <w:autoSpaceDE w:val="0"/>
              <w:autoSpaceDN w:val="0"/>
              <w:adjustRightInd w:val="0"/>
              <w:spacing w:after="0"/>
              <w:jc w:val="left"/>
              <w:textAlignment w:val="center"/>
              <w:rPr>
                <w:rFonts w:eastAsia="Calibri" w:cs="Calibri"/>
                <w:bCs/>
                <w:color w:val="414042" w:themeColor="text1"/>
                <w:spacing w:val="-4"/>
                <w:szCs w:val="20"/>
              </w:rPr>
            </w:pPr>
            <w:r w:rsidRPr="00DF3006">
              <w:rPr>
                <w:rFonts w:eastAsia="Calibri" w:cs="Calibri"/>
                <w:b/>
                <w:bCs/>
                <w:color w:val="414042" w:themeColor="text1"/>
                <w:spacing w:val="-4"/>
                <w:szCs w:val="20"/>
              </w:rPr>
              <w:t>Position</w:t>
            </w:r>
          </w:p>
        </w:tc>
        <w:tc>
          <w:tcPr>
            <w:tcW w:w="1742" w:type="pct"/>
            <w:gridSpan w:val="2"/>
            <w:tcBorders>
              <w:top w:val="nil"/>
              <w:left w:val="single" w:sz="4" w:space="0" w:color="BCBEC0"/>
              <w:bottom w:val="single" w:sz="4" w:space="0" w:color="BCBEC0"/>
              <w:right w:val="nil"/>
            </w:tcBorders>
            <w:shd w:val="clear" w:color="auto" w:fill="E6E7E8" w:themeFill="accent6"/>
            <w:hideMark/>
          </w:tcPr>
          <w:p w14:paraId="23B6A1C9" w14:textId="77777777" w:rsidR="00C404D9" w:rsidRPr="00DF3006" w:rsidRDefault="00C404D9" w:rsidP="00270F15">
            <w:pPr>
              <w:suppressAutoHyphens/>
              <w:autoSpaceDE w:val="0"/>
              <w:autoSpaceDN w:val="0"/>
              <w:adjustRightInd w:val="0"/>
              <w:spacing w:after="0"/>
              <w:textAlignment w:val="center"/>
              <w:rPr>
                <w:rFonts w:eastAsia="Calibri" w:cs="Calibri"/>
                <w:b/>
                <w:color w:val="414042" w:themeColor="text1"/>
                <w:spacing w:val="-4"/>
                <w:szCs w:val="20"/>
              </w:rPr>
            </w:pPr>
            <w:r w:rsidRPr="00DF3006">
              <w:rPr>
                <w:rFonts w:eastAsia="Calibri" w:cs="Calibri"/>
                <w:b/>
                <w:color w:val="414042" w:themeColor="text1"/>
                <w:spacing w:val="-4"/>
                <w:szCs w:val="20"/>
              </w:rPr>
              <w:t>Meetings attended</w:t>
            </w:r>
          </w:p>
        </w:tc>
      </w:tr>
      <w:tr w:rsidR="00DF3006" w:rsidRPr="00DF3006" w14:paraId="38ED25CF" w14:textId="77777777" w:rsidTr="00835A10">
        <w:trPr>
          <w:trHeight w:val="151"/>
        </w:trPr>
        <w:tc>
          <w:tcPr>
            <w:tcW w:w="1666" w:type="pct"/>
            <w:vMerge/>
            <w:tcBorders>
              <w:top w:val="single" w:sz="4" w:space="0" w:color="BCBEC0"/>
              <w:left w:val="nil"/>
              <w:bottom w:val="single" w:sz="4" w:space="0" w:color="BCBEC0"/>
              <w:right w:val="single" w:sz="4" w:space="0" w:color="BCBEC0"/>
            </w:tcBorders>
            <w:shd w:val="clear" w:color="auto" w:fill="E6E7E8" w:themeFill="accent6"/>
            <w:hideMark/>
          </w:tcPr>
          <w:p w14:paraId="53AE2636" w14:textId="26E44217" w:rsidR="00C404D9" w:rsidRPr="00DF3006" w:rsidRDefault="00C404D9" w:rsidP="001F59A0">
            <w:pPr>
              <w:suppressAutoHyphens/>
              <w:autoSpaceDE w:val="0"/>
              <w:autoSpaceDN w:val="0"/>
              <w:adjustRightInd w:val="0"/>
              <w:spacing w:after="0"/>
              <w:jc w:val="left"/>
              <w:textAlignment w:val="center"/>
              <w:rPr>
                <w:rFonts w:eastAsia="Calibri" w:cs="Calibri"/>
                <w:b/>
                <w:bCs/>
                <w:color w:val="414042" w:themeColor="text1"/>
                <w:spacing w:val="-4"/>
                <w:szCs w:val="20"/>
              </w:rPr>
            </w:pPr>
          </w:p>
        </w:tc>
        <w:tc>
          <w:tcPr>
            <w:tcW w:w="1592" w:type="pct"/>
            <w:vMerge/>
            <w:tcBorders>
              <w:top w:val="single" w:sz="4" w:space="0" w:color="BCBEC0"/>
              <w:left w:val="single" w:sz="4" w:space="0" w:color="BCBEC0"/>
              <w:bottom w:val="single" w:sz="4" w:space="0" w:color="BCBEC0"/>
              <w:right w:val="single" w:sz="4" w:space="0" w:color="BCBEC0"/>
            </w:tcBorders>
            <w:shd w:val="clear" w:color="auto" w:fill="E6E7E8" w:themeFill="accent6"/>
            <w:hideMark/>
          </w:tcPr>
          <w:p w14:paraId="5AFCD303" w14:textId="6B7916EC" w:rsidR="00C404D9" w:rsidRPr="00DF3006" w:rsidRDefault="00C404D9" w:rsidP="001F59A0">
            <w:pPr>
              <w:suppressAutoHyphens/>
              <w:autoSpaceDE w:val="0"/>
              <w:autoSpaceDN w:val="0"/>
              <w:adjustRightInd w:val="0"/>
              <w:spacing w:after="0"/>
              <w:jc w:val="left"/>
              <w:textAlignment w:val="center"/>
              <w:rPr>
                <w:rFonts w:eastAsia="Calibri" w:cs="Calibri"/>
                <w:b/>
                <w:bCs/>
                <w:color w:val="414042" w:themeColor="text1"/>
                <w:spacing w:val="-4"/>
                <w:szCs w:val="20"/>
              </w:rPr>
            </w:pPr>
          </w:p>
        </w:tc>
        <w:tc>
          <w:tcPr>
            <w:tcW w:w="909" w:type="pct"/>
            <w:tcBorders>
              <w:top w:val="single" w:sz="4" w:space="0" w:color="BCBEC0"/>
              <w:left w:val="single" w:sz="4" w:space="0" w:color="BCBEC0"/>
              <w:bottom w:val="single" w:sz="4" w:space="0" w:color="BCBEC0"/>
              <w:right w:val="single" w:sz="4" w:space="0" w:color="BCBEC0"/>
            </w:tcBorders>
            <w:shd w:val="clear" w:color="auto" w:fill="F2F2F2" w:themeFill="background1" w:themeFillShade="F2"/>
            <w:hideMark/>
          </w:tcPr>
          <w:p w14:paraId="3037FB6C" w14:textId="77777777" w:rsidR="00C404D9" w:rsidRPr="00DF3006" w:rsidRDefault="00C404D9" w:rsidP="00270F15">
            <w:pPr>
              <w:suppressAutoHyphens/>
              <w:autoSpaceDE w:val="0"/>
              <w:autoSpaceDN w:val="0"/>
              <w:adjustRightInd w:val="0"/>
              <w:spacing w:after="0"/>
              <w:textAlignment w:val="center"/>
              <w:rPr>
                <w:rFonts w:eastAsia="Calibri" w:cs="Calibri"/>
                <w:b/>
                <w:bCs/>
                <w:color w:val="414042" w:themeColor="text1"/>
                <w:spacing w:val="-4"/>
                <w:szCs w:val="20"/>
              </w:rPr>
            </w:pPr>
            <w:r w:rsidRPr="00DF3006">
              <w:rPr>
                <w:rFonts w:eastAsia="Calibri" w:cs="Calibri"/>
                <w:b/>
                <w:bCs/>
                <w:color w:val="414042" w:themeColor="text1"/>
                <w:spacing w:val="-4"/>
                <w:szCs w:val="20"/>
              </w:rPr>
              <w:t>Ordinary meetings</w:t>
            </w:r>
          </w:p>
        </w:tc>
        <w:tc>
          <w:tcPr>
            <w:tcW w:w="833" w:type="pct"/>
            <w:tcBorders>
              <w:top w:val="single" w:sz="4" w:space="0" w:color="BCBEC0"/>
              <w:left w:val="single" w:sz="4" w:space="0" w:color="BCBEC0"/>
              <w:bottom w:val="single" w:sz="4" w:space="0" w:color="BCBEC0"/>
              <w:right w:val="nil"/>
            </w:tcBorders>
            <w:shd w:val="clear" w:color="auto" w:fill="F2F2F2" w:themeFill="background1" w:themeFillShade="F2"/>
            <w:hideMark/>
          </w:tcPr>
          <w:p w14:paraId="6EB53633" w14:textId="77777777" w:rsidR="00C404D9" w:rsidRPr="00DF3006" w:rsidRDefault="00C404D9" w:rsidP="00270F15">
            <w:pPr>
              <w:suppressAutoHyphens/>
              <w:autoSpaceDE w:val="0"/>
              <w:autoSpaceDN w:val="0"/>
              <w:adjustRightInd w:val="0"/>
              <w:spacing w:after="0"/>
              <w:textAlignment w:val="center"/>
              <w:rPr>
                <w:rFonts w:eastAsia="Calibri" w:cs="Calibri"/>
                <w:b/>
                <w:bCs/>
                <w:color w:val="414042" w:themeColor="text1"/>
                <w:spacing w:val="-4"/>
                <w:szCs w:val="20"/>
              </w:rPr>
            </w:pPr>
            <w:r w:rsidRPr="00DF3006">
              <w:rPr>
                <w:rFonts w:eastAsia="Calibri" w:cs="Calibri"/>
                <w:b/>
                <w:bCs/>
                <w:color w:val="414042" w:themeColor="text1"/>
                <w:spacing w:val="-4"/>
                <w:szCs w:val="20"/>
              </w:rPr>
              <w:t>PCCC meetings</w:t>
            </w:r>
          </w:p>
        </w:tc>
      </w:tr>
      <w:tr w:rsidR="00DF3006" w:rsidRPr="00DF3006" w14:paraId="008E059D"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7CD04399" w14:textId="1797656D"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Mr Bruce Barbour</w:t>
            </w:r>
          </w:p>
        </w:tc>
        <w:tc>
          <w:tcPr>
            <w:tcW w:w="1592" w:type="pct"/>
            <w:tcBorders>
              <w:top w:val="single" w:sz="4" w:space="0" w:color="BCBEC0"/>
              <w:left w:val="single" w:sz="4" w:space="0" w:color="BCBEC0"/>
              <w:bottom w:val="single" w:sz="4" w:space="0" w:color="BCBEC0"/>
              <w:right w:val="single" w:sz="4" w:space="0" w:color="BCBEC0"/>
            </w:tcBorders>
          </w:tcPr>
          <w:p w14:paraId="5CBE36C5"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Chairperson</w:t>
            </w:r>
          </w:p>
        </w:tc>
        <w:tc>
          <w:tcPr>
            <w:tcW w:w="909" w:type="pct"/>
            <w:tcBorders>
              <w:top w:val="single" w:sz="4" w:space="0" w:color="BCBEC0"/>
              <w:left w:val="single" w:sz="4" w:space="0" w:color="BCBEC0"/>
              <w:bottom w:val="single" w:sz="4" w:space="0" w:color="BCBEC0"/>
              <w:right w:val="single" w:sz="4" w:space="0" w:color="BCBEC0"/>
            </w:tcBorders>
          </w:tcPr>
          <w:p w14:paraId="08481CE1"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10</w:t>
            </w:r>
          </w:p>
        </w:tc>
        <w:tc>
          <w:tcPr>
            <w:tcW w:w="833" w:type="pct"/>
            <w:tcBorders>
              <w:top w:val="single" w:sz="4" w:space="0" w:color="BCBEC0"/>
              <w:left w:val="single" w:sz="4" w:space="0" w:color="BCBEC0"/>
              <w:bottom w:val="single" w:sz="4" w:space="0" w:color="BCBEC0"/>
              <w:right w:val="nil"/>
            </w:tcBorders>
          </w:tcPr>
          <w:p w14:paraId="51889A23"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4</w:t>
            </w:r>
          </w:p>
        </w:tc>
      </w:tr>
      <w:tr w:rsidR="00DF3006" w:rsidRPr="00DF3006" w14:paraId="28D80BEA"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637A03CB" w14:textId="69EB61E0"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Mr Sydney Williams KC</w:t>
            </w:r>
            <w:r w:rsidR="00593962" w:rsidRPr="00DF3006">
              <w:rPr>
                <w:rFonts w:asciiTheme="majorHAnsi" w:hAnsiTheme="majorHAnsi" w:cstheme="majorHAnsi"/>
                <w:color w:val="414042" w:themeColor="text1"/>
                <w:spacing w:val="-4"/>
                <w:sz w:val="18"/>
                <w:szCs w:val="20"/>
                <w:vertAlign w:val="superscript"/>
              </w:rPr>
              <w:t>1</w:t>
            </w:r>
          </w:p>
        </w:tc>
        <w:tc>
          <w:tcPr>
            <w:tcW w:w="1592" w:type="pct"/>
            <w:tcBorders>
              <w:top w:val="single" w:sz="4" w:space="0" w:color="BCBEC0"/>
              <w:left w:val="single" w:sz="4" w:space="0" w:color="BCBEC0"/>
              <w:bottom w:val="single" w:sz="4" w:space="0" w:color="BCBEC0"/>
              <w:right w:val="single" w:sz="4" w:space="0" w:color="BCBEC0"/>
            </w:tcBorders>
          </w:tcPr>
          <w:p w14:paraId="5AF05F95"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Deputy Chairperson</w:t>
            </w:r>
          </w:p>
        </w:tc>
        <w:tc>
          <w:tcPr>
            <w:tcW w:w="909" w:type="pct"/>
            <w:tcBorders>
              <w:top w:val="single" w:sz="4" w:space="0" w:color="BCBEC0"/>
              <w:left w:val="single" w:sz="4" w:space="0" w:color="BCBEC0"/>
              <w:bottom w:val="single" w:sz="4" w:space="0" w:color="BCBEC0"/>
              <w:right w:val="single" w:sz="4" w:space="0" w:color="BCBEC0"/>
            </w:tcBorders>
          </w:tcPr>
          <w:p w14:paraId="528FBE74"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4</w:t>
            </w:r>
          </w:p>
        </w:tc>
        <w:tc>
          <w:tcPr>
            <w:tcW w:w="833" w:type="pct"/>
            <w:tcBorders>
              <w:top w:val="single" w:sz="4" w:space="0" w:color="BCBEC0"/>
              <w:left w:val="single" w:sz="4" w:space="0" w:color="BCBEC0"/>
              <w:bottom w:val="single" w:sz="4" w:space="0" w:color="BCBEC0"/>
              <w:right w:val="nil"/>
            </w:tcBorders>
          </w:tcPr>
          <w:p w14:paraId="6F8A547C"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0</w:t>
            </w:r>
          </w:p>
        </w:tc>
      </w:tr>
      <w:tr w:rsidR="00DF3006" w:rsidRPr="00DF3006" w14:paraId="7C6F1F92"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034DD505" w14:textId="3081DDA9"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Ms Kathryn McMillan KC</w:t>
            </w:r>
            <w:r w:rsidR="00593962" w:rsidRPr="00DF3006">
              <w:rPr>
                <w:rFonts w:asciiTheme="majorHAnsi" w:hAnsiTheme="majorHAnsi" w:cstheme="majorHAnsi"/>
                <w:color w:val="414042" w:themeColor="text1"/>
                <w:spacing w:val="-4"/>
                <w:sz w:val="18"/>
                <w:szCs w:val="20"/>
                <w:vertAlign w:val="superscript"/>
              </w:rPr>
              <w:t>2</w:t>
            </w:r>
          </w:p>
        </w:tc>
        <w:tc>
          <w:tcPr>
            <w:tcW w:w="1592" w:type="pct"/>
            <w:tcBorders>
              <w:top w:val="single" w:sz="4" w:space="0" w:color="BCBEC0"/>
              <w:left w:val="single" w:sz="4" w:space="0" w:color="BCBEC0"/>
              <w:bottom w:val="single" w:sz="4" w:space="0" w:color="BCBEC0"/>
              <w:right w:val="single" w:sz="4" w:space="0" w:color="BCBEC0"/>
            </w:tcBorders>
          </w:tcPr>
          <w:p w14:paraId="5BF1DF75"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Deputy Chairperson</w:t>
            </w:r>
          </w:p>
        </w:tc>
        <w:tc>
          <w:tcPr>
            <w:tcW w:w="909" w:type="pct"/>
            <w:tcBorders>
              <w:top w:val="single" w:sz="4" w:space="0" w:color="BCBEC0"/>
              <w:left w:val="single" w:sz="4" w:space="0" w:color="BCBEC0"/>
              <w:bottom w:val="single" w:sz="4" w:space="0" w:color="BCBEC0"/>
              <w:right w:val="single" w:sz="4" w:space="0" w:color="BCBEC0"/>
            </w:tcBorders>
          </w:tcPr>
          <w:p w14:paraId="69165FA6"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4</w:t>
            </w:r>
          </w:p>
        </w:tc>
        <w:tc>
          <w:tcPr>
            <w:tcW w:w="833" w:type="pct"/>
            <w:tcBorders>
              <w:top w:val="single" w:sz="4" w:space="0" w:color="BCBEC0"/>
              <w:left w:val="single" w:sz="4" w:space="0" w:color="BCBEC0"/>
              <w:bottom w:val="single" w:sz="4" w:space="0" w:color="BCBEC0"/>
              <w:right w:val="nil"/>
            </w:tcBorders>
          </w:tcPr>
          <w:p w14:paraId="1A60537A"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0</w:t>
            </w:r>
          </w:p>
        </w:tc>
      </w:tr>
      <w:tr w:rsidR="00DF3006" w:rsidRPr="00DF3006" w14:paraId="7A942617"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4E1B2357" w14:textId="7849756D"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Ms Helen Darch OAM</w:t>
            </w:r>
            <w:r w:rsidR="00593962" w:rsidRPr="00DF3006">
              <w:rPr>
                <w:rFonts w:asciiTheme="majorHAnsi" w:hAnsiTheme="majorHAnsi" w:cstheme="majorHAnsi"/>
                <w:color w:val="414042" w:themeColor="text1"/>
                <w:spacing w:val="-4"/>
                <w:sz w:val="18"/>
                <w:szCs w:val="20"/>
                <w:vertAlign w:val="superscript"/>
              </w:rPr>
              <w:t>3</w:t>
            </w:r>
          </w:p>
        </w:tc>
        <w:tc>
          <w:tcPr>
            <w:tcW w:w="1592" w:type="pct"/>
            <w:tcBorders>
              <w:top w:val="single" w:sz="4" w:space="0" w:color="BCBEC0"/>
              <w:left w:val="single" w:sz="4" w:space="0" w:color="BCBEC0"/>
              <w:bottom w:val="single" w:sz="4" w:space="0" w:color="BCBEC0"/>
              <w:right w:val="single" w:sz="4" w:space="0" w:color="BCBEC0"/>
            </w:tcBorders>
          </w:tcPr>
          <w:p w14:paraId="0227B1D4"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Ordinary Commissioner</w:t>
            </w:r>
          </w:p>
        </w:tc>
        <w:tc>
          <w:tcPr>
            <w:tcW w:w="909" w:type="pct"/>
            <w:tcBorders>
              <w:top w:val="single" w:sz="4" w:space="0" w:color="BCBEC0"/>
              <w:left w:val="single" w:sz="4" w:space="0" w:color="BCBEC0"/>
              <w:bottom w:val="single" w:sz="4" w:space="0" w:color="BCBEC0"/>
              <w:right w:val="single" w:sz="4" w:space="0" w:color="BCBEC0"/>
            </w:tcBorders>
          </w:tcPr>
          <w:p w14:paraId="47DDB0BC"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10</w:t>
            </w:r>
          </w:p>
        </w:tc>
        <w:tc>
          <w:tcPr>
            <w:tcW w:w="833" w:type="pct"/>
            <w:tcBorders>
              <w:top w:val="single" w:sz="4" w:space="0" w:color="BCBEC0"/>
              <w:left w:val="single" w:sz="4" w:space="0" w:color="BCBEC0"/>
              <w:bottom w:val="single" w:sz="4" w:space="0" w:color="BCBEC0"/>
              <w:right w:val="nil"/>
            </w:tcBorders>
          </w:tcPr>
          <w:p w14:paraId="1ED20846"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2</w:t>
            </w:r>
          </w:p>
        </w:tc>
      </w:tr>
      <w:tr w:rsidR="00DF3006" w:rsidRPr="00DF3006" w14:paraId="3D5803BA"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20863732" w14:textId="488AA7A8"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Mr Peter Dowling AM</w:t>
            </w:r>
            <w:r w:rsidR="00593962" w:rsidRPr="00DF3006">
              <w:rPr>
                <w:rFonts w:asciiTheme="majorHAnsi" w:hAnsiTheme="majorHAnsi" w:cstheme="majorHAnsi"/>
                <w:color w:val="414042" w:themeColor="text1"/>
                <w:spacing w:val="-4"/>
                <w:sz w:val="18"/>
                <w:szCs w:val="20"/>
                <w:vertAlign w:val="superscript"/>
              </w:rPr>
              <w:t>4</w:t>
            </w:r>
          </w:p>
        </w:tc>
        <w:tc>
          <w:tcPr>
            <w:tcW w:w="1592" w:type="pct"/>
            <w:tcBorders>
              <w:top w:val="single" w:sz="4" w:space="0" w:color="BCBEC0"/>
              <w:left w:val="single" w:sz="4" w:space="0" w:color="BCBEC0"/>
              <w:bottom w:val="single" w:sz="4" w:space="0" w:color="BCBEC0"/>
              <w:right w:val="single" w:sz="4" w:space="0" w:color="BCBEC0"/>
            </w:tcBorders>
          </w:tcPr>
          <w:p w14:paraId="58002FEF"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Ordinary Commissioner</w:t>
            </w:r>
          </w:p>
        </w:tc>
        <w:tc>
          <w:tcPr>
            <w:tcW w:w="909" w:type="pct"/>
            <w:tcBorders>
              <w:top w:val="single" w:sz="4" w:space="0" w:color="BCBEC0"/>
              <w:left w:val="single" w:sz="4" w:space="0" w:color="BCBEC0"/>
              <w:bottom w:val="single" w:sz="4" w:space="0" w:color="BCBEC0"/>
              <w:right w:val="single" w:sz="4" w:space="0" w:color="BCBEC0"/>
            </w:tcBorders>
          </w:tcPr>
          <w:p w14:paraId="1A3BDB90"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5</w:t>
            </w:r>
          </w:p>
        </w:tc>
        <w:tc>
          <w:tcPr>
            <w:tcW w:w="833" w:type="pct"/>
            <w:tcBorders>
              <w:top w:val="single" w:sz="4" w:space="0" w:color="BCBEC0"/>
              <w:left w:val="single" w:sz="4" w:space="0" w:color="BCBEC0"/>
              <w:bottom w:val="single" w:sz="4" w:space="0" w:color="BCBEC0"/>
              <w:right w:val="nil"/>
            </w:tcBorders>
          </w:tcPr>
          <w:p w14:paraId="0562E0D5"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1</w:t>
            </w:r>
          </w:p>
        </w:tc>
      </w:tr>
      <w:tr w:rsidR="00DF3006" w:rsidRPr="00DF3006" w14:paraId="635938B7" w14:textId="77777777" w:rsidTr="00F215BB">
        <w:trPr>
          <w:trHeight w:val="99"/>
        </w:trPr>
        <w:tc>
          <w:tcPr>
            <w:tcW w:w="5000" w:type="pct"/>
            <w:gridSpan w:val="4"/>
            <w:tcBorders>
              <w:top w:val="single" w:sz="4" w:space="0" w:color="BCBEC0"/>
              <w:left w:val="nil"/>
              <w:bottom w:val="single" w:sz="4" w:space="0" w:color="BCBEC0"/>
              <w:right w:val="nil"/>
            </w:tcBorders>
            <w:shd w:val="clear" w:color="auto" w:fill="E6E7E8" w:themeFill="accent6"/>
            <w:hideMark/>
          </w:tcPr>
          <w:p w14:paraId="7493C0D2" w14:textId="77777777" w:rsidR="00561686" w:rsidRPr="00DF3006" w:rsidRDefault="00561686" w:rsidP="001F59A0">
            <w:pPr>
              <w:suppressAutoHyphens/>
              <w:autoSpaceDE w:val="0"/>
              <w:autoSpaceDN w:val="0"/>
              <w:adjustRightInd w:val="0"/>
              <w:spacing w:after="0"/>
              <w:jc w:val="left"/>
              <w:textAlignment w:val="center"/>
              <w:rPr>
                <w:rFonts w:eastAsia="Calibri" w:cs="Calibri Light"/>
                <w:b/>
                <w:bCs/>
                <w:color w:val="414042" w:themeColor="text1"/>
                <w:spacing w:val="-4"/>
                <w:szCs w:val="20"/>
                <w:lang w:eastAsia="en-AU"/>
              </w:rPr>
            </w:pPr>
            <w:r w:rsidRPr="00DF3006">
              <w:rPr>
                <w:rFonts w:eastAsia="Calibri" w:cs="Calibri"/>
                <w:b/>
                <w:bCs/>
                <w:color w:val="414042" w:themeColor="text1"/>
                <w:spacing w:val="-4"/>
                <w:szCs w:val="20"/>
                <w:lang w:eastAsia="en-AU"/>
              </w:rPr>
              <w:t>Ex officio members</w:t>
            </w:r>
          </w:p>
        </w:tc>
      </w:tr>
      <w:tr w:rsidR="00DF3006" w:rsidRPr="00DF3006" w14:paraId="031714E5"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70E1AB34"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Ms Jen O’Farrell</w:t>
            </w:r>
          </w:p>
        </w:tc>
        <w:tc>
          <w:tcPr>
            <w:tcW w:w="1592" w:type="pct"/>
            <w:tcBorders>
              <w:top w:val="single" w:sz="4" w:space="0" w:color="BCBEC0"/>
              <w:left w:val="single" w:sz="4" w:space="0" w:color="BCBEC0"/>
              <w:bottom w:val="single" w:sz="4" w:space="0" w:color="BCBEC0"/>
              <w:right w:val="single" w:sz="4" w:space="0" w:color="BCBEC0"/>
            </w:tcBorders>
          </w:tcPr>
          <w:p w14:paraId="1C71EB38"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 xml:space="preserve">Chief Executive Officer </w:t>
            </w:r>
          </w:p>
        </w:tc>
        <w:tc>
          <w:tcPr>
            <w:tcW w:w="909" w:type="pct"/>
            <w:tcBorders>
              <w:top w:val="single" w:sz="4" w:space="0" w:color="BCBEC0"/>
              <w:left w:val="single" w:sz="4" w:space="0" w:color="BCBEC0"/>
              <w:bottom w:val="single" w:sz="4" w:space="0" w:color="BCBEC0"/>
              <w:right w:val="single" w:sz="4" w:space="0" w:color="BCBEC0"/>
            </w:tcBorders>
          </w:tcPr>
          <w:p w14:paraId="59598A99"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10</w:t>
            </w:r>
          </w:p>
        </w:tc>
        <w:tc>
          <w:tcPr>
            <w:tcW w:w="833" w:type="pct"/>
            <w:tcBorders>
              <w:top w:val="single" w:sz="4" w:space="0" w:color="BCBEC0"/>
              <w:left w:val="single" w:sz="4" w:space="0" w:color="BCBEC0"/>
              <w:bottom w:val="single" w:sz="4" w:space="0" w:color="BCBEC0"/>
              <w:right w:val="nil"/>
            </w:tcBorders>
          </w:tcPr>
          <w:p w14:paraId="5B2705D1"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4</w:t>
            </w:r>
          </w:p>
        </w:tc>
      </w:tr>
      <w:tr w:rsidR="00DF3006" w:rsidRPr="00DF3006" w14:paraId="7B8D0AC3"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2789533C" w14:textId="07DF6BA1"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Ms Cecelia Christensen</w:t>
            </w:r>
            <w:r w:rsidR="00593962" w:rsidRPr="00DF3006">
              <w:rPr>
                <w:rFonts w:asciiTheme="majorHAnsi" w:hAnsiTheme="majorHAnsi" w:cstheme="majorHAnsi"/>
                <w:color w:val="414042" w:themeColor="text1"/>
                <w:spacing w:val="-4"/>
                <w:sz w:val="18"/>
                <w:szCs w:val="20"/>
                <w:vertAlign w:val="superscript"/>
              </w:rPr>
              <w:t>5</w:t>
            </w:r>
          </w:p>
        </w:tc>
        <w:tc>
          <w:tcPr>
            <w:tcW w:w="1592" w:type="pct"/>
            <w:tcBorders>
              <w:top w:val="single" w:sz="4" w:space="0" w:color="BCBEC0"/>
              <w:left w:val="single" w:sz="4" w:space="0" w:color="BCBEC0"/>
              <w:bottom w:val="single" w:sz="4" w:space="0" w:color="BCBEC0"/>
              <w:right w:val="single" w:sz="4" w:space="0" w:color="BCBEC0"/>
            </w:tcBorders>
          </w:tcPr>
          <w:p w14:paraId="5A4AE78F"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Senior Executive Officer (Corruption)</w:t>
            </w:r>
          </w:p>
        </w:tc>
        <w:tc>
          <w:tcPr>
            <w:tcW w:w="909" w:type="pct"/>
            <w:tcBorders>
              <w:top w:val="single" w:sz="4" w:space="0" w:color="BCBEC0"/>
              <w:left w:val="single" w:sz="4" w:space="0" w:color="BCBEC0"/>
              <w:bottom w:val="single" w:sz="4" w:space="0" w:color="BCBEC0"/>
              <w:right w:val="single" w:sz="4" w:space="0" w:color="BCBEC0"/>
            </w:tcBorders>
          </w:tcPr>
          <w:p w14:paraId="06A243BA"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10</w:t>
            </w:r>
          </w:p>
        </w:tc>
        <w:tc>
          <w:tcPr>
            <w:tcW w:w="833" w:type="pct"/>
            <w:tcBorders>
              <w:top w:val="single" w:sz="4" w:space="0" w:color="BCBEC0"/>
              <w:left w:val="single" w:sz="4" w:space="0" w:color="BCBEC0"/>
              <w:bottom w:val="single" w:sz="4" w:space="0" w:color="BCBEC0"/>
              <w:right w:val="nil"/>
            </w:tcBorders>
          </w:tcPr>
          <w:p w14:paraId="1A0CE3D4"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4</w:t>
            </w:r>
          </w:p>
        </w:tc>
      </w:tr>
      <w:tr w:rsidR="00DF3006" w:rsidRPr="00DF3006" w14:paraId="6AA060E4"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6CE2D75E"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Ms Sharon Loder</w:t>
            </w:r>
          </w:p>
        </w:tc>
        <w:tc>
          <w:tcPr>
            <w:tcW w:w="1592" w:type="pct"/>
            <w:tcBorders>
              <w:top w:val="single" w:sz="4" w:space="0" w:color="BCBEC0"/>
              <w:left w:val="single" w:sz="4" w:space="0" w:color="BCBEC0"/>
              <w:bottom w:val="single" w:sz="4" w:space="0" w:color="BCBEC0"/>
              <w:right w:val="single" w:sz="4" w:space="0" w:color="BCBEC0"/>
            </w:tcBorders>
          </w:tcPr>
          <w:p w14:paraId="556D2D27"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Senior Executive Officer (Crime)</w:t>
            </w:r>
          </w:p>
        </w:tc>
        <w:tc>
          <w:tcPr>
            <w:tcW w:w="909" w:type="pct"/>
            <w:tcBorders>
              <w:top w:val="single" w:sz="4" w:space="0" w:color="BCBEC0"/>
              <w:left w:val="single" w:sz="4" w:space="0" w:color="BCBEC0"/>
              <w:bottom w:val="single" w:sz="4" w:space="0" w:color="BCBEC0"/>
              <w:right w:val="single" w:sz="4" w:space="0" w:color="BCBEC0"/>
            </w:tcBorders>
          </w:tcPr>
          <w:p w14:paraId="586A22AF"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8</w:t>
            </w:r>
          </w:p>
        </w:tc>
        <w:tc>
          <w:tcPr>
            <w:tcW w:w="833" w:type="pct"/>
            <w:tcBorders>
              <w:top w:val="single" w:sz="4" w:space="0" w:color="BCBEC0"/>
              <w:left w:val="single" w:sz="4" w:space="0" w:color="BCBEC0"/>
              <w:bottom w:val="single" w:sz="4" w:space="0" w:color="BCBEC0"/>
              <w:right w:val="nil"/>
            </w:tcBorders>
          </w:tcPr>
          <w:p w14:paraId="7AC17487"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3</w:t>
            </w:r>
          </w:p>
        </w:tc>
      </w:tr>
      <w:tr w:rsidR="00DF3006" w:rsidRPr="00DF3006" w14:paraId="59C70554" w14:textId="77777777" w:rsidTr="00835A10">
        <w:trPr>
          <w:trHeight w:val="273"/>
        </w:trPr>
        <w:tc>
          <w:tcPr>
            <w:tcW w:w="1666" w:type="pct"/>
            <w:tcBorders>
              <w:top w:val="single" w:sz="4" w:space="0" w:color="BCBEC0"/>
              <w:left w:val="nil"/>
              <w:bottom w:val="single" w:sz="4" w:space="0" w:color="BCBEC0"/>
              <w:right w:val="single" w:sz="4" w:space="0" w:color="BCBEC0"/>
            </w:tcBorders>
          </w:tcPr>
          <w:p w14:paraId="6EC94BB3"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Dr Rebecca Denning</w:t>
            </w:r>
          </w:p>
        </w:tc>
        <w:tc>
          <w:tcPr>
            <w:tcW w:w="1592" w:type="pct"/>
            <w:tcBorders>
              <w:top w:val="single" w:sz="4" w:space="0" w:color="BCBEC0"/>
              <w:left w:val="single" w:sz="4" w:space="0" w:color="BCBEC0"/>
              <w:bottom w:val="single" w:sz="4" w:space="0" w:color="BCBEC0"/>
              <w:right w:val="single" w:sz="4" w:space="0" w:color="BCBEC0"/>
            </w:tcBorders>
          </w:tcPr>
          <w:p w14:paraId="3B6A0B0A"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General Manager, Strategy and Renewal</w:t>
            </w:r>
          </w:p>
        </w:tc>
        <w:tc>
          <w:tcPr>
            <w:tcW w:w="909" w:type="pct"/>
            <w:tcBorders>
              <w:top w:val="single" w:sz="4" w:space="0" w:color="BCBEC0"/>
              <w:left w:val="single" w:sz="4" w:space="0" w:color="BCBEC0"/>
              <w:bottom w:val="single" w:sz="4" w:space="0" w:color="BCBEC0"/>
              <w:right w:val="single" w:sz="4" w:space="0" w:color="BCBEC0"/>
            </w:tcBorders>
          </w:tcPr>
          <w:p w14:paraId="6E363F98"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9</w:t>
            </w:r>
          </w:p>
        </w:tc>
        <w:tc>
          <w:tcPr>
            <w:tcW w:w="833" w:type="pct"/>
            <w:tcBorders>
              <w:top w:val="single" w:sz="4" w:space="0" w:color="BCBEC0"/>
              <w:left w:val="single" w:sz="4" w:space="0" w:color="BCBEC0"/>
              <w:bottom w:val="single" w:sz="4" w:space="0" w:color="BCBEC0"/>
              <w:right w:val="nil"/>
            </w:tcBorders>
          </w:tcPr>
          <w:p w14:paraId="32329691"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0</w:t>
            </w:r>
          </w:p>
        </w:tc>
      </w:tr>
      <w:tr w:rsidR="00DF3006" w:rsidRPr="00DF3006" w14:paraId="7FAB09AC"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43243A63"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Detective Chief Superintendent Roger Lowe</w:t>
            </w:r>
          </w:p>
        </w:tc>
        <w:tc>
          <w:tcPr>
            <w:tcW w:w="1592" w:type="pct"/>
            <w:tcBorders>
              <w:top w:val="single" w:sz="4" w:space="0" w:color="BCBEC0"/>
              <w:left w:val="single" w:sz="4" w:space="0" w:color="BCBEC0"/>
              <w:bottom w:val="single" w:sz="4" w:space="0" w:color="BCBEC0"/>
              <w:right w:val="single" w:sz="4" w:space="0" w:color="BCBEC0"/>
            </w:tcBorders>
          </w:tcPr>
          <w:p w14:paraId="5FE0BDC2" w14:textId="77777777" w:rsidR="00561686" w:rsidRPr="00DF3006" w:rsidRDefault="00561686" w:rsidP="001F59A0">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General Manager, Operations Support</w:t>
            </w:r>
          </w:p>
        </w:tc>
        <w:tc>
          <w:tcPr>
            <w:tcW w:w="909" w:type="pct"/>
            <w:tcBorders>
              <w:top w:val="single" w:sz="4" w:space="0" w:color="BCBEC0"/>
              <w:left w:val="single" w:sz="4" w:space="0" w:color="BCBEC0"/>
              <w:bottom w:val="single" w:sz="4" w:space="0" w:color="BCBEC0"/>
              <w:right w:val="single" w:sz="4" w:space="0" w:color="BCBEC0"/>
            </w:tcBorders>
          </w:tcPr>
          <w:p w14:paraId="4BDC947E"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6</w:t>
            </w:r>
          </w:p>
        </w:tc>
        <w:tc>
          <w:tcPr>
            <w:tcW w:w="833" w:type="pct"/>
            <w:tcBorders>
              <w:top w:val="single" w:sz="4" w:space="0" w:color="BCBEC0"/>
              <w:left w:val="single" w:sz="4" w:space="0" w:color="BCBEC0"/>
              <w:bottom w:val="single" w:sz="4" w:space="0" w:color="BCBEC0"/>
              <w:right w:val="nil"/>
            </w:tcBorders>
          </w:tcPr>
          <w:p w14:paraId="68397785" w14:textId="77777777" w:rsidR="00561686" w:rsidRPr="00DF3006" w:rsidRDefault="00561686" w:rsidP="00270F15">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0</w:t>
            </w:r>
          </w:p>
        </w:tc>
      </w:tr>
      <w:tr w:rsidR="00DF3006" w:rsidRPr="00DF3006" w14:paraId="0905919D" w14:textId="77777777" w:rsidTr="00270F15">
        <w:trPr>
          <w:trHeight w:val="300"/>
        </w:trPr>
        <w:tc>
          <w:tcPr>
            <w:tcW w:w="1666" w:type="pct"/>
            <w:tcBorders>
              <w:top w:val="single" w:sz="4" w:space="0" w:color="BCBEC0"/>
              <w:left w:val="nil"/>
              <w:bottom w:val="single" w:sz="4" w:space="0" w:color="BCBEC0"/>
              <w:right w:val="single" w:sz="4" w:space="0" w:color="BCBEC0"/>
            </w:tcBorders>
          </w:tcPr>
          <w:p w14:paraId="1A5D918C" w14:textId="39B81272" w:rsidR="00593962" w:rsidRPr="00DF3006" w:rsidRDefault="00593962" w:rsidP="00593962">
            <w:pPr>
              <w:spacing w:after="0"/>
              <w:jc w:val="left"/>
              <w:rPr>
                <w:rFonts w:asciiTheme="majorHAnsi" w:hAnsiTheme="majorHAnsi" w:cstheme="majorHAnsi"/>
                <w:color w:val="414042" w:themeColor="text1"/>
                <w:spacing w:val="-4"/>
                <w:sz w:val="18"/>
                <w:szCs w:val="20"/>
              </w:rPr>
            </w:pPr>
            <w:r w:rsidRPr="00DF3006">
              <w:rPr>
                <w:rFonts w:asciiTheme="majorHAnsi" w:hAnsiTheme="majorHAnsi" w:cstheme="majorHAnsi"/>
                <w:color w:val="414042" w:themeColor="text1"/>
                <w:spacing w:val="-4"/>
                <w:sz w:val="18"/>
                <w:szCs w:val="20"/>
              </w:rPr>
              <w:t>Mr Cameron Rentz</w:t>
            </w:r>
          </w:p>
        </w:tc>
        <w:tc>
          <w:tcPr>
            <w:tcW w:w="1592" w:type="pct"/>
            <w:tcBorders>
              <w:top w:val="single" w:sz="4" w:space="0" w:color="BCBEC0"/>
              <w:left w:val="single" w:sz="4" w:space="0" w:color="BCBEC0"/>
              <w:bottom w:val="single" w:sz="4" w:space="0" w:color="BCBEC0"/>
              <w:right w:val="single" w:sz="4" w:space="0" w:color="BCBEC0"/>
            </w:tcBorders>
          </w:tcPr>
          <w:p w14:paraId="12A56035" w14:textId="1B93CAEA" w:rsidR="00593962" w:rsidRPr="00DF3006" w:rsidRDefault="00593962" w:rsidP="00593962">
            <w:pPr>
              <w:spacing w:after="0"/>
              <w:jc w:val="left"/>
              <w:rPr>
                <w:rFonts w:asciiTheme="majorHAnsi" w:hAnsiTheme="majorHAnsi" w:cstheme="majorHAnsi"/>
                <w:color w:val="414042" w:themeColor="text1"/>
                <w:spacing w:val="-4"/>
                <w:sz w:val="18"/>
                <w:szCs w:val="20"/>
              </w:rPr>
            </w:pPr>
            <w:r w:rsidRPr="00DF3006">
              <w:rPr>
                <w:rFonts w:asciiTheme="majorHAnsi" w:hAnsiTheme="majorHAnsi" w:cstheme="majorHAnsi"/>
                <w:color w:val="414042" w:themeColor="text1"/>
                <w:spacing w:val="-4"/>
                <w:sz w:val="18"/>
                <w:szCs w:val="20"/>
              </w:rPr>
              <w:t>Acting Senior Executive Officer (Crime)</w:t>
            </w:r>
          </w:p>
        </w:tc>
        <w:tc>
          <w:tcPr>
            <w:tcW w:w="909" w:type="pct"/>
            <w:tcBorders>
              <w:top w:val="single" w:sz="4" w:space="0" w:color="BCBEC0"/>
              <w:left w:val="single" w:sz="4" w:space="0" w:color="BCBEC0"/>
              <w:bottom w:val="single" w:sz="4" w:space="0" w:color="BCBEC0"/>
              <w:right w:val="single" w:sz="4" w:space="0" w:color="BCBEC0"/>
            </w:tcBorders>
          </w:tcPr>
          <w:p w14:paraId="6D689B81" w14:textId="0FDC432F" w:rsidR="00593962" w:rsidRPr="00DF3006" w:rsidRDefault="00593962" w:rsidP="00593962">
            <w:pPr>
              <w:spacing w:after="0"/>
              <w:rPr>
                <w:rFonts w:asciiTheme="majorHAnsi" w:hAnsiTheme="majorHAnsi" w:cstheme="majorHAnsi"/>
                <w:color w:val="414042" w:themeColor="text1"/>
                <w:spacing w:val="-4"/>
                <w:sz w:val="18"/>
                <w:szCs w:val="20"/>
              </w:rPr>
            </w:pPr>
            <w:r w:rsidRPr="00DF3006">
              <w:rPr>
                <w:rFonts w:asciiTheme="majorHAnsi" w:hAnsiTheme="majorHAnsi" w:cstheme="majorHAnsi"/>
                <w:color w:val="414042" w:themeColor="text1"/>
                <w:spacing w:val="-4"/>
                <w:sz w:val="18"/>
                <w:szCs w:val="20"/>
              </w:rPr>
              <w:t>0</w:t>
            </w:r>
          </w:p>
        </w:tc>
        <w:tc>
          <w:tcPr>
            <w:tcW w:w="833" w:type="pct"/>
            <w:tcBorders>
              <w:top w:val="single" w:sz="4" w:space="0" w:color="BCBEC0"/>
              <w:left w:val="single" w:sz="4" w:space="0" w:color="BCBEC0"/>
              <w:bottom w:val="single" w:sz="4" w:space="0" w:color="BCBEC0"/>
              <w:right w:val="nil"/>
            </w:tcBorders>
          </w:tcPr>
          <w:p w14:paraId="6122A44A" w14:textId="100A2331" w:rsidR="00593962" w:rsidRPr="00DF3006" w:rsidRDefault="00593962" w:rsidP="00593962">
            <w:pPr>
              <w:spacing w:after="0"/>
              <w:rPr>
                <w:rFonts w:asciiTheme="majorHAnsi" w:hAnsiTheme="majorHAnsi" w:cstheme="majorHAnsi"/>
                <w:color w:val="414042" w:themeColor="text1"/>
                <w:spacing w:val="-4"/>
                <w:sz w:val="18"/>
                <w:szCs w:val="20"/>
              </w:rPr>
            </w:pPr>
            <w:r w:rsidRPr="00DF3006">
              <w:rPr>
                <w:rFonts w:asciiTheme="majorHAnsi" w:hAnsiTheme="majorHAnsi" w:cstheme="majorHAnsi"/>
                <w:color w:val="414042" w:themeColor="text1"/>
                <w:spacing w:val="-4"/>
                <w:sz w:val="18"/>
                <w:szCs w:val="20"/>
              </w:rPr>
              <w:t>1</w:t>
            </w:r>
          </w:p>
        </w:tc>
      </w:tr>
      <w:tr w:rsidR="00DF3006" w:rsidRPr="00DF3006" w14:paraId="103C4E1A" w14:textId="77777777" w:rsidTr="00270F15">
        <w:trPr>
          <w:trHeight w:val="51"/>
        </w:trPr>
        <w:tc>
          <w:tcPr>
            <w:tcW w:w="1666" w:type="pct"/>
            <w:tcBorders>
              <w:top w:val="single" w:sz="4" w:space="0" w:color="BCBEC0"/>
              <w:left w:val="nil"/>
              <w:bottom w:val="single" w:sz="4" w:space="0" w:color="BCBEC0"/>
              <w:right w:val="single" w:sz="4" w:space="0" w:color="BCBEC0"/>
            </w:tcBorders>
          </w:tcPr>
          <w:p w14:paraId="5F9EFBF3" w14:textId="09BF559E" w:rsidR="00593962" w:rsidRPr="00DF3006" w:rsidRDefault="00593962" w:rsidP="00593962">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Detective Acting Chief Superintendent Kerry Lofdahl</w:t>
            </w:r>
            <w:r w:rsidRPr="00DF3006">
              <w:rPr>
                <w:rFonts w:asciiTheme="majorHAnsi" w:hAnsiTheme="majorHAnsi" w:cstheme="majorHAnsi"/>
                <w:color w:val="414042" w:themeColor="text1"/>
                <w:spacing w:val="-4"/>
                <w:sz w:val="18"/>
                <w:szCs w:val="20"/>
                <w:vertAlign w:val="superscript"/>
              </w:rPr>
              <w:t>6</w:t>
            </w:r>
          </w:p>
        </w:tc>
        <w:tc>
          <w:tcPr>
            <w:tcW w:w="1592" w:type="pct"/>
            <w:tcBorders>
              <w:top w:val="single" w:sz="4" w:space="0" w:color="BCBEC0"/>
              <w:left w:val="single" w:sz="4" w:space="0" w:color="BCBEC0"/>
              <w:bottom w:val="single" w:sz="4" w:space="0" w:color="BCBEC0"/>
              <w:right w:val="single" w:sz="4" w:space="0" w:color="BCBEC0"/>
            </w:tcBorders>
          </w:tcPr>
          <w:p w14:paraId="71348BD7" w14:textId="77777777" w:rsidR="00593962" w:rsidRPr="00DF3006" w:rsidRDefault="00593962" w:rsidP="00593962">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Acting General Manager, Operations Support and Director Crime Operations</w:t>
            </w:r>
          </w:p>
        </w:tc>
        <w:tc>
          <w:tcPr>
            <w:tcW w:w="909" w:type="pct"/>
            <w:tcBorders>
              <w:top w:val="single" w:sz="4" w:space="0" w:color="BCBEC0"/>
              <w:left w:val="single" w:sz="4" w:space="0" w:color="BCBEC0"/>
              <w:bottom w:val="single" w:sz="4" w:space="0" w:color="BCBEC0"/>
              <w:right w:val="single" w:sz="4" w:space="0" w:color="BCBEC0"/>
            </w:tcBorders>
          </w:tcPr>
          <w:p w14:paraId="07E5ACE6" w14:textId="77777777" w:rsidR="00593962" w:rsidRPr="00DF3006" w:rsidRDefault="00593962" w:rsidP="00593962">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2</w:t>
            </w:r>
          </w:p>
        </w:tc>
        <w:tc>
          <w:tcPr>
            <w:tcW w:w="833" w:type="pct"/>
            <w:tcBorders>
              <w:top w:val="single" w:sz="4" w:space="0" w:color="BCBEC0"/>
              <w:left w:val="single" w:sz="4" w:space="0" w:color="BCBEC0"/>
              <w:bottom w:val="single" w:sz="4" w:space="0" w:color="BCBEC0"/>
              <w:right w:val="nil"/>
            </w:tcBorders>
          </w:tcPr>
          <w:p w14:paraId="1126955A" w14:textId="77777777" w:rsidR="00593962" w:rsidRPr="00DF3006" w:rsidRDefault="00593962" w:rsidP="00593962">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0</w:t>
            </w:r>
          </w:p>
        </w:tc>
      </w:tr>
      <w:tr w:rsidR="00DF3006" w:rsidRPr="00DF3006" w14:paraId="7056B393" w14:textId="77777777" w:rsidTr="00270F15">
        <w:trPr>
          <w:trHeight w:val="51"/>
        </w:trPr>
        <w:tc>
          <w:tcPr>
            <w:tcW w:w="1666" w:type="pct"/>
            <w:tcBorders>
              <w:top w:val="single" w:sz="4" w:space="0" w:color="BCBEC0"/>
              <w:left w:val="nil"/>
              <w:bottom w:val="single" w:sz="4" w:space="0" w:color="939598"/>
              <w:right w:val="single" w:sz="4" w:space="0" w:color="BCBEC0"/>
            </w:tcBorders>
          </w:tcPr>
          <w:p w14:paraId="748CFBF5" w14:textId="1995AE80" w:rsidR="00593962" w:rsidRPr="00DF3006" w:rsidRDefault="00593962" w:rsidP="00593962">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Mr Peter Le Clercq</w:t>
            </w:r>
          </w:p>
        </w:tc>
        <w:tc>
          <w:tcPr>
            <w:tcW w:w="1592" w:type="pct"/>
            <w:tcBorders>
              <w:top w:val="single" w:sz="4" w:space="0" w:color="BCBEC0"/>
              <w:left w:val="single" w:sz="4" w:space="0" w:color="BCBEC0"/>
              <w:bottom w:val="single" w:sz="4" w:space="0" w:color="939598"/>
              <w:right w:val="single" w:sz="4" w:space="0" w:color="BCBEC0"/>
            </w:tcBorders>
          </w:tcPr>
          <w:p w14:paraId="5FAACEE7" w14:textId="77777777" w:rsidR="00593962" w:rsidRPr="00DF3006" w:rsidRDefault="00593962" w:rsidP="00593962">
            <w:pPr>
              <w:spacing w:after="0"/>
              <w:jc w:val="left"/>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Acting Executive Director, Strategy and Performance</w:t>
            </w:r>
          </w:p>
        </w:tc>
        <w:tc>
          <w:tcPr>
            <w:tcW w:w="909" w:type="pct"/>
            <w:tcBorders>
              <w:top w:val="single" w:sz="4" w:space="0" w:color="BCBEC0"/>
              <w:left w:val="single" w:sz="4" w:space="0" w:color="BCBEC0"/>
              <w:bottom w:val="single" w:sz="4" w:space="0" w:color="939598"/>
              <w:right w:val="single" w:sz="4" w:space="0" w:color="BCBEC0"/>
            </w:tcBorders>
          </w:tcPr>
          <w:p w14:paraId="36D05926" w14:textId="77777777" w:rsidR="00593962" w:rsidRPr="00DF3006" w:rsidRDefault="00593962" w:rsidP="00593962">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1</w:t>
            </w:r>
          </w:p>
        </w:tc>
        <w:tc>
          <w:tcPr>
            <w:tcW w:w="833" w:type="pct"/>
            <w:tcBorders>
              <w:top w:val="single" w:sz="4" w:space="0" w:color="BCBEC0"/>
              <w:left w:val="single" w:sz="4" w:space="0" w:color="BCBEC0"/>
              <w:bottom w:val="single" w:sz="4" w:space="0" w:color="939598"/>
              <w:right w:val="nil"/>
            </w:tcBorders>
          </w:tcPr>
          <w:p w14:paraId="71F8C97D" w14:textId="77777777" w:rsidR="00593962" w:rsidRPr="00DF3006" w:rsidRDefault="00593962" w:rsidP="00593962">
            <w:pPr>
              <w:spacing w:after="0"/>
              <w:rPr>
                <w:rFonts w:eastAsia="Calibri" w:cs="Calibri Light"/>
                <w:color w:val="414042" w:themeColor="text1"/>
                <w:spacing w:val="-4"/>
                <w:sz w:val="18"/>
                <w:szCs w:val="20"/>
              </w:rPr>
            </w:pPr>
            <w:r w:rsidRPr="00DF3006">
              <w:rPr>
                <w:rFonts w:asciiTheme="majorHAnsi" w:hAnsiTheme="majorHAnsi" w:cstheme="majorHAnsi"/>
                <w:color w:val="414042" w:themeColor="text1"/>
                <w:spacing w:val="-4"/>
                <w:sz w:val="18"/>
                <w:szCs w:val="20"/>
              </w:rPr>
              <w:t>0</w:t>
            </w:r>
          </w:p>
        </w:tc>
      </w:tr>
    </w:tbl>
    <w:p w14:paraId="4933EF49" w14:textId="77777777" w:rsidR="00561686" w:rsidRPr="00DF3006" w:rsidRDefault="00561686" w:rsidP="00561686">
      <w:pPr>
        <w:pStyle w:val="Notes"/>
        <w:spacing w:before="120"/>
        <w:rPr>
          <w:rFonts w:asciiTheme="majorHAnsi" w:hAnsiTheme="majorHAnsi" w:cstheme="minorHAnsi"/>
          <w:lang w:val="en-AU"/>
        </w:rPr>
      </w:pPr>
      <w:r w:rsidRPr="00DF3006">
        <w:rPr>
          <w:rFonts w:asciiTheme="majorHAnsi" w:hAnsiTheme="majorHAnsi" w:cstheme="minorHAnsi"/>
          <w:lang w:val="en-AU"/>
        </w:rPr>
        <w:t xml:space="preserve">Notes: </w:t>
      </w:r>
    </w:p>
    <w:p w14:paraId="1C2B6D26" w14:textId="77777777" w:rsidR="00561686" w:rsidRPr="00DF3006" w:rsidRDefault="00561686">
      <w:pPr>
        <w:pStyle w:val="FootnoteText"/>
        <w:numPr>
          <w:ilvl w:val="0"/>
          <w:numId w:val="61"/>
        </w:numPr>
        <w:tabs>
          <w:tab w:val="left" w:pos="284"/>
        </w:tabs>
        <w:ind w:left="284" w:hanging="284"/>
        <w:rPr>
          <w:color w:val="414042" w:themeColor="text1"/>
          <w:spacing w:val="-4"/>
          <w:sz w:val="16"/>
          <w:szCs w:val="16"/>
        </w:rPr>
      </w:pPr>
      <w:r w:rsidRPr="00DF3006">
        <w:rPr>
          <w:color w:val="414042" w:themeColor="text1"/>
          <w:spacing w:val="-4"/>
          <w:sz w:val="16"/>
          <w:szCs w:val="16"/>
        </w:rPr>
        <w:t>Mr Williams KC’s tenure as Deputy Chairperson ended on 31 October 2022.</w:t>
      </w:r>
    </w:p>
    <w:p w14:paraId="490711C3" w14:textId="21C738F6" w:rsidR="00561686" w:rsidRPr="00DF3006" w:rsidRDefault="00561686">
      <w:pPr>
        <w:pStyle w:val="FootnoteText"/>
        <w:numPr>
          <w:ilvl w:val="0"/>
          <w:numId w:val="61"/>
        </w:numPr>
        <w:tabs>
          <w:tab w:val="left" w:pos="284"/>
        </w:tabs>
        <w:ind w:left="284" w:hanging="284"/>
        <w:rPr>
          <w:color w:val="414042" w:themeColor="text1"/>
          <w:spacing w:val="-4"/>
          <w:sz w:val="16"/>
          <w:szCs w:val="16"/>
        </w:rPr>
      </w:pPr>
      <w:r w:rsidRPr="00DF3006">
        <w:rPr>
          <w:color w:val="414042" w:themeColor="text1"/>
          <w:spacing w:val="-4"/>
          <w:sz w:val="16"/>
          <w:szCs w:val="16"/>
        </w:rPr>
        <w:t>Ms McMillan KC commenced her term as Deputy Chairperson on 16 December 2022.</w:t>
      </w:r>
    </w:p>
    <w:p w14:paraId="2F414034" w14:textId="77777777" w:rsidR="00561686" w:rsidRPr="00DF3006" w:rsidRDefault="00561686">
      <w:pPr>
        <w:pStyle w:val="FootnoteText"/>
        <w:numPr>
          <w:ilvl w:val="0"/>
          <w:numId w:val="61"/>
        </w:numPr>
        <w:tabs>
          <w:tab w:val="left" w:pos="284"/>
        </w:tabs>
        <w:ind w:left="284" w:hanging="284"/>
        <w:rPr>
          <w:color w:val="414042" w:themeColor="text1"/>
          <w:spacing w:val="-4"/>
          <w:sz w:val="16"/>
          <w:szCs w:val="16"/>
        </w:rPr>
      </w:pPr>
      <w:r w:rsidRPr="00DF3006">
        <w:rPr>
          <w:color w:val="414042" w:themeColor="text1"/>
          <w:spacing w:val="-4"/>
          <w:sz w:val="16"/>
          <w:szCs w:val="16"/>
        </w:rPr>
        <w:t>Ms Darch was reappointed as an Ordinary Commissioner on 14 May 2023.</w:t>
      </w:r>
    </w:p>
    <w:p w14:paraId="7548E6F9" w14:textId="0176EA23" w:rsidR="00561686" w:rsidRPr="00DF3006" w:rsidRDefault="00561686">
      <w:pPr>
        <w:pStyle w:val="FootnoteText"/>
        <w:numPr>
          <w:ilvl w:val="0"/>
          <w:numId w:val="61"/>
        </w:numPr>
        <w:tabs>
          <w:tab w:val="left" w:pos="284"/>
        </w:tabs>
        <w:rPr>
          <w:color w:val="414042" w:themeColor="text1"/>
          <w:spacing w:val="-4"/>
          <w:sz w:val="16"/>
          <w:szCs w:val="16"/>
        </w:rPr>
      </w:pPr>
      <w:r w:rsidRPr="00DF3006">
        <w:rPr>
          <w:color w:val="414042" w:themeColor="text1"/>
          <w:spacing w:val="-4"/>
          <w:sz w:val="16"/>
          <w:szCs w:val="16"/>
        </w:rPr>
        <w:t>Mr Dowling commenced his term as an Ordinary Commissioner on 4 November 2022.</w:t>
      </w:r>
    </w:p>
    <w:p w14:paraId="08D1E7BB" w14:textId="77777777" w:rsidR="00561686" w:rsidRPr="00DF3006" w:rsidRDefault="00561686">
      <w:pPr>
        <w:pStyle w:val="FootnoteText"/>
        <w:numPr>
          <w:ilvl w:val="0"/>
          <w:numId w:val="61"/>
        </w:numPr>
        <w:tabs>
          <w:tab w:val="left" w:pos="284"/>
        </w:tabs>
        <w:rPr>
          <w:color w:val="414042" w:themeColor="text1"/>
          <w:spacing w:val="-4"/>
          <w:sz w:val="16"/>
          <w:szCs w:val="16"/>
        </w:rPr>
      </w:pPr>
      <w:r w:rsidRPr="00DF3006">
        <w:rPr>
          <w:color w:val="414042" w:themeColor="text1"/>
          <w:spacing w:val="-4"/>
          <w:sz w:val="16"/>
          <w:szCs w:val="16"/>
        </w:rPr>
        <w:t>Ms Christensen’s appointment as Senior Executive Officer (Corruption) commenced on 11 July 2022.</w:t>
      </w:r>
    </w:p>
    <w:p w14:paraId="78978595" w14:textId="3D33A2F1" w:rsidR="00561686" w:rsidRPr="00DF3006" w:rsidRDefault="00561686">
      <w:pPr>
        <w:pStyle w:val="FootnoteText"/>
        <w:numPr>
          <w:ilvl w:val="0"/>
          <w:numId w:val="61"/>
        </w:numPr>
        <w:tabs>
          <w:tab w:val="left" w:pos="284"/>
        </w:tabs>
        <w:rPr>
          <w:color w:val="414042" w:themeColor="text1"/>
          <w:spacing w:val="-4"/>
          <w:sz w:val="16"/>
          <w:szCs w:val="16"/>
        </w:rPr>
        <w:sectPr w:rsidR="00561686" w:rsidRPr="00DF3006" w:rsidSect="00C77834">
          <w:type w:val="continuous"/>
          <w:pgSz w:w="11906" w:h="16838" w:code="9"/>
          <w:pgMar w:top="2155" w:right="1134" w:bottom="964" w:left="1134" w:header="720" w:footer="284" w:gutter="0"/>
          <w:cols w:space="567"/>
          <w:noEndnote/>
          <w:docGrid w:linePitch="272"/>
        </w:sectPr>
      </w:pPr>
      <w:r w:rsidRPr="00DF3006">
        <w:rPr>
          <w:color w:val="414042" w:themeColor="text1"/>
          <w:spacing w:val="-4"/>
          <w:sz w:val="16"/>
          <w:szCs w:val="16"/>
        </w:rPr>
        <w:t xml:space="preserve">Detective Acting Chief Superintendent </w:t>
      </w:r>
      <w:r w:rsidRPr="00DF3006">
        <w:rPr>
          <w:rFonts w:asciiTheme="majorHAnsi" w:hAnsiTheme="majorHAnsi" w:cstheme="majorHAnsi"/>
          <w:color w:val="414042" w:themeColor="text1"/>
          <w:spacing w:val="-4"/>
          <w:sz w:val="16"/>
          <w:szCs w:val="16"/>
        </w:rPr>
        <w:t>Lofdahl</w:t>
      </w:r>
      <w:r w:rsidRPr="00DF3006">
        <w:rPr>
          <w:color w:val="414042" w:themeColor="text1"/>
          <w:spacing w:val="-4"/>
          <w:sz w:val="16"/>
          <w:szCs w:val="16"/>
        </w:rPr>
        <w:t xml:space="preserve"> attended once in her capacity as Acting General Manager, Operations Support (26 May 2023), and once in her substantive role as Director Crime Operations (28 October 2022).</w:t>
      </w:r>
    </w:p>
    <w:p w14:paraId="67ECA10F" w14:textId="77777777" w:rsidR="00561686" w:rsidRPr="00DF3006" w:rsidRDefault="00561686" w:rsidP="00561686">
      <w:pPr>
        <w:rPr>
          <w:color w:val="414042" w:themeColor="text1"/>
          <w:sz w:val="2"/>
          <w:szCs w:val="2"/>
        </w:rPr>
        <w:sectPr w:rsidR="00561686" w:rsidRPr="00DF3006" w:rsidSect="00C77834">
          <w:type w:val="continuous"/>
          <w:pgSz w:w="11906" w:h="16838" w:code="9"/>
          <w:pgMar w:top="2155" w:right="1134" w:bottom="964" w:left="1134" w:header="720" w:footer="284" w:gutter="0"/>
          <w:cols w:num="2" w:space="567"/>
          <w:noEndnote/>
          <w:docGrid w:linePitch="272"/>
        </w:sectPr>
      </w:pPr>
    </w:p>
    <w:p w14:paraId="7BEBA712" w14:textId="77777777" w:rsidR="00561686" w:rsidRPr="00DF3006" w:rsidRDefault="00561686" w:rsidP="00561686">
      <w:pPr>
        <w:pStyle w:val="Heading2"/>
      </w:pPr>
      <w:bookmarkStart w:id="1541" w:name="_Our_Executive_Leadership"/>
      <w:bookmarkStart w:id="1542" w:name="_Toc102038048"/>
      <w:bookmarkStart w:id="1543" w:name="_Toc102038409"/>
      <w:bookmarkStart w:id="1544" w:name="_Toc102038770"/>
      <w:bookmarkStart w:id="1545" w:name="_Toc102039122"/>
      <w:bookmarkStart w:id="1546" w:name="_Toc102039471"/>
      <w:bookmarkStart w:id="1547" w:name="_Toc102039833"/>
      <w:bookmarkStart w:id="1548" w:name="_Toc102040190"/>
      <w:bookmarkStart w:id="1549" w:name="_Toc102040518"/>
      <w:bookmarkStart w:id="1550" w:name="_Toc102040852"/>
      <w:bookmarkStart w:id="1551" w:name="_Toc102041180"/>
      <w:bookmarkStart w:id="1552" w:name="_Toc102041509"/>
      <w:bookmarkStart w:id="1553" w:name="_Toc102041841"/>
      <w:bookmarkStart w:id="1554" w:name="_Toc102042168"/>
      <w:bookmarkStart w:id="1555" w:name="_Toc102042498"/>
      <w:bookmarkStart w:id="1556" w:name="_Toc102045628"/>
      <w:bookmarkEnd w:id="1541"/>
      <w:r w:rsidRPr="00DF3006">
        <w:lastRenderedPageBreak/>
        <w:t>Our Executive Leadership Team</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1A754997" w14:textId="159AF917" w:rsidR="00561686" w:rsidRPr="00DF3006" w:rsidRDefault="00561686" w:rsidP="00E52781">
      <w:pPr>
        <w:pStyle w:val="Openingparagraph"/>
        <w:sectPr w:rsidR="00561686" w:rsidRPr="00DF3006" w:rsidSect="00C77834">
          <w:headerReference w:type="even" r:id="rId252"/>
          <w:headerReference w:type="default" r:id="rId253"/>
          <w:headerReference w:type="first" r:id="rId254"/>
          <w:pgSz w:w="11906" w:h="16838" w:code="9"/>
          <w:pgMar w:top="2155" w:right="1134" w:bottom="964" w:left="1134" w:header="720" w:footer="284" w:gutter="0"/>
          <w:cols w:space="567"/>
          <w:noEndnote/>
          <w:docGrid w:linePitch="272"/>
        </w:sectPr>
      </w:pPr>
      <w:r w:rsidRPr="00DF3006">
        <w:t xml:space="preserve">The Executive Leadership Team (ELT) supports our </w:t>
      </w:r>
      <w:r w:rsidR="00B342B6" w:rsidRPr="00DF3006">
        <w:t>agency</w:t>
      </w:r>
      <w:r w:rsidRPr="00DF3006">
        <w:t xml:space="preserve"> by leading discussions, providing </w:t>
      </w:r>
      <w:proofErr w:type="gramStart"/>
      <w:r w:rsidRPr="00DF3006">
        <w:t>advice</w:t>
      </w:r>
      <w:proofErr w:type="gramEnd"/>
      <w:r w:rsidRPr="00DF3006">
        <w:t xml:space="preserve"> and making recommendations on strategic and operational matters critical to </w:t>
      </w:r>
      <w:r w:rsidR="00B342B6" w:rsidRPr="00DF3006">
        <w:t>our</w:t>
      </w:r>
      <w:r w:rsidRPr="00DF3006">
        <w:t xml:space="preserve"> performance. Our </w:t>
      </w:r>
      <w:proofErr w:type="gramStart"/>
      <w:r w:rsidRPr="00DF3006">
        <w:t>Chairperson</w:t>
      </w:r>
      <w:proofErr w:type="gramEnd"/>
      <w:r w:rsidRPr="00DF3006">
        <w:t xml:space="preserve"> is a member of the ELT.</w:t>
      </w:r>
    </w:p>
    <w:p w14:paraId="08FAE836" w14:textId="3199EDFD" w:rsidR="00561686" w:rsidRPr="00DF3006" w:rsidRDefault="00561686" w:rsidP="00E6066A">
      <w:pPr>
        <w:pStyle w:val="Heading3"/>
      </w:pPr>
      <w:r w:rsidRPr="00DF3006">
        <w:t>Profile of our ELT</w:t>
      </w:r>
      <w:r w:rsidR="00351AC3" w:rsidRPr="00DF3006">
        <w:t xml:space="preserve"> </w:t>
      </w:r>
      <w:r w:rsidRPr="00DF3006">
        <w:rPr>
          <w:sz w:val="20"/>
          <w:szCs w:val="20"/>
        </w:rPr>
        <w:t>(as at 30 June 2023)</w:t>
      </w:r>
    </w:p>
    <w:p w14:paraId="1CAB0D8D" w14:textId="77777777" w:rsidR="00561686" w:rsidRPr="00DF3006" w:rsidRDefault="00561686" w:rsidP="00463FBB">
      <w:pPr>
        <w:pStyle w:val="Heading4"/>
      </w:pPr>
      <w:r w:rsidRPr="00DF3006">
        <w:t>Ms Jen O’Farrell</w:t>
      </w:r>
      <w:r w:rsidRPr="00DF3006">
        <w:br/>
        <w:t>Chief Executive Officer</w:t>
      </w:r>
    </w:p>
    <w:p w14:paraId="69339AF5" w14:textId="346A6A9B" w:rsidR="00561686" w:rsidRPr="00DF3006" w:rsidRDefault="00561686" w:rsidP="00561686">
      <w:pPr>
        <w:spacing w:before="40" w:line="204" w:lineRule="auto"/>
        <w:rPr>
          <w:i/>
          <w:iCs/>
          <w:color w:val="414042" w:themeColor="text1"/>
          <w:sz w:val="18"/>
          <w:szCs w:val="18"/>
        </w:rPr>
      </w:pPr>
      <w:r w:rsidRPr="00DF3006">
        <w:rPr>
          <w:i/>
          <w:iCs/>
          <w:color w:val="414042" w:themeColor="text1"/>
          <w:sz w:val="18"/>
          <w:szCs w:val="18"/>
        </w:rPr>
        <w:t xml:space="preserve">LLB (Hons), </w:t>
      </w:r>
      <w:proofErr w:type="spellStart"/>
      <w:r w:rsidRPr="00DF3006">
        <w:rPr>
          <w:i/>
          <w:iCs/>
          <w:color w:val="414042" w:themeColor="text1"/>
          <w:sz w:val="18"/>
          <w:szCs w:val="18"/>
        </w:rPr>
        <w:t>BBus</w:t>
      </w:r>
      <w:proofErr w:type="spellEnd"/>
      <w:r w:rsidRPr="00DF3006">
        <w:rPr>
          <w:i/>
          <w:iCs/>
          <w:color w:val="414042" w:themeColor="text1"/>
          <w:sz w:val="18"/>
          <w:szCs w:val="18"/>
        </w:rPr>
        <w:t xml:space="preserve">, BCom (admitted as a </w:t>
      </w:r>
      <w:r w:rsidR="008C476B" w:rsidRPr="00DF3006">
        <w:rPr>
          <w:i/>
          <w:iCs/>
          <w:color w:val="414042" w:themeColor="text1"/>
          <w:sz w:val="18"/>
          <w:szCs w:val="18"/>
        </w:rPr>
        <w:t xml:space="preserve">Legal Practitioner </w:t>
      </w:r>
      <w:r w:rsidRPr="00DF3006">
        <w:rPr>
          <w:i/>
          <w:iCs/>
          <w:color w:val="414042" w:themeColor="text1"/>
          <w:sz w:val="18"/>
          <w:szCs w:val="18"/>
        </w:rPr>
        <w:t>in 2008), GAICD, appointed on 24 August 2018.</w:t>
      </w:r>
    </w:p>
    <w:p w14:paraId="7BCCA6CE" w14:textId="395B9A5A" w:rsidR="00561686" w:rsidRPr="00DF3006" w:rsidRDefault="00561686" w:rsidP="00561686">
      <w:pPr>
        <w:rPr>
          <w:color w:val="414042" w:themeColor="text1"/>
          <w:spacing w:val="-4"/>
        </w:rPr>
      </w:pPr>
      <w:r w:rsidRPr="00DF3006">
        <w:rPr>
          <w:color w:val="414042" w:themeColor="text1"/>
          <w:spacing w:val="-4"/>
        </w:rPr>
        <w:t xml:space="preserve">Responsible for the administration of the CCC, including managing the overall operations and resources. </w:t>
      </w:r>
      <w:r w:rsidRPr="00DF3006">
        <w:rPr>
          <w:color w:val="414042" w:themeColor="text1"/>
          <w:spacing w:val="-4"/>
        </w:rPr>
        <w:br/>
        <w:t>Ms O’Farrell also has direct oversight of the Corporate Services</w:t>
      </w:r>
      <w:r w:rsidR="00593962" w:rsidRPr="00DF3006">
        <w:rPr>
          <w:color w:val="414042" w:themeColor="text1"/>
          <w:spacing w:val="-4"/>
        </w:rPr>
        <w:t>;</w:t>
      </w:r>
      <w:r w:rsidRPr="00DF3006">
        <w:rPr>
          <w:color w:val="414042" w:themeColor="text1"/>
          <w:spacing w:val="-4"/>
        </w:rPr>
        <w:t xml:space="preserve"> Legal, Risk and Compliance</w:t>
      </w:r>
      <w:r w:rsidR="00593962" w:rsidRPr="00DF3006">
        <w:rPr>
          <w:color w:val="414042" w:themeColor="text1"/>
          <w:spacing w:val="-4"/>
        </w:rPr>
        <w:t>;</w:t>
      </w:r>
      <w:r w:rsidRPr="00DF3006">
        <w:rPr>
          <w:color w:val="414042" w:themeColor="text1"/>
          <w:spacing w:val="-4"/>
        </w:rPr>
        <w:t xml:space="preserve"> Information Services</w:t>
      </w:r>
      <w:r w:rsidR="00593962" w:rsidRPr="00DF3006">
        <w:rPr>
          <w:color w:val="414042" w:themeColor="text1"/>
          <w:spacing w:val="-4"/>
        </w:rPr>
        <w:t>;</w:t>
      </w:r>
      <w:r w:rsidRPr="00DF3006">
        <w:rPr>
          <w:color w:val="414042" w:themeColor="text1"/>
          <w:spacing w:val="-4"/>
        </w:rPr>
        <w:t xml:space="preserve"> and Strategy and Renewal divisions.</w:t>
      </w:r>
    </w:p>
    <w:p w14:paraId="75282C10" w14:textId="77777777" w:rsidR="00561686" w:rsidRPr="00DF3006" w:rsidRDefault="00561686" w:rsidP="00561686">
      <w:pPr>
        <w:rPr>
          <w:color w:val="414042" w:themeColor="text1"/>
          <w:spacing w:val="-4"/>
        </w:rPr>
      </w:pPr>
      <w:r w:rsidRPr="00DF3006">
        <w:rPr>
          <w:color w:val="414042" w:themeColor="text1"/>
          <w:spacing w:val="-4"/>
        </w:rPr>
        <w:t>Ms O’Farrell has over 25 years’ experience in the public and private sectors, having held senior positions in Housing, Emergency Services, Transport and Main Roads and as a lawyer with Corrs Chambers Westgarth.</w:t>
      </w:r>
    </w:p>
    <w:p w14:paraId="212F4C23" w14:textId="77777777" w:rsidR="00561686" w:rsidRPr="00DF3006" w:rsidRDefault="00561686" w:rsidP="00463FBB">
      <w:pPr>
        <w:pStyle w:val="Heading4"/>
      </w:pPr>
      <w:bookmarkStart w:id="1557" w:name="_Hlk74301671"/>
      <w:r w:rsidRPr="00DF3006">
        <w:t>Ms Sharon Loder</w:t>
      </w:r>
      <w:r w:rsidRPr="00DF3006">
        <w:br/>
        <w:t>Senior Executive Officer (Crime)</w:t>
      </w:r>
    </w:p>
    <w:bookmarkEnd w:id="1557"/>
    <w:p w14:paraId="2267EFA7" w14:textId="600A1F28" w:rsidR="00351AC3" w:rsidRPr="00DF3006" w:rsidRDefault="00351AC3" w:rsidP="00351AC3">
      <w:pPr>
        <w:spacing w:before="40" w:line="204" w:lineRule="auto"/>
        <w:rPr>
          <w:i/>
          <w:iCs/>
          <w:color w:val="414042" w:themeColor="text1"/>
          <w:sz w:val="18"/>
          <w:szCs w:val="18"/>
        </w:rPr>
      </w:pPr>
      <w:r w:rsidRPr="00DF3006">
        <w:rPr>
          <w:i/>
          <w:iCs/>
          <w:color w:val="414042" w:themeColor="text1"/>
          <w:sz w:val="18"/>
          <w:szCs w:val="18"/>
        </w:rPr>
        <w:t xml:space="preserve">LLB, </w:t>
      </w:r>
      <w:proofErr w:type="spellStart"/>
      <w:r w:rsidRPr="00DF3006">
        <w:rPr>
          <w:i/>
          <w:iCs/>
          <w:color w:val="414042" w:themeColor="text1"/>
          <w:sz w:val="18"/>
          <w:szCs w:val="18"/>
        </w:rPr>
        <w:t>BBus</w:t>
      </w:r>
      <w:proofErr w:type="spellEnd"/>
      <w:r w:rsidRPr="00DF3006">
        <w:rPr>
          <w:i/>
          <w:iCs/>
          <w:color w:val="414042" w:themeColor="text1"/>
          <w:sz w:val="18"/>
          <w:szCs w:val="18"/>
        </w:rPr>
        <w:t xml:space="preserve">, LLM, </w:t>
      </w:r>
      <w:proofErr w:type="spellStart"/>
      <w:r w:rsidRPr="00DF3006">
        <w:rPr>
          <w:i/>
          <w:iCs/>
          <w:color w:val="414042" w:themeColor="text1"/>
          <w:sz w:val="18"/>
          <w:szCs w:val="18"/>
        </w:rPr>
        <w:t>GradCertEmergTechLaw</w:t>
      </w:r>
      <w:proofErr w:type="spellEnd"/>
      <w:r w:rsidRPr="00DF3006">
        <w:rPr>
          <w:i/>
          <w:iCs/>
          <w:color w:val="414042" w:themeColor="text1"/>
          <w:sz w:val="18"/>
          <w:szCs w:val="18"/>
        </w:rPr>
        <w:t xml:space="preserve"> (</w:t>
      </w:r>
      <w:r w:rsidR="00BA498F" w:rsidRPr="00DF3006">
        <w:rPr>
          <w:i/>
          <w:iCs/>
          <w:color w:val="414042" w:themeColor="text1"/>
          <w:sz w:val="18"/>
          <w:szCs w:val="18"/>
        </w:rPr>
        <w:t>an Australian Legal Practitioner, admitted to the profession in 1992</w:t>
      </w:r>
      <w:r w:rsidRPr="00DF3006">
        <w:rPr>
          <w:i/>
          <w:iCs/>
          <w:color w:val="414042" w:themeColor="text1"/>
          <w:sz w:val="18"/>
          <w:szCs w:val="18"/>
        </w:rPr>
        <w:t>), GAICD, appointed on 3</w:t>
      </w:r>
      <w:r w:rsidR="00B342B6" w:rsidRPr="00DF3006">
        <w:rPr>
          <w:i/>
          <w:iCs/>
          <w:color w:val="414042" w:themeColor="text1"/>
          <w:sz w:val="18"/>
          <w:szCs w:val="18"/>
        </w:rPr>
        <w:t> </w:t>
      </w:r>
      <w:r w:rsidRPr="00DF3006">
        <w:rPr>
          <w:i/>
          <w:iCs/>
          <w:color w:val="414042" w:themeColor="text1"/>
          <w:sz w:val="18"/>
          <w:szCs w:val="18"/>
        </w:rPr>
        <w:t>July 2017.</w:t>
      </w:r>
    </w:p>
    <w:p w14:paraId="08619E88" w14:textId="6C55F910" w:rsidR="00351AC3" w:rsidRPr="00DF3006" w:rsidRDefault="00351AC3" w:rsidP="00351AC3">
      <w:pPr>
        <w:rPr>
          <w:color w:val="414042" w:themeColor="text1"/>
          <w:spacing w:val="-4"/>
        </w:rPr>
      </w:pPr>
      <w:bookmarkStart w:id="1558" w:name="_Hlk74305866"/>
      <w:r w:rsidRPr="00DF3006">
        <w:rPr>
          <w:color w:val="414042" w:themeColor="text1"/>
          <w:spacing w:val="-4"/>
        </w:rPr>
        <w:t xml:space="preserve">Responsible for the </w:t>
      </w:r>
      <w:r w:rsidR="00792625" w:rsidRPr="00DF3006">
        <w:rPr>
          <w:color w:val="414042" w:themeColor="text1"/>
          <w:spacing w:val="-4"/>
        </w:rPr>
        <w:t>Crime division</w:t>
      </w:r>
      <w:r w:rsidRPr="00DF3006">
        <w:rPr>
          <w:color w:val="414042" w:themeColor="text1"/>
          <w:spacing w:val="-4"/>
        </w:rPr>
        <w:t>, ensuring its investigation, intelligence and criminal confiscation capabilities are effective in comba</w:t>
      </w:r>
      <w:r w:rsidR="00AF3176" w:rsidRPr="00DF3006">
        <w:rPr>
          <w:color w:val="414042" w:themeColor="text1"/>
          <w:spacing w:val="-4"/>
        </w:rPr>
        <w:t>t</w:t>
      </w:r>
      <w:r w:rsidRPr="00DF3006">
        <w:rPr>
          <w:color w:val="414042" w:themeColor="text1"/>
          <w:spacing w:val="-4"/>
        </w:rPr>
        <w:t>ing and reducing the incidence of serious and organised crime affecting Queensland.</w:t>
      </w:r>
    </w:p>
    <w:bookmarkEnd w:id="1558"/>
    <w:p w14:paraId="240B781D" w14:textId="7D3EB476" w:rsidR="00351AC3" w:rsidRPr="00DF3006" w:rsidRDefault="00351AC3" w:rsidP="00351AC3">
      <w:pPr>
        <w:rPr>
          <w:color w:val="414042" w:themeColor="text1"/>
          <w:spacing w:val="-4"/>
        </w:rPr>
      </w:pPr>
      <w:r w:rsidRPr="00DF3006">
        <w:rPr>
          <w:color w:val="414042" w:themeColor="text1"/>
          <w:spacing w:val="-4"/>
        </w:rPr>
        <w:t>Ms Loder has over 20</w:t>
      </w:r>
      <w:r w:rsidR="0018391C" w:rsidRPr="00DF3006">
        <w:rPr>
          <w:color w:val="414042" w:themeColor="text1"/>
          <w:spacing w:val="-4"/>
        </w:rPr>
        <w:t xml:space="preserve"> </w:t>
      </w:r>
      <w:r w:rsidRPr="00DF3006">
        <w:rPr>
          <w:color w:val="414042" w:themeColor="text1"/>
          <w:spacing w:val="-4"/>
        </w:rPr>
        <w:t>years</w:t>
      </w:r>
      <w:r w:rsidR="0018391C" w:rsidRPr="00DF3006">
        <w:rPr>
          <w:color w:val="414042" w:themeColor="text1"/>
          <w:spacing w:val="-4"/>
        </w:rPr>
        <w:t>’</w:t>
      </w:r>
      <w:r w:rsidR="00593962" w:rsidRPr="00DF3006">
        <w:rPr>
          <w:color w:val="414042" w:themeColor="text1"/>
          <w:spacing w:val="-4"/>
        </w:rPr>
        <w:t xml:space="preserve"> </w:t>
      </w:r>
      <w:r w:rsidRPr="00DF3006">
        <w:rPr>
          <w:color w:val="414042" w:themeColor="text1"/>
          <w:spacing w:val="-4"/>
        </w:rPr>
        <w:t>experience in senior and executive roles, delivering effective regulatory, prevention or law enforcement functions in Queensland and New South Wales agencies, including the NSW ICAC, the former CMC, and the QPS.</w:t>
      </w:r>
    </w:p>
    <w:p w14:paraId="5EC9986B" w14:textId="77777777" w:rsidR="00561686" w:rsidRPr="00DF3006" w:rsidRDefault="00561686" w:rsidP="00463FBB">
      <w:pPr>
        <w:pStyle w:val="Heading4"/>
      </w:pPr>
      <w:r w:rsidRPr="00DF3006">
        <w:t xml:space="preserve">Ms Cecelia Christensen </w:t>
      </w:r>
      <w:r w:rsidRPr="00DF3006">
        <w:br/>
        <w:t>Senior Executive Officer (Corruption)</w:t>
      </w:r>
    </w:p>
    <w:p w14:paraId="76E92965" w14:textId="7F5A2AC4" w:rsidR="00561686" w:rsidRPr="00DF3006" w:rsidRDefault="00561686" w:rsidP="00351AC3">
      <w:pPr>
        <w:spacing w:before="40" w:line="204" w:lineRule="auto"/>
        <w:rPr>
          <w:i/>
          <w:iCs/>
          <w:color w:val="414042" w:themeColor="text1"/>
          <w:sz w:val="18"/>
          <w:szCs w:val="18"/>
        </w:rPr>
      </w:pPr>
      <w:proofErr w:type="spellStart"/>
      <w:r w:rsidRPr="00DF3006">
        <w:rPr>
          <w:i/>
          <w:iCs/>
          <w:color w:val="414042" w:themeColor="text1"/>
          <w:sz w:val="18"/>
          <w:szCs w:val="18"/>
        </w:rPr>
        <w:t>B</w:t>
      </w:r>
      <w:r w:rsidR="00320558" w:rsidRPr="00DF3006">
        <w:rPr>
          <w:i/>
          <w:iCs/>
          <w:color w:val="414042" w:themeColor="text1"/>
          <w:sz w:val="18"/>
          <w:szCs w:val="18"/>
        </w:rPr>
        <w:t>Arts&amp;Law</w:t>
      </w:r>
      <w:proofErr w:type="spellEnd"/>
      <w:r w:rsidRPr="00DF3006">
        <w:rPr>
          <w:i/>
          <w:iCs/>
          <w:color w:val="414042" w:themeColor="text1"/>
          <w:sz w:val="18"/>
          <w:szCs w:val="18"/>
        </w:rPr>
        <w:t xml:space="preserve">, </w:t>
      </w:r>
      <w:proofErr w:type="spellStart"/>
      <w:r w:rsidRPr="00DF3006">
        <w:rPr>
          <w:i/>
          <w:iCs/>
          <w:color w:val="414042" w:themeColor="text1"/>
          <w:sz w:val="18"/>
          <w:szCs w:val="18"/>
        </w:rPr>
        <w:t>MLaw</w:t>
      </w:r>
      <w:proofErr w:type="spellEnd"/>
      <w:r w:rsidRPr="00DF3006">
        <w:rPr>
          <w:i/>
          <w:iCs/>
          <w:color w:val="414042" w:themeColor="text1"/>
          <w:sz w:val="18"/>
          <w:szCs w:val="18"/>
        </w:rPr>
        <w:t xml:space="preserve"> (admitted as a </w:t>
      </w:r>
      <w:r w:rsidR="00BA498F" w:rsidRPr="00DF3006">
        <w:rPr>
          <w:i/>
          <w:iCs/>
          <w:color w:val="414042" w:themeColor="text1"/>
          <w:sz w:val="18"/>
          <w:szCs w:val="18"/>
        </w:rPr>
        <w:t xml:space="preserve">Legal Practitioner </w:t>
      </w:r>
      <w:r w:rsidRPr="00DF3006">
        <w:rPr>
          <w:i/>
          <w:iCs/>
          <w:color w:val="414042" w:themeColor="text1"/>
          <w:sz w:val="18"/>
          <w:szCs w:val="18"/>
        </w:rPr>
        <w:t>in 1997), appointed on 1</w:t>
      </w:r>
      <w:r w:rsidR="0018391C" w:rsidRPr="00DF3006">
        <w:rPr>
          <w:i/>
          <w:iCs/>
          <w:color w:val="414042" w:themeColor="text1"/>
          <w:sz w:val="18"/>
          <w:szCs w:val="18"/>
        </w:rPr>
        <w:t>1</w:t>
      </w:r>
      <w:r w:rsidRPr="00DF3006">
        <w:rPr>
          <w:i/>
          <w:iCs/>
          <w:color w:val="414042" w:themeColor="text1"/>
          <w:sz w:val="18"/>
          <w:szCs w:val="18"/>
        </w:rPr>
        <w:t xml:space="preserve"> July 2022.</w:t>
      </w:r>
    </w:p>
    <w:p w14:paraId="69E5F070" w14:textId="77777777" w:rsidR="00561686" w:rsidRPr="00DF3006" w:rsidRDefault="00561686" w:rsidP="00561686">
      <w:pPr>
        <w:rPr>
          <w:color w:val="414042" w:themeColor="text1"/>
          <w:spacing w:val="-4"/>
        </w:rPr>
      </w:pPr>
      <w:r w:rsidRPr="00DF3006">
        <w:rPr>
          <w:color w:val="414042" w:themeColor="text1"/>
          <w:spacing w:val="-4"/>
        </w:rPr>
        <w:t>Responsible for the Corruption division that works to raise the standard of conduct in the Queensland public sector and ensure that complaints about corruption are dealt with appropriately, including by investigating allegations of serious and systemic corruption.</w:t>
      </w:r>
    </w:p>
    <w:p w14:paraId="580E18A3" w14:textId="5B07353B" w:rsidR="00561686" w:rsidRPr="00DF3006" w:rsidRDefault="00561686" w:rsidP="00561686">
      <w:pPr>
        <w:rPr>
          <w:color w:val="414042" w:themeColor="text1"/>
          <w:spacing w:val="-4"/>
        </w:rPr>
      </w:pPr>
      <w:r w:rsidRPr="00DF3006">
        <w:rPr>
          <w:color w:val="414042" w:themeColor="text1"/>
          <w:spacing w:val="-4"/>
        </w:rPr>
        <w:t>Ms Christensen worked with Queensland Treasury for more than 15 years, with her most recent roles as Treasury’s Acting Head of Corporate and General Counsel.</w:t>
      </w:r>
      <w:r w:rsidR="00792625" w:rsidRPr="00DF3006">
        <w:rPr>
          <w:color w:val="414042" w:themeColor="text1"/>
          <w:spacing w:val="-4"/>
        </w:rPr>
        <w:t xml:space="preserve"> </w:t>
      </w:r>
      <w:r w:rsidRPr="00DF3006">
        <w:rPr>
          <w:color w:val="414042" w:themeColor="text1"/>
          <w:spacing w:val="-4"/>
        </w:rPr>
        <w:t>Ms Christensen has extensive experience in a broad range of matters relevant to the public sector, along with corporate governance and delivery expertise in major commercial, corporate, policy and legislative projects.</w:t>
      </w:r>
    </w:p>
    <w:p w14:paraId="2FD40F64" w14:textId="77777777" w:rsidR="00561686" w:rsidRPr="00DF3006" w:rsidRDefault="00561686" w:rsidP="00463FBB">
      <w:pPr>
        <w:pStyle w:val="Heading4"/>
      </w:pPr>
      <w:r w:rsidRPr="00DF3006">
        <w:t>Detective Chief Superintendent Roger Lowe</w:t>
      </w:r>
      <w:r w:rsidRPr="00DF3006">
        <w:br/>
        <w:t>General Manager, Operations Support</w:t>
      </w:r>
    </w:p>
    <w:p w14:paraId="755F3190" w14:textId="648242CA" w:rsidR="00561686" w:rsidRPr="00DF3006" w:rsidRDefault="00561686" w:rsidP="00561686">
      <w:pPr>
        <w:spacing w:before="40" w:line="204" w:lineRule="auto"/>
        <w:rPr>
          <w:i/>
          <w:iCs/>
          <w:color w:val="414042" w:themeColor="text1"/>
          <w:sz w:val="18"/>
          <w:szCs w:val="18"/>
        </w:rPr>
      </w:pPr>
      <w:proofErr w:type="spellStart"/>
      <w:r w:rsidRPr="00DF3006">
        <w:rPr>
          <w:i/>
          <w:iCs/>
          <w:color w:val="414042" w:themeColor="text1"/>
          <w:sz w:val="18"/>
          <w:szCs w:val="18"/>
        </w:rPr>
        <w:t>ML</w:t>
      </w:r>
      <w:r w:rsidR="00320558" w:rsidRPr="00DF3006">
        <w:rPr>
          <w:i/>
          <w:iCs/>
          <w:color w:val="414042" w:themeColor="text1"/>
          <w:sz w:val="18"/>
          <w:szCs w:val="18"/>
        </w:rPr>
        <w:t>ead&amp;</w:t>
      </w:r>
      <w:r w:rsidRPr="00DF3006">
        <w:rPr>
          <w:i/>
          <w:iCs/>
          <w:color w:val="414042" w:themeColor="text1"/>
          <w:sz w:val="18"/>
          <w:szCs w:val="18"/>
        </w:rPr>
        <w:t>Mgt</w:t>
      </w:r>
      <w:proofErr w:type="spellEnd"/>
      <w:r w:rsidRPr="00DF3006">
        <w:rPr>
          <w:i/>
          <w:iCs/>
          <w:color w:val="414042" w:themeColor="text1"/>
          <w:sz w:val="18"/>
          <w:szCs w:val="18"/>
        </w:rPr>
        <w:t xml:space="preserve"> (</w:t>
      </w:r>
      <w:proofErr w:type="spellStart"/>
      <w:r w:rsidRPr="00DF3006">
        <w:rPr>
          <w:i/>
          <w:iCs/>
          <w:color w:val="414042" w:themeColor="text1"/>
          <w:sz w:val="18"/>
          <w:szCs w:val="18"/>
        </w:rPr>
        <w:t>Pol</w:t>
      </w:r>
      <w:r w:rsidR="00320558" w:rsidRPr="00DF3006">
        <w:rPr>
          <w:i/>
          <w:iCs/>
          <w:color w:val="414042" w:themeColor="text1"/>
          <w:sz w:val="18"/>
          <w:szCs w:val="18"/>
        </w:rPr>
        <w:t>&amp;</w:t>
      </w:r>
      <w:r w:rsidRPr="00DF3006">
        <w:rPr>
          <w:i/>
          <w:iCs/>
          <w:color w:val="414042" w:themeColor="text1"/>
          <w:sz w:val="18"/>
          <w:szCs w:val="18"/>
        </w:rPr>
        <w:t>Secu</w:t>
      </w:r>
      <w:proofErr w:type="spellEnd"/>
      <w:r w:rsidRPr="00DF3006">
        <w:rPr>
          <w:i/>
          <w:iCs/>
          <w:color w:val="414042" w:themeColor="text1"/>
          <w:sz w:val="18"/>
          <w:szCs w:val="18"/>
        </w:rPr>
        <w:t xml:space="preserve">), </w:t>
      </w:r>
      <w:proofErr w:type="spellStart"/>
      <w:r w:rsidRPr="00DF3006">
        <w:rPr>
          <w:i/>
          <w:iCs/>
          <w:color w:val="414042" w:themeColor="text1"/>
          <w:sz w:val="18"/>
          <w:szCs w:val="18"/>
        </w:rPr>
        <w:t>MTer</w:t>
      </w:r>
      <w:r w:rsidR="00320558" w:rsidRPr="00DF3006">
        <w:rPr>
          <w:i/>
          <w:iCs/>
          <w:color w:val="414042" w:themeColor="text1"/>
          <w:sz w:val="18"/>
          <w:szCs w:val="18"/>
        </w:rPr>
        <w:t>&amp;</w:t>
      </w:r>
      <w:r w:rsidRPr="00DF3006">
        <w:rPr>
          <w:i/>
          <w:iCs/>
          <w:color w:val="414042" w:themeColor="text1"/>
          <w:sz w:val="18"/>
          <w:szCs w:val="18"/>
        </w:rPr>
        <w:t>Sec</w:t>
      </w:r>
      <w:r w:rsidR="00320558" w:rsidRPr="00DF3006">
        <w:rPr>
          <w:i/>
          <w:iCs/>
          <w:color w:val="414042" w:themeColor="text1"/>
          <w:sz w:val="18"/>
          <w:szCs w:val="18"/>
        </w:rPr>
        <w:t>u</w:t>
      </w:r>
      <w:r w:rsidRPr="00DF3006">
        <w:rPr>
          <w:i/>
          <w:iCs/>
          <w:color w:val="414042" w:themeColor="text1"/>
          <w:sz w:val="18"/>
          <w:szCs w:val="18"/>
        </w:rPr>
        <w:t>Stud</w:t>
      </w:r>
      <w:proofErr w:type="spellEnd"/>
      <w:r w:rsidRPr="00DF3006">
        <w:rPr>
          <w:i/>
          <w:iCs/>
          <w:color w:val="414042" w:themeColor="text1"/>
          <w:sz w:val="18"/>
          <w:szCs w:val="18"/>
        </w:rPr>
        <w:t xml:space="preserve">, </w:t>
      </w:r>
      <w:proofErr w:type="spellStart"/>
      <w:r w:rsidRPr="00DF3006">
        <w:rPr>
          <w:i/>
          <w:iCs/>
          <w:color w:val="414042" w:themeColor="text1"/>
          <w:sz w:val="18"/>
          <w:szCs w:val="18"/>
        </w:rPr>
        <w:t>G</w:t>
      </w:r>
      <w:r w:rsidR="00B05B65" w:rsidRPr="00DF3006">
        <w:rPr>
          <w:i/>
          <w:iCs/>
          <w:color w:val="414042" w:themeColor="text1"/>
          <w:sz w:val="18"/>
          <w:szCs w:val="18"/>
        </w:rPr>
        <w:t>rad</w:t>
      </w:r>
      <w:r w:rsidRPr="00DF3006">
        <w:rPr>
          <w:i/>
          <w:iCs/>
          <w:color w:val="414042" w:themeColor="text1"/>
          <w:sz w:val="18"/>
          <w:szCs w:val="18"/>
        </w:rPr>
        <w:t>CertAppMat</w:t>
      </w:r>
      <w:proofErr w:type="spellEnd"/>
      <w:r w:rsidRPr="00DF3006">
        <w:rPr>
          <w:i/>
          <w:iCs/>
          <w:color w:val="414042" w:themeColor="text1"/>
          <w:sz w:val="18"/>
          <w:szCs w:val="18"/>
        </w:rPr>
        <w:t>, appointed on 12</w:t>
      </w:r>
      <w:r w:rsidR="00B342B6" w:rsidRPr="00DF3006">
        <w:rPr>
          <w:i/>
          <w:iCs/>
          <w:color w:val="414042" w:themeColor="text1"/>
          <w:sz w:val="18"/>
          <w:szCs w:val="18"/>
        </w:rPr>
        <w:t> </w:t>
      </w:r>
      <w:r w:rsidRPr="00DF3006">
        <w:rPr>
          <w:i/>
          <w:iCs/>
          <w:color w:val="414042" w:themeColor="text1"/>
          <w:sz w:val="18"/>
          <w:szCs w:val="18"/>
        </w:rPr>
        <w:t>April 2022.</w:t>
      </w:r>
    </w:p>
    <w:p w14:paraId="5FFD5107" w14:textId="77777777" w:rsidR="00561686" w:rsidRPr="00DF3006" w:rsidRDefault="00561686" w:rsidP="00561686">
      <w:pPr>
        <w:rPr>
          <w:color w:val="414042" w:themeColor="text1"/>
        </w:rPr>
      </w:pPr>
      <w:r w:rsidRPr="00DF3006">
        <w:rPr>
          <w:color w:val="414042" w:themeColor="text1"/>
        </w:rPr>
        <w:t>Responsible for the Operations Support division, including electronic collections, intelligence support, human source, witness protection, technical surveillance, physical surveillance and forensic computing and property.</w:t>
      </w:r>
    </w:p>
    <w:p w14:paraId="141A7328" w14:textId="77777777" w:rsidR="00561686" w:rsidRPr="00DF3006" w:rsidRDefault="00561686" w:rsidP="00561686">
      <w:pPr>
        <w:rPr>
          <w:color w:val="414042" w:themeColor="text1"/>
        </w:rPr>
      </w:pPr>
      <w:r w:rsidRPr="00DF3006">
        <w:rPr>
          <w:color w:val="414042" w:themeColor="text1"/>
        </w:rPr>
        <w:t>Mr Lowe has over 38 years’ service with the QPS and is an experienced senior manager in the portfolios of Intelligence, Organised Crime, Counter Terrorism, Assistant to the State Coroner and in the Ethical Standards Command. Mr Lowe is widely recognised for his national leadership in establishing OMCG prevention and diversion programs to reduce the risk of violence and crime to the community.</w:t>
      </w:r>
    </w:p>
    <w:p w14:paraId="55C07170" w14:textId="77777777" w:rsidR="00561686" w:rsidRPr="00DF3006" w:rsidRDefault="00561686" w:rsidP="00463FBB">
      <w:pPr>
        <w:pStyle w:val="Heading4"/>
      </w:pPr>
      <w:bookmarkStart w:id="1559" w:name="_Hlk76026026"/>
      <w:r w:rsidRPr="00DF3006">
        <w:t>Dr Rebecca Denning</w:t>
      </w:r>
      <w:r w:rsidRPr="00DF3006">
        <w:br/>
        <w:t xml:space="preserve">General Manager, Strategy and Renewal </w:t>
      </w:r>
    </w:p>
    <w:p w14:paraId="52CCC076" w14:textId="7951421D" w:rsidR="00561686" w:rsidRPr="00DF3006" w:rsidRDefault="00561686" w:rsidP="00561686">
      <w:pPr>
        <w:spacing w:before="40" w:line="204" w:lineRule="auto"/>
        <w:rPr>
          <w:i/>
          <w:iCs/>
          <w:color w:val="414042" w:themeColor="text1"/>
          <w:sz w:val="18"/>
          <w:szCs w:val="18"/>
        </w:rPr>
      </w:pPr>
      <w:proofErr w:type="spellStart"/>
      <w:r w:rsidRPr="00DF3006">
        <w:rPr>
          <w:i/>
          <w:iCs/>
          <w:color w:val="414042" w:themeColor="text1"/>
          <w:sz w:val="18"/>
          <w:szCs w:val="18"/>
        </w:rPr>
        <w:t>BCrim</w:t>
      </w:r>
      <w:r w:rsidR="00320558" w:rsidRPr="00DF3006">
        <w:rPr>
          <w:i/>
          <w:iCs/>
          <w:color w:val="414042" w:themeColor="text1"/>
          <w:sz w:val="18"/>
          <w:szCs w:val="18"/>
        </w:rPr>
        <w:t>&amp;</w:t>
      </w:r>
      <w:r w:rsidRPr="00DF3006">
        <w:rPr>
          <w:i/>
          <w:iCs/>
          <w:color w:val="414042" w:themeColor="text1"/>
          <w:sz w:val="18"/>
          <w:szCs w:val="18"/>
        </w:rPr>
        <w:t>CrimJus</w:t>
      </w:r>
      <w:proofErr w:type="spellEnd"/>
      <w:r w:rsidRPr="00DF3006">
        <w:rPr>
          <w:i/>
          <w:iCs/>
          <w:color w:val="414042" w:themeColor="text1"/>
          <w:sz w:val="18"/>
          <w:szCs w:val="18"/>
        </w:rPr>
        <w:t xml:space="preserve"> (Hons), PhD, </w:t>
      </w:r>
      <w:proofErr w:type="spellStart"/>
      <w:r w:rsidRPr="00DF3006">
        <w:rPr>
          <w:i/>
          <w:iCs/>
          <w:color w:val="414042" w:themeColor="text1"/>
          <w:sz w:val="18"/>
          <w:szCs w:val="18"/>
        </w:rPr>
        <w:t>GAICD</w:t>
      </w:r>
      <w:proofErr w:type="spellEnd"/>
      <w:r w:rsidRPr="00DF3006">
        <w:rPr>
          <w:i/>
          <w:iCs/>
          <w:color w:val="414042" w:themeColor="text1"/>
          <w:sz w:val="18"/>
          <w:szCs w:val="18"/>
        </w:rPr>
        <w:t>,</w:t>
      </w:r>
      <w:r w:rsidR="00F9567C" w:rsidRPr="00DF3006">
        <w:rPr>
          <w:i/>
          <w:iCs/>
          <w:color w:val="414042" w:themeColor="text1"/>
          <w:sz w:val="18"/>
          <w:szCs w:val="18"/>
        </w:rPr>
        <w:t xml:space="preserve"> </w:t>
      </w:r>
      <w:r w:rsidRPr="00DF3006">
        <w:rPr>
          <w:i/>
          <w:iCs/>
          <w:color w:val="414042" w:themeColor="text1"/>
          <w:sz w:val="18"/>
          <w:szCs w:val="18"/>
        </w:rPr>
        <w:t>appointed on 26 July 2019.</w:t>
      </w:r>
    </w:p>
    <w:bookmarkEnd w:id="1559"/>
    <w:p w14:paraId="1400427D" w14:textId="77777777" w:rsidR="00561686" w:rsidRPr="00DF3006" w:rsidRDefault="00561686" w:rsidP="00561686">
      <w:pPr>
        <w:rPr>
          <w:rFonts w:ascii="Calibri" w:hAnsi="Calibri"/>
          <w:color w:val="414042" w:themeColor="text1"/>
          <w:spacing w:val="-4"/>
        </w:rPr>
      </w:pPr>
      <w:r w:rsidRPr="00DF3006">
        <w:rPr>
          <w:color w:val="414042" w:themeColor="text1"/>
          <w:spacing w:val="-4"/>
        </w:rPr>
        <w:t>Responsible for the Strategy and Renewal division that works to lead the transformation of the CCC, by supporting strategic planning, delivering strategic and business improvement activities, and developing strategic capabilities.</w:t>
      </w:r>
    </w:p>
    <w:p w14:paraId="69038428" w14:textId="77777777" w:rsidR="00561686" w:rsidRPr="00DF3006" w:rsidRDefault="00561686" w:rsidP="00561686">
      <w:pPr>
        <w:rPr>
          <w:color w:val="414042" w:themeColor="text1"/>
          <w:spacing w:val="-4"/>
        </w:rPr>
      </w:pPr>
      <w:r w:rsidRPr="00DF3006">
        <w:rPr>
          <w:color w:val="414042" w:themeColor="text1"/>
          <w:spacing w:val="-4"/>
        </w:rPr>
        <w:t>Dr Denning has extensive executive leadership, policy, research, and change experience, having worked in public and private sectors, predominantly in the criminal justice sector.</w:t>
      </w:r>
    </w:p>
    <w:p w14:paraId="46F1EF10" w14:textId="194DEA07" w:rsidR="00561686" w:rsidRPr="00DF3006" w:rsidRDefault="00561686" w:rsidP="00561686">
      <w:pPr>
        <w:rPr>
          <w:color w:val="414042" w:themeColor="text1"/>
          <w:spacing w:val="-2"/>
        </w:rPr>
      </w:pPr>
      <w:r w:rsidRPr="00DF3006">
        <w:rPr>
          <w:i/>
          <w:iCs/>
          <w:color w:val="414042" w:themeColor="text1"/>
          <w:spacing w:val="-2"/>
        </w:rPr>
        <w:t xml:space="preserve">See page </w:t>
      </w:r>
      <w:r w:rsidR="007D20E4" w:rsidRPr="00DF3006">
        <w:rPr>
          <w:i/>
          <w:iCs/>
          <w:color w:val="414042" w:themeColor="text1"/>
          <w:spacing w:val="-2"/>
        </w:rPr>
        <w:t>65</w:t>
      </w:r>
      <w:r w:rsidRPr="00DF3006">
        <w:rPr>
          <w:i/>
          <w:iCs/>
          <w:color w:val="414042" w:themeColor="text1"/>
          <w:spacing w:val="-2"/>
        </w:rPr>
        <w:t xml:space="preserve"> for further details about the role of our ELT.</w:t>
      </w:r>
    </w:p>
    <w:p w14:paraId="458AA64B" w14:textId="77777777" w:rsidR="00561686" w:rsidRPr="00DF3006" w:rsidRDefault="00561686" w:rsidP="00561686">
      <w:pPr>
        <w:ind w:right="-285"/>
        <w:rPr>
          <w:color w:val="414042" w:themeColor="text1"/>
          <w:spacing w:val="-4"/>
        </w:rPr>
      </w:pPr>
    </w:p>
    <w:p w14:paraId="4A6D0E4E" w14:textId="26A29068" w:rsidR="00F906C1" w:rsidRPr="00DF3006" w:rsidRDefault="00F906C1" w:rsidP="00561686">
      <w:pPr>
        <w:ind w:right="-285"/>
        <w:rPr>
          <w:color w:val="414042" w:themeColor="text1"/>
          <w:spacing w:val="-4"/>
        </w:rPr>
        <w:sectPr w:rsidR="00F906C1" w:rsidRPr="00DF3006" w:rsidSect="00C77834">
          <w:type w:val="continuous"/>
          <w:pgSz w:w="11906" w:h="16838" w:code="9"/>
          <w:pgMar w:top="2155" w:right="1134" w:bottom="964" w:left="1134" w:header="720" w:footer="284" w:gutter="0"/>
          <w:cols w:num="2" w:space="567"/>
          <w:noEndnote/>
          <w:docGrid w:linePitch="272"/>
        </w:sectPr>
      </w:pPr>
    </w:p>
    <w:p w14:paraId="54CAA9D7" w14:textId="77777777" w:rsidR="00561686" w:rsidRPr="00DF3006" w:rsidRDefault="00561686" w:rsidP="00561686">
      <w:pPr>
        <w:rPr>
          <w:rFonts w:asciiTheme="minorHAnsi" w:hAnsiTheme="minorHAnsi" w:cstheme="minorHAnsi"/>
          <w:b/>
          <w:bCs/>
          <w:color w:val="414042" w:themeColor="text1"/>
          <w:szCs w:val="24"/>
        </w:rPr>
        <w:sectPr w:rsidR="00561686" w:rsidRPr="00DF3006" w:rsidSect="00C77834">
          <w:type w:val="continuous"/>
          <w:pgSz w:w="11906" w:h="16838" w:code="9"/>
          <w:pgMar w:top="2155" w:right="1134" w:bottom="964" w:left="1134" w:header="720" w:footer="284" w:gutter="0"/>
          <w:cols w:num="2" w:space="567"/>
          <w:noEndnote/>
          <w:docGrid w:linePitch="272"/>
        </w:sectPr>
      </w:pPr>
    </w:p>
    <w:p w14:paraId="5011294C" w14:textId="77777777" w:rsidR="00EC1069" w:rsidRPr="00DF3006" w:rsidRDefault="00EC1069" w:rsidP="008E5ECB">
      <w:pPr>
        <w:pStyle w:val="Heading2"/>
      </w:pPr>
      <w:bookmarkStart w:id="1560" w:name="_Our_people"/>
      <w:bookmarkStart w:id="1561" w:name="_Hlk74305351"/>
      <w:bookmarkStart w:id="1562" w:name="_Toc102038049"/>
      <w:bookmarkStart w:id="1563" w:name="_Toc102038410"/>
      <w:bookmarkStart w:id="1564" w:name="_Toc102038771"/>
      <w:bookmarkStart w:id="1565" w:name="_Toc102039123"/>
      <w:bookmarkStart w:id="1566" w:name="_Toc102039472"/>
      <w:bookmarkStart w:id="1567" w:name="_Toc102039834"/>
      <w:bookmarkStart w:id="1568" w:name="_Toc102040191"/>
      <w:bookmarkStart w:id="1569" w:name="_Toc102040519"/>
      <w:bookmarkStart w:id="1570" w:name="_Toc102040853"/>
      <w:bookmarkStart w:id="1571" w:name="_Toc102041181"/>
      <w:bookmarkStart w:id="1572" w:name="_Toc102041510"/>
      <w:bookmarkStart w:id="1573" w:name="_Toc102041842"/>
      <w:bookmarkStart w:id="1574" w:name="_Toc102042169"/>
      <w:bookmarkStart w:id="1575" w:name="_Toc102042499"/>
      <w:bookmarkStart w:id="1576" w:name="_Toc102045629"/>
      <w:bookmarkStart w:id="1577" w:name="_Hlk109922016"/>
      <w:bookmarkEnd w:id="1560"/>
      <w:r w:rsidRPr="00DF3006">
        <w:lastRenderedPageBreak/>
        <w:t>Our people</w:t>
      </w:r>
    </w:p>
    <w:p w14:paraId="3D6A3542" w14:textId="77777777" w:rsidR="00EC1069" w:rsidRPr="00DF3006" w:rsidRDefault="00EC1069" w:rsidP="00EC1069">
      <w:pPr>
        <w:pStyle w:val="Openingparagraph"/>
        <w:rPr>
          <w:noProof/>
          <w:spacing w:val="0"/>
          <w:lang w:val="en-AU"/>
        </w:rPr>
        <w:sectPr w:rsidR="00EC1069" w:rsidRPr="00DF3006" w:rsidSect="00C77834">
          <w:type w:val="continuous"/>
          <w:pgSz w:w="11906" w:h="16838" w:code="9"/>
          <w:pgMar w:top="2155" w:right="1134" w:bottom="964" w:left="1134" w:header="720" w:footer="284" w:gutter="0"/>
          <w:cols w:space="567"/>
          <w:noEndnote/>
          <w:docGrid w:linePitch="272"/>
        </w:sectPr>
      </w:pPr>
    </w:p>
    <w:p w14:paraId="2E89E6FD" w14:textId="177E0297" w:rsidR="00EC1069" w:rsidRPr="00DF3006" w:rsidRDefault="00EC1069" w:rsidP="00E52781">
      <w:pPr>
        <w:pStyle w:val="Openingparagraph"/>
        <w:sectPr w:rsidR="00EC1069" w:rsidRPr="00DF3006" w:rsidSect="00C77834">
          <w:type w:val="continuous"/>
          <w:pgSz w:w="11906" w:h="16838" w:code="9"/>
          <w:pgMar w:top="2155" w:right="1134" w:bottom="964" w:left="1134" w:header="720" w:footer="284" w:gutter="0"/>
          <w:cols w:space="567"/>
          <w:noEndnote/>
          <w:docGrid w:linePitch="272"/>
        </w:sectPr>
      </w:pPr>
      <w:r w:rsidRPr="00DF3006">
        <w:t xml:space="preserve">We employ a diverse mix of professionals including lawyers, accountants, investigators, researchers, intelligence analysts, and corporate support officers, and second a cohort of police officers from the </w:t>
      </w:r>
      <w:r w:rsidR="00D0414D" w:rsidRPr="00DF3006">
        <w:t>QPS</w:t>
      </w:r>
      <w:r w:rsidRPr="00DF3006">
        <w:t>. At the end of 2022–23, our workforce equated to 313.43 full-time equivalent (FTE) employees.</w:t>
      </w:r>
    </w:p>
    <w:p w14:paraId="7B6F52B8" w14:textId="310F8856" w:rsidR="00EC1069" w:rsidRPr="00DF3006" w:rsidRDefault="00EC1069" w:rsidP="00E6066A">
      <w:pPr>
        <w:pStyle w:val="Heading3"/>
      </w:pPr>
      <w:r w:rsidRPr="00DF3006">
        <w:t>Employee profile</w:t>
      </w:r>
    </w:p>
    <w:p w14:paraId="3BEE27EE" w14:textId="77777777" w:rsidR="00FB6F5F" w:rsidRPr="00DF3006" w:rsidRDefault="00FB6F5F" w:rsidP="00FB6F5F">
      <w:pPr>
        <w:rPr>
          <w:color w:val="414042" w:themeColor="text1"/>
          <w:lang w:eastAsia="en-AU"/>
        </w:rPr>
      </w:pPr>
    </w:p>
    <w:p w14:paraId="78C562BD" w14:textId="3BF6A380" w:rsidR="00EC1069" w:rsidRPr="00DF3006" w:rsidRDefault="00EC1069" w:rsidP="00463FBB">
      <w:pPr>
        <w:pStyle w:val="Heading4b"/>
      </w:pPr>
      <w:r w:rsidRPr="00DF3006">
        <w:t xml:space="preserve">Table </w:t>
      </w:r>
      <w:r w:rsidR="00A2421F" w:rsidRPr="00DF3006">
        <w:t>7</w:t>
      </w:r>
      <w:r w:rsidRPr="00DF3006">
        <w:t>: Full-time equivalent employees by division</w:t>
      </w:r>
    </w:p>
    <w:tbl>
      <w:tblPr>
        <w:tblStyle w:val="Annualreport2020-21"/>
        <w:tblW w:w="4536" w:type="dxa"/>
        <w:tblBorders>
          <w:bottom w:val="single" w:sz="4" w:space="0" w:color="BCBEC0" w:themeColor="accent5"/>
          <w:insideH w:val="single" w:sz="4" w:space="0" w:color="BCBEC0" w:themeColor="accent5"/>
          <w:insideV w:val="single" w:sz="4" w:space="0" w:color="BCBEC0" w:themeColor="accent5"/>
        </w:tblBorders>
        <w:tblLayout w:type="fixed"/>
        <w:tblLook w:val="04A0" w:firstRow="1" w:lastRow="0" w:firstColumn="1" w:lastColumn="0" w:noHBand="0" w:noVBand="1"/>
      </w:tblPr>
      <w:tblGrid>
        <w:gridCol w:w="3119"/>
        <w:gridCol w:w="1417"/>
      </w:tblGrid>
      <w:tr w:rsidR="00DF3006" w:rsidRPr="00DF3006" w14:paraId="0C8E8602" w14:textId="77777777" w:rsidTr="00150080">
        <w:trPr>
          <w:cnfStyle w:val="100000000000" w:firstRow="1" w:lastRow="0" w:firstColumn="0" w:lastColumn="0" w:oddVBand="0" w:evenVBand="0" w:oddHBand="0" w:evenHBand="0" w:firstRowFirstColumn="0" w:firstRowLastColumn="0" w:lastRowFirstColumn="0" w:lastRowLastColumn="0"/>
        </w:trPr>
        <w:tc>
          <w:tcPr>
            <w:tcW w:w="3119" w:type="dxa"/>
          </w:tcPr>
          <w:p w14:paraId="4769DD47" w14:textId="77777777" w:rsidR="00EC1069" w:rsidRPr="00DF3006" w:rsidRDefault="00EC1069" w:rsidP="007637CB">
            <w:pPr>
              <w:spacing w:before="20" w:after="20" w:line="260" w:lineRule="exact"/>
              <w:jc w:val="left"/>
              <w:rPr>
                <w:rFonts w:asciiTheme="minorHAnsi" w:hAnsiTheme="minorHAnsi" w:cstheme="minorHAnsi"/>
                <w:color w:val="414042" w:themeColor="text1"/>
              </w:rPr>
            </w:pPr>
            <w:r w:rsidRPr="00DF3006">
              <w:rPr>
                <w:rFonts w:asciiTheme="minorHAnsi" w:hAnsiTheme="minorHAnsi" w:cstheme="minorHAnsi"/>
                <w:color w:val="414042" w:themeColor="text1"/>
              </w:rPr>
              <w:t>Division</w:t>
            </w:r>
          </w:p>
        </w:tc>
        <w:tc>
          <w:tcPr>
            <w:tcW w:w="1417" w:type="dxa"/>
          </w:tcPr>
          <w:p w14:paraId="435AC6EF" w14:textId="1459AD05" w:rsidR="00EC1069" w:rsidRPr="00DF3006" w:rsidRDefault="00EC1069" w:rsidP="007637CB">
            <w:pPr>
              <w:spacing w:before="20" w:after="20" w:line="260" w:lineRule="exact"/>
              <w:rPr>
                <w:rFonts w:asciiTheme="minorHAnsi" w:hAnsiTheme="minorHAnsi" w:cstheme="minorHAnsi"/>
                <w:color w:val="414042" w:themeColor="text1"/>
              </w:rPr>
            </w:pPr>
            <w:r w:rsidRPr="00DF3006">
              <w:rPr>
                <w:rFonts w:asciiTheme="minorHAnsi" w:hAnsiTheme="minorHAnsi" w:cstheme="minorHAnsi"/>
                <w:color w:val="414042" w:themeColor="text1"/>
              </w:rPr>
              <w:t>FTE</w:t>
            </w:r>
            <w:r w:rsidRPr="00DF3006">
              <w:rPr>
                <w:rFonts w:asciiTheme="minorHAnsi" w:hAnsiTheme="minorHAnsi" w:cstheme="minorHAnsi"/>
                <w:color w:val="414042" w:themeColor="text1"/>
                <w:vertAlign w:val="superscript"/>
              </w:rPr>
              <w:t>1</w:t>
            </w:r>
          </w:p>
        </w:tc>
      </w:tr>
      <w:tr w:rsidR="00DF3006" w:rsidRPr="00DF3006" w14:paraId="131F046F" w14:textId="77777777" w:rsidTr="00150080">
        <w:tc>
          <w:tcPr>
            <w:tcW w:w="3119" w:type="dxa"/>
            <w:shd w:val="clear" w:color="auto" w:fill="auto"/>
          </w:tcPr>
          <w:p w14:paraId="52B7C3A2" w14:textId="77777777" w:rsidR="00EC1069" w:rsidRPr="00DF3006" w:rsidRDefault="00EC1069" w:rsidP="007637CB">
            <w:pPr>
              <w:spacing w:before="20" w:after="20"/>
              <w:rPr>
                <w:color w:val="414042" w:themeColor="text1"/>
              </w:rPr>
            </w:pPr>
            <w:r w:rsidRPr="00DF3006">
              <w:rPr>
                <w:color w:val="414042" w:themeColor="text1"/>
              </w:rPr>
              <w:t>Corruption</w:t>
            </w:r>
          </w:p>
        </w:tc>
        <w:tc>
          <w:tcPr>
            <w:tcW w:w="1417" w:type="dxa"/>
            <w:shd w:val="clear" w:color="auto" w:fill="auto"/>
          </w:tcPr>
          <w:p w14:paraId="6ED8ED93" w14:textId="77777777" w:rsidR="00EC1069" w:rsidRPr="00DF3006" w:rsidRDefault="00EC1069" w:rsidP="00150080">
            <w:pPr>
              <w:pStyle w:val="Tabletext"/>
              <w:spacing w:before="20" w:after="20"/>
              <w:rPr>
                <w:rFonts w:asciiTheme="majorHAnsi" w:hAnsiTheme="majorHAnsi" w:cstheme="majorHAnsi"/>
              </w:rPr>
            </w:pPr>
            <w:r w:rsidRPr="00DF3006">
              <w:rPr>
                <w:rFonts w:asciiTheme="majorHAnsi" w:hAnsiTheme="majorHAnsi" w:cstheme="majorHAnsi"/>
              </w:rPr>
              <w:t>82.43</w:t>
            </w:r>
          </w:p>
        </w:tc>
      </w:tr>
      <w:tr w:rsidR="00DF3006" w:rsidRPr="00DF3006" w14:paraId="41339447" w14:textId="77777777" w:rsidTr="00150080">
        <w:tc>
          <w:tcPr>
            <w:tcW w:w="3119" w:type="dxa"/>
            <w:shd w:val="clear" w:color="auto" w:fill="auto"/>
          </w:tcPr>
          <w:p w14:paraId="27F9DCAF" w14:textId="77777777" w:rsidR="00EC1069" w:rsidRPr="00DF3006" w:rsidRDefault="00EC1069" w:rsidP="007637CB">
            <w:pPr>
              <w:spacing w:before="20" w:after="20"/>
              <w:rPr>
                <w:color w:val="414042" w:themeColor="text1"/>
              </w:rPr>
            </w:pPr>
            <w:r w:rsidRPr="00DF3006">
              <w:rPr>
                <w:color w:val="414042" w:themeColor="text1"/>
              </w:rPr>
              <w:t>Crime</w:t>
            </w:r>
          </w:p>
        </w:tc>
        <w:tc>
          <w:tcPr>
            <w:tcW w:w="1417" w:type="dxa"/>
            <w:shd w:val="clear" w:color="auto" w:fill="auto"/>
          </w:tcPr>
          <w:p w14:paraId="3793EE8E" w14:textId="77777777" w:rsidR="00EC1069" w:rsidRPr="00DF3006" w:rsidRDefault="00EC1069" w:rsidP="00150080">
            <w:pPr>
              <w:pStyle w:val="Tabletext"/>
              <w:spacing w:before="20" w:after="20"/>
              <w:rPr>
                <w:rFonts w:asciiTheme="majorHAnsi" w:hAnsiTheme="majorHAnsi" w:cstheme="majorHAnsi"/>
              </w:rPr>
            </w:pPr>
            <w:r w:rsidRPr="00DF3006">
              <w:rPr>
                <w:rFonts w:asciiTheme="majorHAnsi" w:hAnsiTheme="majorHAnsi" w:cstheme="majorHAnsi"/>
              </w:rPr>
              <w:t>61.32</w:t>
            </w:r>
          </w:p>
        </w:tc>
      </w:tr>
      <w:tr w:rsidR="00DF3006" w:rsidRPr="00DF3006" w14:paraId="4ACE304A" w14:textId="77777777" w:rsidTr="00150080">
        <w:tc>
          <w:tcPr>
            <w:tcW w:w="3119" w:type="dxa"/>
            <w:shd w:val="clear" w:color="auto" w:fill="auto"/>
          </w:tcPr>
          <w:p w14:paraId="72CC47B3" w14:textId="77777777" w:rsidR="00EC1069" w:rsidRPr="00DF3006" w:rsidRDefault="00EC1069" w:rsidP="007637CB">
            <w:pPr>
              <w:spacing w:before="20" w:after="20"/>
              <w:rPr>
                <w:color w:val="414042" w:themeColor="text1"/>
              </w:rPr>
            </w:pPr>
            <w:r w:rsidRPr="00DF3006">
              <w:rPr>
                <w:color w:val="414042" w:themeColor="text1"/>
              </w:rPr>
              <w:t>Office of the Commission</w:t>
            </w:r>
          </w:p>
        </w:tc>
        <w:tc>
          <w:tcPr>
            <w:tcW w:w="1417" w:type="dxa"/>
            <w:shd w:val="clear" w:color="auto" w:fill="auto"/>
          </w:tcPr>
          <w:p w14:paraId="21E78B0D" w14:textId="77777777" w:rsidR="00EC1069" w:rsidRPr="00DF3006" w:rsidRDefault="00EC1069" w:rsidP="00150080">
            <w:pPr>
              <w:pStyle w:val="Tabletext"/>
              <w:spacing w:before="20" w:after="20"/>
              <w:rPr>
                <w:rFonts w:asciiTheme="majorHAnsi" w:hAnsiTheme="majorHAnsi" w:cstheme="majorHAnsi"/>
              </w:rPr>
            </w:pPr>
            <w:r w:rsidRPr="00DF3006">
              <w:rPr>
                <w:rFonts w:asciiTheme="majorHAnsi" w:hAnsiTheme="majorHAnsi" w:cstheme="majorHAnsi"/>
              </w:rPr>
              <w:t>8.80</w:t>
            </w:r>
          </w:p>
        </w:tc>
      </w:tr>
      <w:tr w:rsidR="00DF3006" w:rsidRPr="00DF3006" w14:paraId="4E6B2B9B" w14:textId="77777777" w:rsidTr="00150080">
        <w:tc>
          <w:tcPr>
            <w:tcW w:w="3119" w:type="dxa"/>
            <w:shd w:val="clear" w:color="auto" w:fill="auto"/>
          </w:tcPr>
          <w:p w14:paraId="631F540F" w14:textId="77777777" w:rsidR="00EC1069" w:rsidRPr="00DF3006" w:rsidRDefault="00EC1069" w:rsidP="007637CB">
            <w:pPr>
              <w:spacing w:before="20" w:after="20"/>
              <w:rPr>
                <w:color w:val="414042" w:themeColor="text1"/>
              </w:rPr>
            </w:pPr>
            <w:r w:rsidRPr="00DF3006">
              <w:rPr>
                <w:color w:val="414042" w:themeColor="text1"/>
              </w:rPr>
              <w:t>Operations Support</w:t>
            </w:r>
          </w:p>
        </w:tc>
        <w:tc>
          <w:tcPr>
            <w:tcW w:w="1417" w:type="dxa"/>
            <w:shd w:val="clear" w:color="auto" w:fill="auto"/>
          </w:tcPr>
          <w:p w14:paraId="43E8A0BC" w14:textId="77777777" w:rsidR="00EC1069" w:rsidRPr="00DF3006" w:rsidRDefault="00EC1069" w:rsidP="00150080">
            <w:pPr>
              <w:pStyle w:val="Tabletext"/>
              <w:spacing w:before="20" w:after="20"/>
              <w:rPr>
                <w:rFonts w:asciiTheme="majorHAnsi" w:hAnsiTheme="majorHAnsi" w:cstheme="majorHAnsi"/>
              </w:rPr>
            </w:pPr>
            <w:r w:rsidRPr="00DF3006">
              <w:rPr>
                <w:rFonts w:asciiTheme="majorHAnsi" w:hAnsiTheme="majorHAnsi" w:cstheme="majorHAnsi"/>
              </w:rPr>
              <w:t>71.19</w:t>
            </w:r>
          </w:p>
        </w:tc>
      </w:tr>
      <w:tr w:rsidR="00DF3006" w:rsidRPr="00DF3006" w14:paraId="17AC3117" w14:textId="77777777" w:rsidTr="00150080">
        <w:tc>
          <w:tcPr>
            <w:tcW w:w="3119" w:type="dxa"/>
            <w:shd w:val="clear" w:color="auto" w:fill="auto"/>
          </w:tcPr>
          <w:p w14:paraId="0074B4F3" w14:textId="48B78AAC" w:rsidR="00EC1069" w:rsidRPr="00DF3006" w:rsidRDefault="00EC1069" w:rsidP="007637CB">
            <w:pPr>
              <w:spacing w:before="20" w:after="20"/>
              <w:rPr>
                <w:color w:val="414042" w:themeColor="text1"/>
              </w:rPr>
            </w:pPr>
            <w:r w:rsidRPr="00DF3006">
              <w:rPr>
                <w:color w:val="414042" w:themeColor="text1"/>
              </w:rPr>
              <w:t>Corporate Services</w:t>
            </w:r>
            <w:r w:rsidR="00150080" w:rsidRPr="00DF3006">
              <w:rPr>
                <w:color w:val="414042" w:themeColor="text1"/>
              </w:rPr>
              <w:t>; Legal, Risk and Compliance; Information Services</w:t>
            </w:r>
          </w:p>
        </w:tc>
        <w:tc>
          <w:tcPr>
            <w:tcW w:w="1417" w:type="dxa"/>
            <w:shd w:val="clear" w:color="auto" w:fill="auto"/>
          </w:tcPr>
          <w:p w14:paraId="184E8760" w14:textId="7E8A2053" w:rsidR="00EC1069" w:rsidRPr="00DF3006" w:rsidRDefault="00EC1069" w:rsidP="00150080">
            <w:pPr>
              <w:pStyle w:val="Tabletext"/>
              <w:spacing w:before="20" w:after="20"/>
              <w:rPr>
                <w:rFonts w:asciiTheme="majorHAnsi" w:hAnsiTheme="majorHAnsi" w:cstheme="majorHAnsi"/>
              </w:rPr>
            </w:pPr>
            <w:r w:rsidRPr="00DF3006">
              <w:rPr>
                <w:rFonts w:asciiTheme="majorHAnsi" w:hAnsiTheme="majorHAnsi" w:cstheme="majorHAnsi"/>
              </w:rPr>
              <w:t>68.7</w:t>
            </w:r>
            <w:r w:rsidR="00663C7F" w:rsidRPr="00DF3006">
              <w:rPr>
                <w:rFonts w:asciiTheme="majorHAnsi" w:hAnsiTheme="majorHAnsi" w:cstheme="majorHAnsi"/>
              </w:rPr>
              <w:t>0</w:t>
            </w:r>
          </w:p>
        </w:tc>
      </w:tr>
      <w:tr w:rsidR="00DF3006" w:rsidRPr="00DF3006" w14:paraId="4F987B31" w14:textId="77777777" w:rsidTr="00150080">
        <w:tc>
          <w:tcPr>
            <w:tcW w:w="3119" w:type="dxa"/>
            <w:shd w:val="clear" w:color="auto" w:fill="auto"/>
          </w:tcPr>
          <w:p w14:paraId="43E3FBB6" w14:textId="77777777" w:rsidR="00EC1069" w:rsidRPr="00DF3006" w:rsidRDefault="00EC1069" w:rsidP="007637CB">
            <w:pPr>
              <w:spacing w:before="20" w:after="20"/>
              <w:rPr>
                <w:color w:val="414042" w:themeColor="text1"/>
              </w:rPr>
            </w:pPr>
            <w:r w:rsidRPr="00DF3006">
              <w:rPr>
                <w:color w:val="414042" w:themeColor="text1"/>
              </w:rPr>
              <w:t>Strategy and Renewal</w:t>
            </w:r>
          </w:p>
        </w:tc>
        <w:tc>
          <w:tcPr>
            <w:tcW w:w="1417" w:type="dxa"/>
            <w:shd w:val="clear" w:color="auto" w:fill="auto"/>
          </w:tcPr>
          <w:p w14:paraId="1C3C47BA" w14:textId="77777777" w:rsidR="00EC1069" w:rsidRPr="00DF3006" w:rsidRDefault="00EC1069" w:rsidP="00150080">
            <w:pPr>
              <w:pStyle w:val="Tabletext"/>
              <w:spacing w:before="20" w:after="20"/>
              <w:rPr>
                <w:rFonts w:asciiTheme="majorHAnsi" w:hAnsiTheme="majorHAnsi" w:cstheme="majorHAnsi"/>
              </w:rPr>
            </w:pPr>
            <w:r w:rsidRPr="00DF3006">
              <w:rPr>
                <w:rFonts w:asciiTheme="majorHAnsi" w:hAnsiTheme="majorHAnsi" w:cstheme="majorHAnsi"/>
              </w:rPr>
              <w:t>21.00</w:t>
            </w:r>
          </w:p>
        </w:tc>
      </w:tr>
      <w:tr w:rsidR="00DF3006" w:rsidRPr="00DF3006" w14:paraId="047A50B7" w14:textId="77777777" w:rsidTr="00150080">
        <w:trPr>
          <w:trHeight w:val="237"/>
        </w:trPr>
        <w:tc>
          <w:tcPr>
            <w:tcW w:w="3119" w:type="dxa"/>
            <w:shd w:val="clear" w:color="auto" w:fill="auto"/>
          </w:tcPr>
          <w:p w14:paraId="27BAF1BA" w14:textId="77777777" w:rsidR="00EC1069" w:rsidRPr="00DF3006" w:rsidRDefault="00EC1069" w:rsidP="007637CB">
            <w:pPr>
              <w:pStyle w:val="TabletextAnnualreport2018-19"/>
              <w:spacing w:before="20"/>
              <w:rPr>
                <w:rFonts w:ascii="Calibri" w:hAnsi="Calibri" w:cs="Calibri"/>
                <w:b/>
                <w:bCs/>
                <w:color w:val="414042" w:themeColor="text1"/>
                <w:lang w:val="en-AU"/>
              </w:rPr>
            </w:pPr>
            <w:r w:rsidRPr="00DF3006">
              <w:rPr>
                <w:rFonts w:ascii="Calibri" w:hAnsi="Calibri" w:cs="Calibri"/>
                <w:b/>
                <w:bCs/>
                <w:color w:val="414042" w:themeColor="text1"/>
                <w:lang w:val="en-AU"/>
              </w:rPr>
              <w:t>Total</w:t>
            </w:r>
          </w:p>
        </w:tc>
        <w:tc>
          <w:tcPr>
            <w:tcW w:w="1417" w:type="dxa"/>
            <w:shd w:val="clear" w:color="auto" w:fill="auto"/>
          </w:tcPr>
          <w:p w14:paraId="49D827C3" w14:textId="77777777" w:rsidR="00EC1069" w:rsidRPr="00DF3006" w:rsidRDefault="00EC1069" w:rsidP="00150080">
            <w:pPr>
              <w:pStyle w:val="TabletextAnnualreport2018-19"/>
              <w:spacing w:before="20"/>
              <w:jc w:val="center"/>
              <w:rPr>
                <w:rFonts w:ascii="Calibri" w:hAnsi="Calibri" w:cs="Calibri"/>
                <w:b/>
                <w:bCs/>
                <w:color w:val="414042" w:themeColor="text1"/>
                <w:lang w:val="en-AU"/>
              </w:rPr>
            </w:pPr>
            <w:r w:rsidRPr="00DF3006">
              <w:rPr>
                <w:rFonts w:ascii="Calibri" w:hAnsi="Calibri" w:cs="Calibri"/>
                <w:b/>
                <w:bCs/>
                <w:color w:val="414042" w:themeColor="text1"/>
                <w:lang w:val="en-AU"/>
              </w:rPr>
              <w:t>313.43</w:t>
            </w:r>
          </w:p>
        </w:tc>
      </w:tr>
    </w:tbl>
    <w:p w14:paraId="63772D08" w14:textId="77777777" w:rsidR="00EC1069" w:rsidRPr="00DF3006" w:rsidRDefault="00EC1069" w:rsidP="00EC1069">
      <w:pPr>
        <w:autoSpaceDE w:val="0"/>
        <w:autoSpaceDN w:val="0"/>
        <w:adjustRightInd w:val="0"/>
        <w:spacing w:before="240" w:after="0" w:line="288" w:lineRule="auto"/>
        <w:textAlignment w:val="center"/>
        <w:rPr>
          <w:rFonts w:ascii="Calibri" w:hAnsi="Calibri" w:cs="Calibri"/>
          <w:color w:val="414042" w:themeColor="text1"/>
          <w:sz w:val="16"/>
          <w:szCs w:val="16"/>
        </w:rPr>
      </w:pPr>
      <w:r w:rsidRPr="00DF3006">
        <w:rPr>
          <w:rFonts w:ascii="Calibri" w:hAnsi="Calibri" w:cs="Calibri"/>
          <w:color w:val="414042" w:themeColor="text1"/>
          <w:sz w:val="16"/>
          <w:szCs w:val="16"/>
        </w:rPr>
        <w:t>Notes:</w:t>
      </w:r>
    </w:p>
    <w:p w14:paraId="6E0780B8" w14:textId="77777777" w:rsidR="00EC1069" w:rsidRPr="00DF3006" w:rsidRDefault="00EC1069" w:rsidP="00EC1069">
      <w:pPr>
        <w:pStyle w:val="Notes"/>
        <w:numPr>
          <w:ilvl w:val="0"/>
          <w:numId w:val="44"/>
        </w:numPr>
        <w:rPr>
          <w:spacing w:val="0"/>
          <w:lang w:val="en-AU"/>
        </w:rPr>
      </w:pPr>
      <w:r w:rsidRPr="00DF3006">
        <w:rPr>
          <w:spacing w:val="0"/>
          <w:lang w:val="en-AU"/>
        </w:rPr>
        <w:t>Full-time equivalent refers to all permanent, temporary and</w:t>
      </w:r>
      <w:r w:rsidRPr="00DF3006">
        <w:rPr>
          <w:spacing w:val="0"/>
          <w:lang w:val="en-AU"/>
        </w:rPr>
        <w:br/>
        <w:t xml:space="preserve">casual </w:t>
      </w:r>
      <w:r w:rsidRPr="00DF3006">
        <w:rPr>
          <w:lang w:val="en-AU"/>
        </w:rPr>
        <w:t>employees</w:t>
      </w:r>
      <w:r w:rsidRPr="00DF3006">
        <w:rPr>
          <w:spacing w:val="0"/>
          <w:lang w:val="en-AU"/>
        </w:rPr>
        <w:t xml:space="preserve"> (including Commissioners).</w:t>
      </w:r>
    </w:p>
    <w:p w14:paraId="4B6302BF" w14:textId="77777777" w:rsidR="00835A10" w:rsidRPr="00DF3006" w:rsidRDefault="00EC1069" w:rsidP="00EC1069">
      <w:pPr>
        <w:rPr>
          <w:color w:val="414042" w:themeColor="text1"/>
        </w:rPr>
      </w:pPr>
      <w:r w:rsidRPr="00DF3006">
        <w:rPr>
          <w:color w:val="414042" w:themeColor="text1"/>
        </w:rPr>
        <w:br w:type="column"/>
      </w:r>
    </w:p>
    <w:p w14:paraId="66929DEA" w14:textId="77777777" w:rsidR="00835A10" w:rsidRPr="00DF3006" w:rsidRDefault="00835A10" w:rsidP="00EC1069">
      <w:pPr>
        <w:rPr>
          <w:color w:val="414042" w:themeColor="text1"/>
        </w:rPr>
      </w:pPr>
    </w:p>
    <w:p w14:paraId="3792F912" w14:textId="29EF9366" w:rsidR="00EC1069" w:rsidRPr="00DF3006" w:rsidRDefault="00EC1069" w:rsidP="00EC1069">
      <w:pPr>
        <w:rPr>
          <w:color w:val="414042" w:themeColor="text1"/>
        </w:rPr>
      </w:pPr>
      <w:r w:rsidRPr="00DF3006">
        <w:rPr>
          <w:color w:val="414042" w:themeColor="text1"/>
        </w:rPr>
        <w:t>Of our civilian workforce, 9</w:t>
      </w:r>
      <w:r w:rsidR="00DD0B0F" w:rsidRPr="00DF3006">
        <w:rPr>
          <w:color w:val="414042" w:themeColor="text1"/>
        </w:rPr>
        <w:t>2</w:t>
      </w:r>
      <w:r w:rsidRPr="00DF3006">
        <w:rPr>
          <w:color w:val="414042" w:themeColor="text1"/>
        </w:rPr>
        <w:t xml:space="preserve"> per cent are employed on a permanent basis.</w:t>
      </w:r>
      <w:r w:rsidR="00835A10" w:rsidRPr="00DF3006">
        <w:rPr>
          <w:color w:val="414042" w:themeColor="text1"/>
          <w:vertAlign w:val="superscript"/>
        </w:rPr>
        <w:footnoteReference w:id="4"/>
      </w:r>
      <w:r w:rsidR="00835A10" w:rsidRPr="00DF3006">
        <w:rPr>
          <w:color w:val="414042" w:themeColor="text1"/>
        </w:rPr>
        <w:t xml:space="preserve"> T</w:t>
      </w:r>
      <w:r w:rsidRPr="00DF3006">
        <w:rPr>
          <w:color w:val="414042" w:themeColor="text1"/>
        </w:rPr>
        <w:t xml:space="preserve">his is higher than the wider Queensland public service’s reported figure of 82 per cent (as </w:t>
      </w:r>
      <w:proofErr w:type="gramStart"/>
      <w:r w:rsidRPr="00DF3006">
        <w:rPr>
          <w:color w:val="414042" w:themeColor="text1"/>
        </w:rPr>
        <w:t>at</w:t>
      </w:r>
      <w:proofErr w:type="gramEnd"/>
      <w:r w:rsidRPr="00DF3006">
        <w:rPr>
          <w:color w:val="414042" w:themeColor="text1"/>
        </w:rPr>
        <w:t xml:space="preserve"> March 2023).</w:t>
      </w:r>
    </w:p>
    <w:p w14:paraId="1CE8FBC5" w14:textId="77777777" w:rsidR="00FB6F5F" w:rsidRPr="00DF3006" w:rsidRDefault="00FB6F5F" w:rsidP="00FB6F5F">
      <w:pPr>
        <w:rPr>
          <w:color w:val="414042" w:themeColor="text1"/>
        </w:rPr>
      </w:pPr>
    </w:p>
    <w:p w14:paraId="118B6A11" w14:textId="312A1F13" w:rsidR="00B342B6" w:rsidRPr="00DF3006" w:rsidRDefault="00B342B6" w:rsidP="00463FBB">
      <w:pPr>
        <w:pStyle w:val="Heading4b"/>
      </w:pPr>
      <w:r w:rsidRPr="00DF3006">
        <w:t>Figure 21: Our employee breakdown</w:t>
      </w:r>
    </w:p>
    <w:p w14:paraId="1C69E941" w14:textId="77777777" w:rsidR="00EC1069" w:rsidRPr="00DF3006" w:rsidRDefault="00EC1069" w:rsidP="00EC1069">
      <w:pPr>
        <w:rPr>
          <w:color w:val="414042" w:themeColor="text1"/>
        </w:rPr>
      </w:pPr>
      <w:r w:rsidRPr="00DF3006">
        <w:rPr>
          <w:noProof/>
          <w:color w:val="414042" w:themeColor="text1"/>
        </w:rPr>
        <w:drawing>
          <wp:inline distT="0" distB="0" distL="0" distR="0" wp14:anchorId="61E72F0B" wp14:editId="1D10904C">
            <wp:extent cx="1908966" cy="1908966"/>
            <wp:effectExtent l="0" t="0" r="0" b="0"/>
            <wp:docPr id="690" name="Chart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11F7B991" w14:textId="1B4286B8" w:rsidR="00EC1069" w:rsidRPr="00DF3006" w:rsidRDefault="00EC1069" w:rsidP="00EC1069">
      <w:pPr>
        <w:rPr>
          <w:color w:val="414042" w:themeColor="text1"/>
        </w:rPr>
      </w:pPr>
      <w:r w:rsidRPr="00DF3006">
        <w:rPr>
          <w:noProof/>
          <w:color w:val="414042" w:themeColor="text1"/>
        </w:rPr>
        <w:drawing>
          <wp:inline distT="0" distB="0" distL="0" distR="0" wp14:anchorId="36EBC61A" wp14:editId="45641130">
            <wp:extent cx="1903730" cy="1871980"/>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r w:rsidRPr="00DF3006">
        <w:rPr>
          <w:color w:val="414042" w:themeColor="text1"/>
        </w:rPr>
        <w:br w:type="page"/>
      </w:r>
    </w:p>
    <w:p w14:paraId="1FE20E3E" w14:textId="77777777" w:rsidR="00EC1069" w:rsidRPr="00DF3006" w:rsidRDefault="00EC1069" w:rsidP="00EC1069">
      <w:pPr>
        <w:rPr>
          <w:color w:val="414042" w:themeColor="text1"/>
        </w:rPr>
        <w:sectPr w:rsidR="00EC1069" w:rsidRPr="00DF3006" w:rsidSect="00C77834">
          <w:type w:val="continuous"/>
          <w:pgSz w:w="11906" w:h="16838" w:code="9"/>
          <w:pgMar w:top="2155" w:right="1134" w:bottom="964" w:left="1134" w:header="720" w:footer="284" w:gutter="0"/>
          <w:cols w:num="2" w:space="567"/>
          <w:noEndnote/>
          <w:docGrid w:linePitch="272"/>
          <w15:footnoteColumns w:val="1"/>
        </w:sectPr>
      </w:pPr>
    </w:p>
    <w:p w14:paraId="3E492934" w14:textId="77777777" w:rsidR="00EC1069" w:rsidRPr="00DF3006" w:rsidRDefault="00EC1069" w:rsidP="00E6066A">
      <w:pPr>
        <w:pStyle w:val="Heading3"/>
      </w:pPr>
      <w:r w:rsidRPr="00DF3006">
        <w:lastRenderedPageBreak/>
        <w:t>Diversity and inclusion</w:t>
      </w:r>
    </w:p>
    <w:p w14:paraId="51F3E9F2" w14:textId="16B6FEA9" w:rsidR="00F906C1" w:rsidRPr="00DF3006" w:rsidRDefault="00F906C1" w:rsidP="00F906C1">
      <w:pPr>
        <w:rPr>
          <w:color w:val="414042" w:themeColor="text1"/>
        </w:rPr>
      </w:pPr>
      <w:r w:rsidRPr="00DF3006">
        <w:rPr>
          <w:color w:val="414042" w:themeColor="text1"/>
        </w:rPr>
        <w:t>We are committed to supporting equity and diversity.</w:t>
      </w:r>
    </w:p>
    <w:p w14:paraId="04D04FEF" w14:textId="7E659B3A" w:rsidR="00EC1069" w:rsidRPr="00DF3006" w:rsidRDefault="00EC1069" w:rsidP="00463FBB">
      <w:pPr>
        <w:pStyle w:val="Heading4b"/>
      </w:pPr>
      <w:r w:rsidRPr="00DF3006">
        <w:t xml:space="preserve">Table </w:t>
      </w:r>
      <w:r w:rsidR="00A2421F" w:rsidRPr="00DF3006">
        <w:t>8</w:t>
      </w:r>
      <w:r w:rsidRPr="00DF3006">
        <w:t>: Gender</w:t>
      </w:r>
    </w:p>
    <w:tbl>
      <w:tblPr>
        <w:tblStyle w:val="Annualreport2020-21"/>
        <w:tblW w:w="5000" w:type="pct"/>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5"/>
        <w:gridCol w:w="2197"/>
        <w:gridCol w:w="2196"/>
      </w:tblGrid>
      <w:tr w:rsidR="00DF3006" w:rsidRPr="00DF3006" w14:paraId="152667F6" w14:textId="77777777" w:rsidTr="00F215BB">
        <w:trPr>
          <w:cnfStyle w:val="100000000000" w:firstRow="1" w:lastRow="0" w:firstColumn="0" w:lastColumn="0" w:oddVBand="0" w:evenVBand="0" w:oddHBand="0" w:evenHBand="0" w:firstRowFirstColumn="0" w:firstRowLastColumn="0" w:lastRowFirstColumn="0" w:lastRowLastColumn="0"/>
        </w:trPr>
        <w:tc>
          <w:tcPr>
            <w:tcW w:w="2721" w:type="pct"/>
            <w:hideMark/>
          </w:tcPr>
          <w:p w14:paraId="469748FC" w14:textId="77777777" w:rsidR="00EC1069" w:rsidRPr="00DF3006" w:rsidRDefault="00EC1069" w:rsidP="007637CB">
            <w:pPr>
              <w:spacing w:after="0" w:line="252" w:lineRule="auto"/>
              <w:jc w:val="left"/>
              <w:rPr>
                <w:rFonts w:asciiTheme="majorHAnsi" w:hAnsiTheme="majorHAnsi" w:cstheme="majorHAnsi"/>
                <w:color w:val="414042" w:themeColor="text1"/>
              </w:rPr>
            </w:pPr>
            <w:r w:rsidRPr="00DF3006">
              <w:rPr>
                <w:rFonts w:asciiTheme="majorHAnsi" w:hAnsiTheme="majorHAnsi" w:cstheme="majorHAnsi"/>
                <w:color w:val="414042" w:themeColor="text1"/>
              </w:rPr>
              <w:t>Gender</w:t>
            </w:r>
            <w:r w:rsidRPr="00DF3006">
              <w:rPr>
                <w:rFonts w:asciiTheme="majorHAnsi" w:hAnsiTheme="majorHAnsi" w:cstheme="majorHAnsi"/>
                <w:color w:val="414042" w:themeColor="text1"/>
                <w:vertAlign w:val="superscript"/>
              </w:rPr>
              <w:t>1</w:t>
            </w:r>
          </w:p>
        </w:tc>
        <w:tc>
          <w:tcPr>
            <w:tcW w:w="1140" w:type="pct"/>
            <w:vAlign w:val="top"/>
            <w:hideMark/>
          </w:tcPr>
          <w:p w14:paraId="5AE972F9" w14:textId="5FDD05A1" w:rsidR="00F215BB" w:rsidRPr="00DF3006" w:rsidRDefault="00EC1069" w:rsidP="00F215BB">
            <w:pPr>
              <w:spacing w:after="0" w:line="252" w:lineRule="auto"/>
              <w:rPr>
                <w:rFonts w:asciiTheme="majorHAnsi" w:hAnsiTheme="majorHAnsi" w:cstheme="majorHAnsi"/>
                <w:b w:val="0"/>
                <w:color w:val="414042" w:themeColor="text1"/>
              </w:rPr>
            </w:pPr>
            <w:r w:rsidRPr="00DF3006">
              <w:rPr>
                <w:rFonts w:asciiTheme="majorHAnsi" w:hAnsiTheme="majorHAnsi" w:cstheme="majorHAnsi"/>
                <w:color w:val="414042" w:themeColor="text1"/>
              </w:rPr>
              <w:t>Number</w:t>
            </w:r>
          </w:p>
          <w:p w14:paraId="34D7B820" w14:textId="34F5F5F4"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b w:val="0"/>
                <w:bCs/>
                <w:color w:val="414042" w:themeColor="text1"/>
              </w:rPr>
              <w:t>(Headcount)</w:t>
            </w:r>
          </w:p>
        </w:tc>
        <w:tc>
          <w:tcPr>
            <w:tcW w:w="1140" w:type="pct"/>
            <w:vAlign w:val="top"/>
            <w:hideMark/>
          </w:tcPr>
          <w:p w14:paraId="36BA1C84" w14:textId="3D2DE51A" w:rsidR="00F215BB" w:rsidRPr="00DF3006" w:rsidRDefault="00EC1069" w:rsidP="00F215BB">
            <w:pPr>
              <w:spacing w:after="0" w:line="252" w:lineRule="auto"/>
              <w:rPr>
                <w:rFonts w:asciiTheme="majorHAnsi" w:hAnsiTheme="majorHAnsi" w:cstheme="majorHAnsi"/>
                <w:b w:val="0"/>
                <w:color w:val="414042" w:themeColor="text1"/>
              </w:rPr>
            </w:pPr>
            <w:r w:rsidRPr="00DF3006">
              <w:rPr>
                <w:rFonts w:asciiTheme="majorHAnsi" w:hAnsiTheme="majorHAnsi" w:cstheme="majorHAnsi"/>
                <w:color w:val="414042" w:themeColor="text1"/>
              </w:rPr>
              <w:t>Percentage of total workforce</w:t>
            </w:r>
          </w:p>
          <w:p w14:paraId="52BF6F87" w14:textId="48EC926C"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b w:val="0"/>
                <w:bCs/>
                <w:color w:val="414042" w:themeColor="text1"/>
              </w:rPr>
              <w:t>(calculated on headcount)</w:t>
            </w:r>
          </w:p>
        </w:tc>
      </w:tr>
      <w:tr w:rsidR="00DF3006" w:rsidRPr="00DF3006" w14:paraId="1261F4DE" w14:textId="77777777" w:rsidTr="00F215BB">
        <w:tc>
          <w:tcPr>
            <w:tcW w:w="2721" w:type="pct"/>
            <w:hideMark/>
          </w:tcPr>
          <w:p w14:paraId="7BA8235D" w14:textId="74857D0E"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Woman</w:t>
            </w:r>
          </w:p>
        </w:tc>
        <w:tc>
          <w:tcPr>
            <w:tcW w:w="1140" w:type="pct"/>
            <w:hideMark/>
          </w:tcPr>
          <w:p w14:paraId="0317EDB2" w14:textId="53B98BF0"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184</w:t>
            </w:r>
          </w:p>
        </w:tc>
        <w:tc>
          <w:tcPr>
            <w:tcW w:w="1140" w:type="pct"/>
            <w:hideMark/>
          </w:tcPr>
          <w:p w14:paraId="2C56A0C2" w14:textId="76C36490"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53.8%</w:t>
            </w:r>
          </w:p>
        </w:tc>
      </w:tr>
      <w:tr w:rsidR="00DF3006" w:rsidRPr="00DF3006" w14:paraId="454DA155" w14:textId="77777777" w:rsidTr="00F215BB">
        <w:tc>
          <w:tcPr>
            <w:tcW w:w="2721" w:type="pct"/>
            <w:tcBorders>
              <w:bottom w:val="single" w:sz="4" w:space="0" w:color="BFBFBF" w:themeColor="background1" w:themeShade="BF"/>
            </w:tcBorders>
            <w:hideMark/>
          </w:tcPr>
          <w:p w14:paraId="52FB9993" w14:textId="77777777"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Man</w:t>
            </w:r>
          </w:p>
        </w:tc>
        <w:tc>
          <w:tcPr>
            <w:tcW w:w="1140" w:type="pct"/>
            <w:tcBorders>
              <w:bottom w:val="single" w:sz="4" w:space="0" w:color="BFBFBF" w:themeColor="background1" w:themeShade="BF"/>
            </w:tcBorders>
            <w:hideMark/>
          </w:tcPr>
          <w:p w14:paraId="193F8DB2"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158</w:t>
            </w:r>
          </w:p>
        </w:tc>
        <w:tc>
          <w:tcPr>
            <w:tcW w:w="1140" w:type="pct"/>
            <w:tcBorders>
              <w:bottom w:val="single" w:sz="4" w:space="0" w:color="BFBFBF" w:themeColor="background1" w:themeShade="BF"/>
            </w:tcBorders>
            <w:hideMark/>
          </w:tcPr>
          <w:p w14:paraId="362BB1B8"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46.2%</w:t>
            </w:r>
          </w:p>
        </w:tc>
      </w:tr>
      <w:tr w:rsidR="00DF3006" w:rsidRPr="00DF3006" w14:paraId="05ACE4A6" w14:textId="77777777" w:rsidTr="00F215BB">
        <w:tc>
          <w:tcPr>
            <w:tcW w:w="2721" w:type="pct"/>
            <w:tcBorders>
              <w:top w:val="single" w:sz="4" w:space="0" w:color="BFBFBF" w:themeColor="background1" w:themeShade="BF"/>
              <w:bottom w:val="single" w:sz="4" w:space="0" w:color="BFBFBF" w:themeColor="background1" w:themeShade="BF"/>
            </w:tcBorders>
            <w:hideMark/>
          </w:tcPr>
          <w:p w14:paraId="4E330A47" w14:textId="77777777"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Non-binary</w:t>
            </w:r>
          </w:p>
        </w:tc>
        <w:tc>
          <w:tcPr>
            <w:tcW w:w="1140" w:type="pct"/>
            <w:tcBorders>
              <w:top w:val="single" w:sz="4" w:space="0" w:color="BFBFBF" w:themeColor="background1" w:themeShade="BF"/>
              <w:bottom w:val="single" w:sz="4" w:space="0" w:color="BFBFBF" w:themeColor="background1" w:themeShade="BF"/>
            </w:tcBorders>
            <w:hideMark/>
          </w:tcPr>
          <w:p w14:paraId="171E1BD0" w14:textId="2BD5E8D1"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Nil</w:t>
            </w:r>
          </w:p>
        </w:tc>
        <w:tc>
          <w:tcPr>
            <w:tcW w:w="1140" w:type="pct"/>
            <w:tcBorders>
              <w:top w:val="single" w:sz="4" w:space="0" w:color="BFBFBF" w:themeColor="background1" w:themeShade="BF"/>
              <w:bottom w:val="single" w:sz="4" w:space="0" w:color="BFBFBF" w:themeColor="background1" w:themeShade="BF"/>
            </w:tcBorders>
            <w:hideMark/>
          </w:tcPr>
          <w:p w14:paraId="791DC21E" w14:textId="6F40359B" w:rsidR="00EC1069" w:rsidRPr="00DF3006" w:rsidRDefault="00792625"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0%</w:t>
            </w:r>
          </w:p>
        </w:tc>
      </w:tr>
    </w:tbl>
    <w:p w14:paraId="54CC6F92" w14:textId="77777777" w:rsidR="00EC1069" w:rsidRPr="00DF3006" w:rsidRDefault="00EC1069" w:rsidP="00EC1069">
      <w:pPr>
        <w:pStyle w:val="Notes"/>
        <w:spacing w:before="120"/>
        <w:ind w:left="360" w:hanging="360"/>
        <w:rPr>
          <w:rFonts w:cs="Calibri Light"/>
          <w:sz w:val="20"/>
          <w:szCs w:val="20"/>
        </w:rPr>
      </w:pPr>
      <w:r w:rsidRPr="00DF3006">
        <w:t>Notes:</w:t>
      </w:r>
    </w:p>
    <w:p w14:paraId="41E127E1" w14:textId="032D5C27" w:rsidR="00EC1069" w:rsidRPr="00DF3006" w:rsidRDefault="00EC1069">
      <w:pPr>
        <w:pStyle w:val="Notes"/>
        <w:numPr>
          <w:ilvl w:val="0"/>
          <w:numId w:val="58"/>
        </w:numPr>
        <w:suppressAutoHyphens w:val="0"/>
        <w:adjustRightInd/>
        <w:textAlignment w:val="auto"/>
        <w:rPr>
          <w:rFonts w:eastAsia="Times New Roman"/>
          <w:lang w:eastAsia="en-AU"/>
        </w:rPr>
      </w:pPr>
      <w:r w:rsidRPr="00DF3006">
        <w:t>Data is based on employees who have voluntarily disclosed this information to us.</w:t>
      </w:r>
    </w:p>
    <w:p w14:paraId="7E34EF19" w14:textId="77777777" w:rsidR="00F215BB" w:rsidRPr="00DF3006" w:rsidRDefault="00F215BB" w:rsidP="00F215BB">
      <w:pPr>
        <w:rPr>
          <w:color w:val="414042" w:themeColor="text1"/>
        </w:rPr>
      </w:pPr>
    </w:p>
    <w:p w14:paraId="75C3B588" w14:textId="0EB3E35B" w:rsidR="00EC1069" w:rsidRPr="00DF3006" w:rsidRDefault="00EC1069" w:rsidP="00463FBB">
      <w:pPr>
        <w:pStyle w:val="Heading4b"/>
      </w:pPr>
      <w:r w:rsidRPr="00DF3006">
        <w:t xml:space="preserve">Table </w:t>
      </w:r>
      <w:r w:rsidR="00A2421F" w:rsidRPr="00DF3006">
        <w:t>9</w:t>
      </w:r>
      <w:r w:rsidRPr="00DF3006">
        <w:t>: Diversity target group data</w:t>
      </w:r>
    </w:p>
    <w:tbl>
      <w:tblPr>
        <w:tblStyle w:val="Annualreport2020-21"/>
        <w:tblW w:w="5000" w:type="pct"/>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5"/>
        <w:gridCol w:w="2197"/>
        <w:gridCol w:w="2196"/>
      </w:tblGrid>
      <w:tr w:rsidR="00DF3006" w:rsidRPr="00DF3006" w14:paraId="53749AB6" w14:textId="77777777" w:rsidTr="00F215BB">
        <w:trPr>
          <w:cnfStyle w:val="100000000000" w:firstRow="1" w:lastRow="0" w:firstColumn="0" w:lastColumn="0" w:oddVBand="0" w:evenVBand="0" w:oddHBand="0" w:evenHBand="0" w:firstRowFirstColumn="0" w:firstRowLastColumn="0" w:lastRowFirstColumn="0" w:lastRowLastColumn="0"/>
        </w:trPr>
        <w:tc>
          <w:tcPr>
            <w:tcW w:w="2721" w:type="pct"/>
            <w:hideMark/>
          </w:tcPr>
          <w:p w14:paraId="70181797" w14:textId="77777777" w:rsidR="00EC1069" w:rsidRPr="00DF3006" w:rsidRDefault="00EC1069" w:rsidP="007637CB">
            <w:pPr>
              <w:spacing w:after="0" w:line="252" w:lineRule="auto"/>
              <w:jc w:val="left"/>
              <w:rPr>
                <w:rFonts w:asciiTheme="majorHAnsi" w:hAnsiTheme="majorHAnsi" w:cstheme="majorHAnsi"/>
                <w:color w:val="414042" w:themeColor="text1"/>
                <w:sz w:val="22"/>
              </w:rPr>
            </w:pPr>
            <w:r w:rsidRPr="00DF3006">
              <w:rPr>
                <w:rFonts w:asciiTheme="majorHAnsi" w:hAnsiTheme="majorHAnsi" w:cstheme="majorHAnsi"/>
                <w:color w:val="414042" w:themeColor="text1"/>
              </w:rPr>
              <w:t>Diversity Groups</w:t>
            </w:r>
            <w:r w:rsidRPr="00DF3006">
              <w:rPr>
                <w:rFonts w:asciiTheme="majorHAnsi" w:hAnsiTheme="majorHAnsi" w:cstheme="majorHAnsi"/>
                <w:color w:val="414042" w:themeColor="text1"/>
                <w:vertAlign w:val="superscript"/>
              </w:rPr>
              <w:t>1</w:t>
            </w:r>
          </w:p>
        </w:tc>
        <w:tc>
          <w:tcPr>
            <w:tcW w:w="1140" w:type="pct"/>
            <w:vAlign w:val="top"/>
            <w:hideMark/>
          </w:tcPr>
          <w:p w14:paraId="5B17A3DB" w14:textId="61F9BCB0" w:rsidR="00F215BB" w:rsidRPr="00DF3006" w:rsidRDefault="00EC1069" w:rsidP="00F215BB">
            <w:pPr>
              <w:spacing w:after="0" w:line="252" w:lineRule="auto"/>
              <w:rPr>
                <w:rFonts w:asciiTheme="majorHAnsi" w:hAnsiTheme="majorHAnsi" w:cstheme="majorHAnsi"/>
                <w:b w:val="0"/>
                <w:color w:val="414042" w:themeColor="text1"/>
              </w:rPr>
            </w:pPr>
            <w:r w:rsidRPr="00DF3006">
              <w:rPr>
                <w:rFonts w:asciiTheme="majorHAnsi" w:hAnsiTheme="majorHAnsi" w:cstheme="majorHAnsi"/>
                <w:color w:val="414042" w:themeColor="text1"/>
              </w:rPr>
              <w:t>Number</w:t>
            </w:r>
          </w:p>
          <w:p w14:paraId="674DFF5A" w14:textId="46DB033A"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b w:val="0"/>
                <w:bCs/>
                <w:color w:val="414042" w:themeColor="text1"/>
              </w:rPr>
              <w:t>(Headcount)</w:t>
            </w:r>
          </w:p>
        </w:tc>
        <w:tc>
          <w:tcPr>
            <w:tcW w:w="1140" w:type="pct"/>
            <w:vAlign w:val="top"/>
            <w:hideMark/>
          </w:tcPr>
          <w:p w14:paraId="0ED7AC05" w14:textId="44C8A133" w:rsidR="00F215BB" w:rsidRPr="00DF3006" w:rsidRDefault="00EC1069" w:rsidP="00F215BB">
            <w:pPr>
              <w:spacing w:after="0" w:line="252" w:lineRule="auto"/>
              <w:rPr>
                <w:rFonts w:asciiTheme="majorHAnsi" w:hAnsiTheme="majorHAnsi" w:cstheme="majorHAnsi"/>
                <w:bCs/>
                <w:color w:val="414042" w:themeColor="text1"/>
              </w:rPr>
            </w:pPr>
            <w:r w:rsidRPr="00DF3006">
              <w:rPr>
                <w:rFonts w:asciiTheme="majorHAnsi" w:hAnsiTheme="majorHAnsi" w:cstheme="majorHAnsi"/>
                <w:color w:val="414042" w:themeColor="text1"/>
              </w:rPr>
              <w:t>Percentage of total workforce</w:t>
            </w:r>
          </w:p>
          <w:p w14:paraId="364A1782" w14:textId="1CE4C148"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b w:val="0"/>
                <w:bCs/>
                <w:color w:val="414042" w:themeColor="text1"/>
              </w:rPr>
              <w:t>(calculated on headcount)</w:t>
            </w:r>
          </w:p>
        </w:tc>
      </w:tr>
      <w:tr w:rsidR="00DF3006" w:rsidRPr="00DF3006" w14:paraId="6FE3FCF3" w14:textId="77777777" w:rsidTr="00F215BB">
        <w:tc>
          <w:tcPr>
            <w:tcW w:w="2721" w:type="pct"/>
            <w:hideMark/>
          </w:tcPr>
          <w:p w14:paraId="3B6012B5" w14:textId="77777777"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Woman</w:t>
            </w:r>
          </w:p>
          <w:p w14:paraId="6FBA7461"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Civilian</w:t>
            </w:r>
          </w:p>
          <w:p w14:paraId="5F0FAA24"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Police</w:t>
            </w:r>
          </w:p>
        </w:tc>
        <w:tc>
          <w:tcPr>
            <w:tcW w:w="1140" w:type="pct"/>
            <w:hideMark/>
          </w:tcPr>
          <w:p w14:paraId="76FF1F7C"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184</w:t>
            </w:r>
          </w:p>
          <w:p w14:paraId="3467D447"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168</w:t>
            </w:r>
          </w:p>
          <w:p w14:paraId="0E4787EE"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16</w:t>
            </w:r>
          </w:p>
        </w:tc>
        <w:tc>
          <w:tcPr>
            <w:tcW w:w="1140" w:type="pct"/>
            <w:hideMark/>
          </w:tcPr>
          <w:p w14:paraId="69366AA8"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53.8%</w:t>
            </w:r>
          </w:p>
          <w:p w14:paraId="67A6ADE2"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49.1%</w:t>
            </w:r>
          </w:p>
          <w:p w14:paraId="0069A4CD"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4.6%</w:t>
            </w:r>
          </w:p>
        </w:tc>
      </w:tr>
      <w:tr w:rsidR="00DF3006" w:rsidRPr="00DF3006" w14:paraId="2100CD56" w14:textId="77777777" w:rsidTr="00F215BB">
        <w:tc>
          <w:tcPr>
            <w:tcW w:w="2721" w:type="pct"/>
            <w:hideMark/>
          </w:tcPr>
          <w:p w14:paraId="186BE420" w14:textId="1962A638"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Aboriginal Peoples and Torres Strait Islander Peoples</w:t>
            </w:r>
          </w:p>
        </w:tc>
        <w:tc>
          <w:tcPr>
            <w:tcW w:w="1140" w:type="pct"/>
            <w:hideMark/>
          </w:tcPr>
          <w:p w14:paraId="7E1B6C6C"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&lt;5</w:t>
            </w:r>
          </w:p>
        </w:tc>
        <w:tc>
          <w:tcPr>
            <w:tcW w:w="1140" w:type="pct"/>
            <w:hideMark/>
          </w:tcPr>
          <w:p w14:paraId="7D1B7267" w14:textId="3A0CD8BD" w:rsidR="00EC1069" w:rsidRPr="00DF3006" w:rsidRDefault="00DD0B0F"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0</w:t>
            </w:r>
            <w:r w:rsidR="00EC1069" w:rsidRPr="00DF3006">
              <w:rPr>
                <w:rFonts w:asciiTheme="majorHAnsi" w:hAnsiTheme="majorHAnsi" w:cstheme="majorHAnsi"/>
                <w:color w:val="414042" w:themeColor="text1"/>
              </w:rPr>
              <w:t>.5%</w:t>
            </w:r>
          </w:p>
        </w:tc>
      </w:tr>
      <w:tr w:rsidR="00DF3006" w:rsidRPr="00DF3006" w14:paraId="19374A32" w14:textId="77777777" w:rsidTr="00F215BB">
        <w:tc>
          <w:tcPr>
            <w:tcW w:w="2721" w:type="pct"/>
            <w:tcBorders>
              <w:bottom w:val="single" w:sz="4" w:space="0" w:color="BFBFBF" w:themeColor="background1" w:themeShade="BF"/>
            </w:tcBorders>
            <w:hideMark/>
          </w:tcPr>
          <w:p w14:paraId="36D20FB8" w14:textId="684AD1E1"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People with disability</w:t>
            </w:r>
          </w:p>
        </w:tc>
        <w:tc>
          <w:tcPr>
            <w:tcW w:w="1140" w:type="pct"/>
            <w:tcBorders>
              <w:bottom w:val="single" w:sz="4" w:space="0" w:color="BFBFBF" w:themeColor="background1" w:themeShade="BF"/>
            </w:tcBorders>
            <w:hideMark/>
          </w:tcPr>
          <w:p w14:paraId="33B1D784"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&lt;5</w:t>
            </w:r>
          </w:p>
        </w:tc>
        <w:tc>
          <w:tcPr>
            <w:tcW w:w="1140" w:type="pct"/>
            <w:tcBorders>
              <w:bottom w:val="single" w:sz="4" w:space="0" w:color="BFBFBF" w:themeColor="background1" w:themeShade="BF"/>
            </w:tcBorders>
            <w:hideMark/>
          </w:tcPr>
          <w:p w14:paraId="48A5BC58"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1.2%</w:t>
            </w:r>
          </w:p>
        </w:tc>
      </w:tr>
      <w:tr w:rsidR="00DF3006" w:rsidRPr="00DF3006" w14:paraId="000AFF3F" w14:textId="77777777" w:rsidTr="00F215BB">
        <w:tc>
          <w:tcPr>
            <w:tcW w:w="2721" w:type="pct"/>
            <w:tcBorders>
              <w:top w:val="single" w:sz="4" w:space="0" w:color="BFBFBF" w:themeColor="background1" w:themeShade="BF"/>
              <w:bottom w:val="single" w:sz="4" w:space="0" w:color="BFBFBF" w:themeColor="background1" w:themeShade="BF"/>
            </w:tcBorders>
            <w:hideMark/>
          </w:tcPr>
          <w:p w14:paraId="79262BEA" w14:textId="51FE3A74"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Culturally and Linguistically Diverse – Speak a language at home other than English</w:t>
            </w:r>
            <w:r w:rsidRPr="00DF3006">
              <w:rPr>
                <w:rFonts w:asciiTheme="majorHAnsi" w:hAnsiTheme="majorHAnsi" w:cstheme="majorHAnsi"/>
                <w:color w:val="414042" w:themeColor="text1"/>
                <w:vertAlign w:val="superscript"/>
              </w:rPr>
              <w:t>2</w:t>
            </w:r>
          </w:p>
        </w:tc>
        <w:tc>
          <w:tcPr>
            <w:tcW w:w="1140" w:type="pct"/>
            <w:tcBorders>
              <w:top w:val="single" w:sz="4" w:space="0" w:color="BFBFBF" w:themeColor="background1" w:themeShade="BF"/>
              <w:bottom w:val="single" w:sz="4" w:space="0" w:color="BFBFBF" w:themeColor="background1" w:themeShade="BF"/>
            </w:tcBorders>
            <w:hideMark/>
          </w:tcPr>
          <w:p w14:paraId="486FA259"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11</w:t>
            </w:r>
          </w:p>
        </w:tc>
        <w:tc>
          <w:tcPr>
            <w:tcW w:w="1140" w:type="pct"/>
            <w:tcBorders>
              <w:top w:val="single" w:sz="4" w:space="0" w:color="BFBFBF" w:themeColor="background1" w:themeShade="BF"/>
              <w:bottom w:val="single" w:sz="4" w:space="0" w:color="BFBFBF" w:themeColor="background1" w:themeShade="BF"/>
            </w:tcBorders>
            <w:hideMark/>
          </w:tcPr>
          <w:p w14:paraId="7DB4115C"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3.2%</w:t>
            </w:r>
          </w:p>
        </w:tc>
      </w:tr>
    </w:tbl>
    <w:p w14:paraId="40EEBB13" w14:textId="77777777" w:rsidR="00EC1069" w:rsidRPr="00DF3006" w:rsidRDefault="00EC1069" w:rsidP="00EC1069">
      <w:pPr>
        <w:pStyle w:val="Notes"/>
        <w:spacing w:before="120"/>
        <w:rPr>
          <w:rFonts w:cs="Calibri Light"/>
          <w:sz w:val="20"/>
          <w:szCs w:val="20"/>
        </w:rPr>
      </w:pPr>
      <w:r w:rsidRPr="00DF3006">
        <w:t>Notes:</w:t>
      </w:r>
    </w:p>
    <w:p w14:paraId="218BA1AC" w14:textId="77777777" w:rsidR="00EC1069" w:rsidRPr="00DF3006" w:rsidRDefault="00EC1069">
      <w:pPr>
        <w:pStyle w:val="Notes"/>
        <w:numPr>
          <w:ilvl w:val="0"/>
          <w:numId w:val="60"/>
        </w:numPr>
        <w:suppressAutoHyphens w:val="0"/>
        <w:adjustRightInd/>
        <w:textAlignment w:val="auto"/>
        <w:rPr>
          <w:rFonts w:eastAsia="Times New Roman"/>
          <w:lang w:eastAsia="en-AU"/>
        </w:rPr>
      </w:pPr>
      <w:r w:rsidRPr="00DF3006">
        <w:t>Data is based on employees who have voluntarily disclosed this information to us.</w:t>
      </w:r>
    </w:p>
    <w:p w14:paraId="39668FA0" w14:textId="36A7FCF9" w:rsidR="00EC1069" w:rsidRPr="00DF3006" w:rsidRDefault="00EC1069">
      <w:pPr>
        <w:pStyle w:val="Notes"/>
        <w:numPr>
          <w:ilvl w:val="0"/>
          <w:numId w:val="60"/>
        </w:numPr>
        <w:suppressAutoHyphens w:val="0"/>
        <w:adjustRightInd/>
        <w:textAlignment w:val="auto"/>
      </w:pPr>
      <w:r w:rsidRPr="00DF3006">
        <w:t>This includes Aboriginal and Torres Strait Islander languages or Australian South Sea Islander languages spoken at home.</w:t>
      </w:r>
    </w:p>
    <w:p w14:paraId="65A0A762" w14:textId="77777777" w:rsidR="00F215BB" w:rsidRPr="00DF3006" w:rsidRDefault="00F215BB" w:rsidP="00F215BB">
      <w:pPr>
        <w:rPr>
          <w:color w:val="414042" w:themeColor="text1"/>
        </w:rPr>
      </w:pPr>
    </w:p>
    <w:p w14:paraId="2EA0CC36" w14:textId="43CCD7A3" w:rsidR="00EC1069" w:rsidRPr="00DF3006" w:rsidRDefault="00EC1069" w:rsidP="00463FBB">
      <w:pPr>
        <w:pStyle w:val="Heading4b"/>
      </w:pPr>
      <w:r w:rsidRPr="00DF3006">
        <w:t xml:space="preserve">Table </w:t>
      </w:r>
      <w:r w:rsidR="00A2421F" w:rsidRPr="00DF3006">
        <w:t>10</w:t>
      </w:r>
      <w:r w:rsidRPr="00DF3006">
        <w:t xml:space="preserve">: Target group data for </w:t>
      </w:r>
      <w:r w:rsidR="00F215BB" w:rsidRPr="00DF3006">
        <w:t>women in leadership roles</w:t>
      </w:r>
    </w:p>
    <w:tbl>
      <w:tblPr>
        <w:tblStyle w:val="Annualreport2020-21"/>
        <w:tblW w:w="5000" w:type="pct"/>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5"/>
        <w:gridCol w:w="2275"/>
        <w:gridCol w:w="2118"/>
      </w:tblGrid>
      <w:tr w:rsidR="00DF3006" w:rsidRPr="00DF3006" w14:paraId="33FF032E" w14:textId="77777777" w:rsidTr="00F215BB">
        <w:trPr>
          <w:cnfStyle w:val="100000000000" w:firstRow="1" w:lastRow="0" w:firstColumn="0" w:lastColumn="0" w:oddVBand="0" w:evenVBand="0" w:oddHBand="0" w:evenHBand="0" w:firstRowFirstColumn="0" w:firstRowLastColumn="0" w:lastRowFirstColumn="0" w:lastRowLastColumn="0"/>
        </w:trPr>
        <w:tc>
          <w:tcPr>
            <w:tcW w:w="2721" w:type="pct"/>
          </w:tcPr>
          <w:p w14:paraId="69C6FA59" w14:textId="77777777" w:rsidR="00EC1069" w:rsidRPr="00DF3006" w:rsidRDefault="00EC1069" w:rsidP="007637CB">
            <w:pPr>
              <w:spacing w:after="0" w:line="252" w:lineRule="auto"/>
              <w:rPr>
                <w:rFonts w:asciiTheme="majorHAnsi" w:hAnsiTheme="majorHAnsi" w:cstheme="majorHAnsi"/>
                <w:color w:val="414042" w:themeColor="text1"/>
              </w:rPr>
            </w:pPr>
          </w:p>
        </w:tc>
        <w:tc>
          <w:tcPr>
            <w:tcW w:w="1180" w:type="pct"/>
            <w:vAlign w:val="top"/>
            <w:hideMark/>
          </w:tcPr>
          <w:p w14:paraId="6A2920C5" w14:textId="33623EF1" w:rsidR="00F215BB"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Women</w:t>
            </w:r>
          </w:p>
          <w:p w14:paraId="117F1428" w14:textId="1AAFED23"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b w:val="0"/>
                <w:bCs/>
                <w:color w:val="414042" w:themeColor="text1"/>
              </w:rPr>
              <w:t>(Headcount)</w:t>
            </w:r>
            <w:r w:rsidRPr="00DF3006">
              <w:rPr>
                <w:rFonts w:asciiTheme="majorHAnsi" w:hAnsiTheme="majorHAnsi" w:cstheme="majorHAnsi"/>
                <w:b w:val="0"/>
                <w:bCs/>
                <w:color w:val="414042" w:themeColor="text1"/>
                <w:vertAlign w:val="superscript"/>
              </w:rPr>
              <w:t>1</w:t>
            </w:r>
          </w:p>
        </w:tc>
        <w:tc>
          <w:tcPr>
            <w:tcW w:w="1099" w:type="pct"/>
            <w:vAlign w:val="top"/>
            <w:hideMark/>
          </w:tcPr>
          <w:p w14:paraId="22F486B5" w14:textId="5B157A17" w:rsidR="00F215BB"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Women as percentage of total leadership cohort</w:t>
            </w:r>
          </w:p>
          <w:p w14:paraId="5335049E" w14:textId="02EEEC86" w:rsidR="00EC1069" w:rsidRPr="00DF3006" w:rsidRDefault="00EC1069" w:rsidP="00F215BB">
            <w:pPr>
              <w:spacing w:after="0" w:line="252" w:lineRule="auto"/>
              <w:rPr>
                <w:rFonts w:asciiTheme="majorHAnsi" w:hAnsiTheme="majorHAnsi" w:cstheme="majorHAnsi"/>
                <w:color w:val="414042" w:themeColor="text1"/>
              </w:rPr>
            </w:pPr>
            <w:r w:rsidRPr="00DF3006">
              <w:rPr>
                <w:rFonts w:asciiTheme="majorHAnsi" w:hAnsiTheme="majorHAnsi" w:cstheme="majorHAnsi"/>
                <w:b w:val="0"/>
                <w:bCs/>
                <w:color w:val="414042" w:themeColor="text1"/>
              </w:rPr>
              <w:t>(calculated on headcount)</w:t>
            </w:r>
          </w:p>
        </w:tc>
      </w:tr>
      <w:tr w:rsidR="00DF3006" w:rsidRPr="00DF3006" w14:paraId="3E7A68B6" w14:textId="77777777" w:rsidTr="00F215BB">
        <w:tc>
          <w:tcPr>
            <w:tcW w:w="2721" w:type="pct"/>
            <w:tcBorders>
              <w:bottom w:val="single" w:sz="4" w:space="0" w:color="BFBFBF" w:themeColor="background1" w:themeShade="BF"/>
            </w:tcBorders>
            <w:hideMark/>
          </w:tcPr>
          <w:p w14:paraId="5929D71F" w14:textId="2DD7E663"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Senior Officers (Classified and s122</w:t>
            </w:r>
            <w:r w:rsidR="008A219F" w:rsidRPr="00DF3006">
              <w:rPr>
                <w:rFonts w:asciiTheme="majorHAnsi" w:hAnsiTheme="majorHAnsi" w:cstheme="majorHAnsi"/>
                <w:bCs/>
                <w:color w:val="414042" w:themeColor="text1"/>
                <w:vertAlign w:val="superscript"/>
              </w:rPr>
              <w:t>1</w:t>
            </w:r>
            <w:r w:rsidRPr="00DF3006">
              <w:rPr>
                <w:rFonts w:asciiTheme="majorHAnsi" w:hAnsiTheme="majorHAnsi" w:cstheme="majorHAnsi"/>
                <w:color w:val="414042" w:themeColor="text1"/>
              </w:rPr>
              <w:t xml:space="preserve"> equivalent combined)</w:t>
            </w:r>
          </w:p>
          <w:p w14:paraId="352EB12E"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Civilian</w:t>
            </w:r>
          </w:p>
          <w:p w14:paraId="5B500149"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Police</w:t>
            </w:r>
          </w:p>
        </w:tc>
        <w:tc>
          <w:tcPr>
            <w:tcW w:w="1180" w:type="pct"/>
            <w:tcBorders>
              <w:bottom w:val="single" w:sz="4" w:space="0" w:color="BFBFBF" w:themeColor="background1" w:themeShade="BF"/>
            </w:tcBorders>
            <w:hideMark/>
          </w:tcPr>
          <w:p w14:paraId="274E239D"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9</w:t>
            </w:r>
          </w:p>
          <w:p w14:paraId="7BB90C8F"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9</w:t>
            </w:r>
          </w:p>
          <w:p w14:paraId="0523B194"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Nil</w:t>
            </w:r>
          </w:p>
        </w:tc>
        <w:tc>
          <w:tcPr>
            <w:tcW w:w="1099" w:type="pct"/>
            <w:tcBorders>
              <w:bottom w:val="single" w:sz="4" w:space="0" w:color="BFBFBF" w:themeColor="background1" w:themeShade="BF"/>
            </w:tcBorders>
            <w:hideMark/>
          </w:tcPr>
          <w:p w14:paraId="45603655"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33.3%</w:t>
            </w:r>
          </w:p>
          <w:p w14:paraId="1711443B"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33.3%</w:t>
            </w:r>
          </w:p>
          <w:p w14:paraId="0C734DC0" w14:textId="5A1BF789" w:rsidR="00EC1069" w:rsidRPr="00DF3006" w:rsidRDefault="009E01A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0</w:t>
            </w:r>
            <w:r w:rsidR="00EC1069" w:rsidRPr="00DF3006">
              <w:rPr>
                <w:rFonts w:asciiTheme="majorHAnsi" w:hAnsiTheme="majorHAnsi" w:cstheme="majorHAnsi"/>
                <w:color w:val="414042" w:themeColor="text1"/>
              </w:rPr>
              <w:t>%</w:t>
            </w:r>
          </w:p>
        </w:tc>
      </w:tr>
      <w:tr w:rsidR="00DF3006" w:rsidRPr="00DF3006" w14:paraId="70CD4F10" w14:textId="77777777" w:rsidTr="00F215BB">
        <w:tc>
          <w:tcPr>
            <w:tcW w:w="2721" w:type="pct"/>
            <w:tcBorders>
              <w:top w:val="single" w:sz="4" w:space="0" w:color="BFBFBF" w:themeColor="background1" w:themeShade="BF"/>
              <w:bottom w:val="single" w:sz="4" w:space="0" w:color="BFBFBF" w:themeColor="background1" w:themeShade="BF"/>
            </w:tcBorders>
            <w:hideMark/>
          </w:tcPr>
          <w:p w14:paraId="790FDD2A" w14:textId="3D9750DF" w:rsidR="00EC1069" w:rsidRPr="00DF3006" w:rsidRDefault="00EC1069" w:rsidP="007637CB">
            <w:pPr>
              <w:spacing w:after="0" w:line="252" w:lineRule="auto"/>
              <w:rPr>
                <w:rFonts w:asciiTheme="majorHAnsi" w:hAnsiTheme="majorHAnsi" w:cstheme="majorHAnsi"/>
                <w:color w:val="414042" w:themeColor="text1"/>
              </w:rPr>
            </w:pPr>
            <w:r w:rsidRPr="00DF3006">
              <w:rPr>
                <w:rFonts w:asciiTheme="majorHAnsi" w:hAnsiTheme="majorHAnsi" w:cstheme="majorHAnsi"/>
                <w:color w:val="414042" w:themeColor="text1"/>
              </w:rPr>
              <w:t>Senior Executive Service and Chief Executives (Classified and s122</w:t>
            </w:r>
            <w:r w:rsidR="008A219F" w:rsidRPr="00DF3006">
              <w:rPr>
                <w:rFonts w:asciiTheme="majorHAnsi" w:hAnsiTheme="majorHAnsi" w:cstheme="majorHAnsi"/>
                <w:bCs/>
                <w:color w:val="414042" w:themeColor="text1"/>
                <w:vertAlign w:val="superscript"/>
              </w:rPr>
              <w:t>1</w:t>
            </w:r>
            <w:r w:rsidR="008A219F" w:rsidRPr="00DF3006">
              <w:rPr>
                <w:rFonts w:asciiTheme="majorHAnsi" w:hAnsiTheme="majorHAnsi" w:cstheme="majorHAnsi"/>
                <w:bCs/>
                <w:color w:val="414042" w:themeColor="text1"/>
              </w:rPr>
              <w:t xml:space="preserve"> </w:t>
            </w:r>
            <w:r w:rsidRPr="00DF3006">
              <w:rPr>
                <w:rFonts w:asciiTheme="majorHAnsi" w:hAnsiTheme="majorHAnsi" w:cstheme="majorHAnsi"/>
                <w:color w:val="414042" w:themeColor="text1"/>
              </w:rPr>
              <w:t>equivalent combined)</w:t>
            </w:r>
          </w:p>
          <w:p w14:paraId="70A4864C"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Civilian</w:t>
            </w:r>
          </w:p>
          <w:p w14:paraId="72C0FD21"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Police</w:t>
            </w:r>
          </w:p>
        </w:tc>
        <w:tc>
          <w:tcPr>
            <w:tcW w:w="1180" w:type="pct"/>
            <w:tcBorders>
              <w:top w:val="single" w:sz="4" w:space="0" w:color="BFBFBF" w:themeColor="background1" w:themeShade="BF"/>
              <w:bottom w:val="single" w:sz="4" w:space="0" w:color="BFBFBF" w:themeColor="background1" w:themeShade="BF"/>
            </w:tcBorders>
            <w:hideMark/>
          </w:tcPr>
          <w:p w14:paraId="70BBCE00"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8</w:t>
            </w:r>
          </w:p>
          <w:p w14:paraId="6FDACF4E"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7</w:t>
            </w:r>
          </w:p>
          <w:p w14:paraId="384FE689"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1</w:t>
            </w:r>
          </w:p>
        </w:tc>
        <w:tc>
          <w:tcPr>
            <w:tcW w:w="1099" w:type="pct"/>
            <w:tcBorders>
              <w:top w:val="single" w:sz="4" w:space="0" w:color="BFBFBF" w:themeColor="background1" w:themeShade="BF"/>
              <w:bottom w:val="single" w:sz="4" w:space="0" w:color="BFBFBF" w:themeColor="background1" w:themeShade="BF"/>
            </w:tcBorders>
            <w:hideMark/>
          </w:tcPr>
          <w:p w14:paraId="6C4BF1B4" w14:textId="77777777" w:rsidR="00EC1069" w:rsidRPr="00DF3006" w:rsidRDefault="00EC1069" w:rsidP="00F215BB">
            <w:pPr>
              <w:spacing w:after="0" w:line="252" w:lineRule="auto"/>
              <w:jc w:val="center"/>
              <w:rPr>
                <w:rFonts w:asciiTheme="majorHAnsi" w:hAnsiTheme="majorHAnsi" w:cstheme="majorHAnsi"/>
                <w:color w:val="414042" w:themeColor="text1"/>
              </w:rPr>
            </w:pPr>
            <w:r w:rsidRPr="00DF3006">
              <w:rPr>
                <w:rFonts w:asciiTheme="majorHAnsi" w:hAnsiTheme="majorHAnsi" w:cstheme="majorHAnsi"/>
                <w:color w:val="414042" w:themeColor="text1"/>
              </w:rPr>
              <w:t>53.3%</w:t>
            </w:r>
          </w:p>
          <w:p w14:paraId="388481B9"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46.6%</w:t>
            </w:r>
          </w:p>
          <w:p w14:paraId="4E716F72" w14:textId="77777777" w:rsidR="00EC1069" w:rsidRPr="00DF3006" w:rsidRDefault="00EC1069" w:rsidP="007637CB">
            <w:pPr>
              <w:spacing w:after="0" w:line="252" w:lineRule="auto"/>
              <w:jc w:val="right"/>
              <w:rPr>
                <w:rFonts w:asciiTheme="majorHAnsi" w:hAnsiTheme="majorHAnsi" w:cstheme="majorHAnsi"/>
                <w:color w:val="414042" w:themeColor="text1"/>
              </w:rPr>
            </w:pPr>
            <w:r w:rsidRPr="00DF3006">
              <w:rPr>
                <w:rFonts w:asciiTheme="majorHAnsi" w:hAnsiTheme="majorHAnsi" w:cstheme="majorHAnsi"/>
                <w:color w:val="414042" w:themeColor="text1"/>
              </w:rPr>
              <w:t>6.7%</w:t>
            </w:r>
          </w:p>
        </w:tc>
      </w:tr>
    </w:tbl>
    <w:p w14:paraId="0F5F132C" w14:textId="77777777" w:rsidR="00EC1069" w:rsidRPr="00DF3006" w:rsidRDefault="00EC1069" w:rsidP="00EC1069">
      <w:pPr>
        <w:pStyle w:val="Notes"/>
        <w:spacing w:before="120"/>
        <w:ind w:left="360" w:hanging="360"/>
        <w:rPr>
          <w:rFonts w:cs="Calibri Light"/>
          <w:sz w:val="20"/>
          <w:szCs w:val="20"/>
        </w:rPr>
      </w:pPr>
      <w:r w:rsidRPr="00DF3006">
        <w:t>Notes:</w:t>
      </w:r>
    </w:p>
    <w:p w14:paraId="4D6F4A49" w14:textId="1C5D0230" w:rsidR="00EC1069" w:rsidRPr="00DF3006" w:rsidRDefault="00FB5624">
      <w:pPr>
        <w:pStyle w:val="Notes"/>
        <w:numPr>
          <w:ilvl w:val="0"/>
          <w:numId w:val="59"/>
        </w:numPr>
        <w:suppressAutoHyphens w:val="0"/>
        <w:adjustRightInd/>
        <w:ind w:left="360"/>
        <w:textAlignment w:val="auto"/>
        <w:rPr>
          <w:lang w:eastAsia="en-AU"/>
        </w:rPr>
      </w:pPr>
      <w:r w:rsidRPr="00DF3006">
        <w:rPr>
          <w:i/>
          <w:iCs/>
        </w:rPr>
        <w:t xml:space="preserve">Public Sector Act 2022 </w:t>
      </w:r>
      <w:r w:rsidRPr="00DF3006">
        <w:t>(Qld).</w:t>
      </w:r>
      <w:r w:rsidRPr="00DF3006">
        <w:rPr>
          <w:lang w:eastAsia="en-AU"/>
        </w:rPr>
        <w:t xml:space="preserve"> </w:t>
      </w:r>
    </w:p>
    <w:p w14:paraId="24BA3DA9" w14:textId="77777777" w:rsidR="00EC1069" w:rsidRPr="00DF3006" w:rsidRDefault="00EC1069" w:rsidP="00EC1069">
      <w:pPr>
        <w:rPr>
          <w:color w:val="414042" w:themeColor="text1"/>
          <w:lang w:eastAsia="en-AU"/>
        </w:rPr>
      </w:pPr>
    </w:p>
    <w:p w14:paraId="11E27DD0" w14:textId="2B92E7F6" w:rsidR="00F906C1" w:rsidRPr="00DF3006" w:rsidRDefault="00F906C1" w:rsidP="00F906C1">
      <w:pPr>
        <w:rPr>
          <w:color w:val="414042" w:themeColor="text1"/>
        </w:rPr>
      </w:pPr>
      <w:r w:rsidRPr="00DF3006">
        <w:rPr>
          <w:i/>
          <w:iCs/>
          <w:color w:val="414042" w:themeColor="text1"/>
          <w:spacing w:val="-2"/>
        </w:rPr>
        <w:t>See page</w:t>
      </w:r>
      <w:r w:rsidR="00253AE5" w:rsidRPr="00DF3006">
        <w:rPr>
          <w:i/>
          <w:iCs/>
          <w:color w:val="414042" w:themeColor="text1"/>
          <w:spacing w:val="-2"/>
        </w:rPr>
        <w:t>s</w:t>
      </w:r>
      <w:r w:rsidRPr="00DF3006">
        <w:rPr>
          <w:i/>
          <w:iCs/>
          <w:color w:val="414042" w:themeColor="text1"/>
          <w:spacing w:val="-2"/>
        </w:rPr>
        <w:t xml:space="preserve"> </w:t>
      </w:r>
      <w:r w:rsidR="00253AE5" w:rsidRPr="00DF3006">
        <w:rPr>
          <w:i/>
          <w:iCs/>
          <w:color w:val="414042" w:themeColor="text1"/>
          <w:spacing w:val="-2"/>
        </w:rPr>
        <w:t>52–56</w:t>
      </w:r>
      <w:r w:rsidRPr="00DF3006">
        <w:rPr>
          <w:i/>
          <w:iCs/>
          <w:color w:val="414042" w:themeColor="text1"/>
          <w:spacing w:val="-2"/>
        </w:rPr>
        <w:t xml:space="preserve"> for more information on our activities to support these outcomes.</w:t>
      </w:r>
    </w:p>
    <w:p w14:paraId="4181C16A" w14:textId="7D6262C9" w:rsidR="00F906C1" w:rsidRPr="00DF3006" w:rsidRDefault="00F906C1" w:rsidP="00EC1069">
      <w:pPr>
        <w:rPr>
          <w:color w:val="414042" w:themeColor="text1"/>
          <w:highlight w:val="cyan"/>
          <w:lang w:eastAsia="en-AU"/>
        </w:rPr>
        <w:sectPr w:rsidR="00F906C1" w:rsidRPr="00DF3006" w:rsidSect="00C77834">
          <w:headerReference w:type="even" r:id="rId257"/>
          <w:headerReference w:type="default" r:id="rId258"/>
          <w:headerReference w:type="first" r:id="rId259"/>
          <w:type w:val="continuous"/>
          <w:pgSz w:w="11906" w:h="16838" w:code="9"/>
          <w:pgMar w:top="2155" w:right="1134" w:bottom="964" w:left="1134" w:header="720" w:footer="284" w:gutter="0"/>
          <w:cols w:space="567"/>
          <w:noEndnote/>
          <w:docGrid w:linePitch="272"/>
        </w:sectPr>
      </w:pPr>
    </w:p>
    <w:p w14:paraId="70D30862" w14:textId="66352E58" w:rsidR="00EC1069" w:rsidRPr="00DF3006" w:rsidRDefault="00EC1069" w:rsidP="00E6066A">
      <w:pPr>
        <w:pStyle w:val="Heading3"/>
      </w:pPr>
      <w:r w:rsidRPr="00DF3006">
        <w:lastRenderedPageBreak/>
        <w:t>Workplace health and safety</w:t>
      </w:r>
    </w:p>
    <w:p w14:paraId="6AF5825F" w14:textId="4F4CF596" w:rsidR="00EC1069" w:rsidRPr="00DF3006" w:rsidRDefault="00EC1069" w:rsidP="00A368B5">
      <w:pPr>
        <w:ind w:right="140"/>
        <w:rPr>
          <w:color w:val="414042" w:themeColor="text1"/>
          <w:spacing w:val="-4"/>
        </w:rPr>
      </w:pPr>
      <w:r w:rsidRPr="00DF3006">
        <w:rPr>
          <w:color w:val="414042" w:themeColor="text1"/>
          <w:spacing w:val="-4"/>
        </w:rPr>
        <w:t xml:space="preserve">We maintain a comprehensive workplace health and safety program consistent with the </w:t>
      </w:r>
      <w:r w:rsidRPr="00DF3006">
        <w:rPr>
          <w:i/>
          <w:iCs/>
          <w:color w:val="414042" w:themeColor="text1"/>
          <w:spacing w:val="-4"/>
        </w:rPr>
        <w:t>Work Health and Safety Act 2011</w:t>
      </w:r>
      <w:r w:rsidR="00064E50" w:rsidRPr="00DF3006">
        <w:rPr>
          <w:color w:val="414042" w:themeColor="text1"/>
          <w:spacing w:val="-4"/>
        </w:rPr>
        <w:t xml:space="preserve"> (Qld)</w:t>
      </w:r>
      <w:r w:rsidRPr="00DF3006">
        <w:rPr>
          <w:color w:val="414042" w:themeColor="text1"/>
          <w:spacing w:val="-4"/>
        </w:rPr>
        <w:t>.</w:t>
      </w:r>
    </w:p>
    <w:p w14:paraId="274EE336" w14:textId="6E3EA6FE" w:rsidR="00FB6F5F" w:rsidRPr="00DF3006" w:rsidRDefault="00EC1069" w:rsidP="00A368B5">
      <w:pPr>
        <w:ind w:right="140"/>
        <w:rPr>
          <w:color w:val="414042" w:themeColor="text1"/>
          <w:spacing w:val="-4"/>
        </w:rPr>
      </w:pPr>
      <w:r w:rsidRPr="00DF3006">
        <w:rPr>
          <w:color w:val="414042" w:themeColor="text1"/>
          <w:spacing w:val="-4"/>
        </w:rPr>
        <w:t xml:space="preserve">In 2022–23, we had 21 reported workplace health and safety incidents and </w:t>
      </w:r>
      <w:r w:rsidR="009E01A9" w:rsidRPr="00DF3006">
        <w:rPr>
          <w:color w:val="414042" w:themeColor="text1"/>
          <w:spacing w:val="-4"/>
        </w:rPr>
        <w:t>three</w:t>
      </w:r>
      <w:r w:rsidRPr="00DF3006">
        <w:rPr>
          <w:color w:val="414042" w:themeColor="text1"/>
          <w:spacing w:val="-4"/>
        </w:rPr>
        <w:t xml:space="preserve"> </w:t>
      </w:r>
      <w:proofErr w:type="spellStart"/>
      <w:r w:rsidRPr="00DF3006">
        <w:rPr>
          <w:color w:val="414042" w:themeColor="text1"/>
          <w:spacing w:val="-4"/>
        </w:rPr>
        <w:t>WorkCover</w:t>
      </w:r>
      <w:proofErr w:type="spellEnd"/>
      <w:r w:rsidRPr="00DF3006">
        <w:rPr>
          <w:color w:val="414042" w:themeColor="text1"/>
          <w:spacing w:val="-4"/>
        </w:rPr>
        <w:t xml:space="preserve"> claims.</w:t>
      </w:r>
      <w:r w:rsidR="0018391C" w:rsidRPr="00DF3006">
        <w:rPr>
          <w:color w:val="414042" w:themeColor="text1"/>
          <w:spacing w:val="-4"/>
        </w:rPr>
        <w:t xml:space="preserve"> </w:t>
      </w:r>
      <w:r w:rsidRPr="00DF3006">
        <w:rPr>
          <w:color w:val="414042" w:themeColor="text1"/>
        </w:rPr>
        <w:t xml:space="preserve">We also provided </w:t>
      </w:r>
      <w:r w:rsidR="001F4500" w:rsidRPr="00DF3006">
        <w:rPr>
          <w:color w:val="414042" w:themeColor="text1"/>
        </w:rPr>
        <w:t xml:space="preserve">a </w:t>
      </w:r>
      <w:r w:rsidRPr="00DF3006">
        <w:rPr>
          <w:color w:val="414042" w:themeColor="text1"/>
        </w:rPr>
        <w:t>rehabilitation and return-to-work program</w:t>
      </w:r>
      <w:r w:rsidR="0018391C" w:rsidRPr="00DF3006">
        <w:rPr>
          <w:color w:val="414042" w:themeColor="text1"/>
        </w:rPr>
        <w:t xml:space="preserve"> for one </w:t>
      </w:r>
      <w:r w:rsidRPr="00DF3006">
        <w:rPr>
          <w:color w:val="414042" w:themeColor="text1"/>
        </w:rPr>
        <w:t>employee.</w:t>
      </w:r>
    </w:p>
    <w:p w14:paraId="2C4F3FD9" w14:textId="77777777" w:rsidR="004B5DD3" w:rsidRPr="00DF3006" w:rsidRDefault="004B5DD3" w:rsidP="004B5DD3">
      <w:pPr>
        <w:ind w:right="-285"/>
        <w:rPr>
          <w:color w:val="414042" w:themeColor="text1"/>
          <w:spacing w:val="-4"/>
        </w:rPr>
      </w:pPr>
    </w:p>
    <w:p w14:paraId="5163D265" w14:textId="734988C3" w:rsidR="00EC1069" w:rsidRPr="00DF3006" w:rsidRDefault="00EC1069" w:rsidP="00463FBB">
      <w:pPr>
        <w:pStyle w:val="Heading4b"/>
      </w:pPr>
      <w:r w:rsidRPr="00DF3006">
        <w:t>Figure 22: Workplace incidents, WorkCover claims and rehabilitation and return-to-work programs</w:t>
      </w:r>
      <w:r w:rsidR="00A368B5" w:rsidRPr="00DF3006">
        <w:drawing>
          <wp:inline distT="0" distB="0" distL="0" distR="0" wp14:anchorId="67109A99" wp14:editId="47C35B4F">
            <wp:extent cx="2834640" cy="3503981"/>
            <wp:effectExtent l="0" t="0" r="0" b="0"/>
            <wp:docPr id="692" name="Chart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756182F0" w14:textId="50F58485" w:rsidR="004B5DD3" w:rsidRPr="00DF3006" w:rsidRDefault="00A368B5" w:rsidP="00E6066A">
      <w:pPr>
        <w:pStyle w:val="Heading3"/>
      </w:pPr>
      <w:r w:rsidRPr="00DF3006">
        <w:t>E</w:t>
      </w:r>
      <w:r w:rsidR="004B5DD3" w:rsidRPr="00DF3006">
        <w:t>arly retirement, redundancy and retrenchment</w:t>
      </w:r>
    </w:p>
    <w:p w14:paraId="38E938CF" w14:textId="77777777" w:rsidR="004B5DD3" w:rsidRPr="00DF3006" w:rsidRDefault="004B5DD3" w:rsidP="004B5DD3">
      <w:pPr>
        <w:rPr>
          <w:color w:val="414042" w:themeColor="text1"/>
        </w:rPr>
      </w:pPr>
      <w:r w:rsidRPr="00DF3006">
        <w:rPr>
          <w:color w:val="414042" w:themeColor="text1"/>
        </w:rPr>
        <w:t>No redundancy, early retirement or retrenchment packages were paid during the period.</w:t>
      </w:r>
    </w:p>
    <w:p w14:paraId="29CD2A69" w14:textId="77777777" w:rsidR="00EC1069" w:rsidRPr="00DF3006" w:rsidRDefault="00EC1069" w:rsidP="00561686">
      <w:pPr>
        <w:rPr>
          <w:color w:val="414042" w:themeColor="text1"/>
        </w:rPr>
      </w:pPr>
    </w:p>
    <w:p w14:paraId="4E1D7D69" w14:textId="77777777" w:rsidR="004B5DD3" w:rsidRPr="00DF3006" w:rsidRDefault="004B5DD3" w:rsidP="00561686">
      <w:pPr>
        <w:rPr>
          <w:color w:val="414042" w:themeColor="text1"/>
        </w:rPr>
      </w:pPr>
    </w:p>
    <w:p w14:paraId="115F0CFF" w14:textId="77777777" w:rsidR="004B5DD3" w:rsidRPr="00DF3006" w:rsidRDefault="004B5DD3" w:rsidP="00561686">
      <w:pPr>
        <w:rPr>
          <w:color w:val="414042" w:themeColor="text1"/>
        </w:rPr>
      </w:pPr>
    </w:p>
    <w:p w14:paraId="4FC58CD3" w14:textId="77777777" w:rsidR="004B5DD3" w:rsidRPr="00DF3006" w:rsidRDefault="004B5DD3" w:rsidP="00561686">
      <w:pPr>
        <w:rPr>
          <w:color w:val="414042" w:themeColor="text1"/>
        </w:rPr>
      </w:pPr>
    </w:p>
    <w:p w14:paraId="4B455903" w14:textId="06824CB6" w:rsidR="004B5DD3" w:rsidRPr="00DF3006" w:rsidRDefault="004B5DD3" w:rsidP="00561686">
      <w:pPr>
        <w:rPr>
          <w:color w:val="414042" w:themeColor="text1"/>
        </w:rPr>
        <w:sectPr w:rsidR="004B5DD3" w:rsidRPr="00DF3006" w:rsidSect="00C77834">
          <w:headerReference w:type="even" r:id="rId261"/>
          <w:headerReference w:type="default" r:id="rId262"/>
          <w:headerReference w:type="first" r:id="rId263"/>
          <w:pgSz w:w="11906" w:h="16838" w:code="9"/>
          <w:pgMar w:top="2155" w:right="1134" w:bottom="964" w:left="1134" w:header="720" w:footer="284" w:gutter="0"/>
          <w:cols w:num="2" w:space="567"/>
          <w:noEndnote/>
          <w:docGrid w:linePitch="272"/>
        </w:sectPr>
      </w:pPr>
    </w:p>
    <w:p w14:paraId="1CFBE78C" w14:textId="77777777" w:rsidR="00561686" w:rsidRPr="00DF3006" w:rsidRDefault="00561686" w:rsidP="00561686">
      <w:pPr>
        <w:pStyle w:val="Heading2"/>
        <w:sectPr w:rsidR="00561686" w:rsidRPr="00DF3006" w:rsidSect="00C77834">
          <w:type w:val="continuous"/>
          <w:pgSz w:w="11906" w:h="16838" w:code="9"/>
          <w:pgMar w:top="2155" w:right="1134" w:bottom="964" w:left="1134" w:header="720" w:footer="284" w:gutter="0"/>
          <w:cols w:space="567"/>
          <w:noEndnote/>
          <w:docGrid w:linePitch="272"/>
        </w:sectPr>
      </w:pPr>
      <w:bookmarkStart w:id="1578" w:name="_Our_governance_and"/>
      <w:bookmarkStart w:id="1579" w:name="_Hlk109922130"/>
      <w:bookmarkStart w:id="1580" w:name="_Toc102038066"/>
      <w:bookmarkStart w:id="1581" w:name="_Toc102038427"/>
      <w:bookmarkStart w:id="1582" w:name="_Toc102038788"/>
      <w:bookmarkStart w:id="1583" w:name="_Toc102039140"/>
      <w:bookmarkStart w:id="1584" w:name="_Toc102039489"/>
      <w:bookmarkStart w:id="1585" w:name="_Toc102039851"/>
      <w:bookmarkStart w:id="1586" w:name="_Toc102040208"/>
      <w:bookmarkStart w:id="1587" w:name="_Toc102040536"/>
      <w:bookmarkStart w:id="1588" w:name="_Toc102040870"/>
      <w:bookmarkStart w:id="1589" w:name="_Toc102041198"/>
      <w:bookmarkStart w:id="1590" w:name="_Toc102041527"/>
      <w:bookmarkStart w:id="1591" w:name="_Toc102041859"/>
      <w:bookmarkStart w:id="1592" w:name="_Toc102042186"/>
      <w:bookmarkStart w:id="1593" w:name="_Toc102042516"/>
      <w:bookmarkStart w:id="1594" w:name="_Toc102045646"/>
      <w:bookmarkStart w:id="1595" w:name="_Hlk74320616"/>
      <w:bookmarkStart w:id="1596" w:name="_Hlk76025605"/>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DF3006">
        <w:lastRenderedPageBreak/>
        <w:t>Our governance and oversight</w:t>
      </w:r>
    </w:p>
    <w:p w14:paraId="06EEA7E0" w14:textId="0E04071C" w:rsidR="00561686" w:rsidRPr="00DF3006" w:rsidRDefault="00561686" w:rsidP="00E52781">
      <w:pPr>
        <w:pStyle w:val="Openingparagraph"/>
        <w:sectPr w:rsidR="00561686" w:rsidRPr="00DF3006" w:rsidSect="00C77834">
          <w:type w:val="continuous"/>
          <w:pgSz w:w="11906" w:h="16838" w:code="9"/>
          <w:pgMar w:top="2155" w:right="1134" w:bottom="964" w:left="1134" w:header="720" w:footer="284" w:gutter="0"/>
          <w:cols w:space="567"/>
          <w:noEndnote/>
          <w:docGrid w:linePitch="272"/>
        </w:sectPr>
      </w:pPr>
      <w:r w:rsidRPr="00DF3006">
        <w:t xml:space="preserve">The CCC’s </w:t>
      </w:r>
      <w:r w:rsidR="004B6AC2" w:rsidRPr="00DF3006">
        <w:rPr>
          <w:i/>
          <w:iCs/>
        </w:rPr>
        <w:t>Governance Framework</w:t>
      </w:r>
      <w:r w:rsidRPr="00DF3006">
        <w:t xml:space="preserve"> establishes the principles, </w:t>
      </w:r>
      <w:proofErr w:type="spellStart"/>
      <w:r w:rsidRPr="00DF3006">
        <w:t>behaviours</w:t>
      </w:r>
      <w:proofErr w:type="spellEnd"/>
      <w:r w:rsidRPr="00DF3006">
        <w:t xml:space="preserve"> and processes that guide our work. Good corporate governance not only supports good decision-making, </w:t>
      </w:r>
      <w:proofErr w:type="gramStart"/>
      <w:r w:rsidRPr="00DF3006">
        <w:t>it</w:t>
      </w:r>
      <w:proofErr w:type="gramEnd"/>
      <w:r w:rsidRPr="00DF3006">
        <w:t xml:space="preserve"> also helps us identify ways to improve our business processes and internal culture.</w:t>
      </w:r>
      <w:bookmarkStart w:id="1597" w:name="govandoversight"/>
      <w:bookmarkStart w:id="1598" w:name="_Hlk76025474"/>
      <w:bookmarkEnd w:id="1579"/>
      <w:bookmarkEnd w:id="1597"/>
    </w:p>
    <w:p w14:paraId="0CAAF0D4" w14:textId="77777777" w:rsidR="00561686" w:rsidRPr="00DF3006" w:rsidRDefault="00561686" w:rsidP="00561686">
      <w:pPr>
        <w:pStyle w:val="Openingparagraph"/>
        <w:sectPr w:rsidR="00561686" w:rsidRPr="00DF3006" w:rsidSect="00C77834">
          <w:type w:val="continuous"/>
          <w:pgSz w:w="11906" w:h="16838" w:code="9"/>
          <w:pgMar w:top="2155" w:right="1134" w:bottom="964" w:left="1134" w:header="720" w:footer="284" w:gutter="0"/>
          <w:cols w:num="2" w:space="567"/>
          <w:noEndnote/>
          <w:docGrid w:linePitch="272"/>
        </w:sectPr>
      </w:pPr>
    </w:p>
    <w:p w14:paraId="14E5AE30" w14:textId="27E2E7BA" w:rsidR="00561686" w:rsidRPr="00DF3006" w:rsidRDefault="00561686" w:rsidP="00561686">
      <w:pPr>
        <w:rPr>
          <w:b/>
          <w:bCs/>
          <w:color w:val="414042" w:themeColor="text1"/>
        </w:rPr>
      </w:pPr>
      <w:r w:rsidRPr="00DF3006">
        <w:rPr>
          <w:color w:val="414042" w:themeColor="text1"/>
        </w:rPr>
        <w:t xml:space="preserve">The CCC’s </w:t>
      </w:r>
      <w:r w:rsidR="004B6AC2" w:rsidRPr="00DF3006">
        <w:rPr>
          <w:i/>
          <w:iCs/>
          <w:color w:val="414042" w:themeColor="text1"/>
        </w:rPr>
        <w:t>Governance Framework</w:t>
      </w:r>
      <w:r w:rsidR="004B6AC2" w:rsidRPr="00DF3006">
        <w:rPr>
          <w:color w:val="414042" w:themeColor="text1"/>
        </w:rPr>
        <w:t xml:space="preserve"> </w:t>
      </w:r>
      <w:r w:rsidRPr="00DF3006">
        <w:rPr>
          <w:color w:val="414042" w:themeColor="text1"/>
        </w:rPr>
        <w:t>includes the following elements:</w:t>
      </w:r>
    </w:p>
    <w:p w14:paraId="4A58319E"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Leadership —</w:t>
      </w:r>
      <w:r w:rsidRPr="00DF3006">
        <w:rPr>
          <w:color w:val="414042" w:themeColor="text1"/>
        </w:rPr>
        <w:t xml:space="preserve"> We communicate a shared vision for the future and our decisions are guided by our strategic objectives.</w:t>
      </w:r>
    </w:p>
    <w:p w14:paraId="34744D7F"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Culture —</w:t>
      </w:r>
      <w:r w:rsidRPr="00DF3006">
        <w:rPr>
          <w:color w:val="414042" w:themeColor="text1"/>
        </w:rPr>
        <w:t xml:space="preserve"> We are a values-led agency, and we work together to achieve results for the people of Queensland.</w:t>
      </w:r>
    </w:p>
    <w:p w14:paraId="6CCDC578"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 xml:space="preserve">Expectations — </w:t>
      </w:r>
      <w:r w:rsidRPr="00DF3006">
        <w:rPr>
          <w:color w:val="414042" w:themeColor="text1"/>
        </w:rPr>
        <w:t>We set clear expectations for all staff, supported by robust internal controls.</w:t>
      </w:r>
    </w:p>
    <w:p w14:paraId="2D1D7F9C"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Risk management —</w:t>
      </w:r>
      <w:r w:rsidRPr="00DF3006">
        <w:rPr>
          <w:color w:val="414042" w:themeColor="text1"/>
        </w:rPr>
        <w:t xml:space="preserve"> We actively manage risk and maximise opportunities for improvement.</w:t>
      </w:r>
    </w:p>
    <w:p w14:paraId="5FB5569E"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Service —</w:t>
      </w:r>
      <w:r w:rsidRPr="00DF3006">
        <w:rPr>
          <w:color w:val="414042" w:themeColor="text1"/>
        </w:rPr>
        <w:t xml:space="preserve"> We value our customers and use our resources to engage and innovate.</w:t>
      </w:r>
    </w:p>
    <w:p w14:paraId="13B3A1CB" w14:textId="13B878C8" w:rsidR="00561686" w:rsidRPr="00DF3006" w:rsidRDefault="00561686" w:rsidP="00A368B5">
      <w:pPr>
        <w:pStyle w:val="Bullets"/>
        <w:rPr>
          <w:color w:val="414042" w:themeColor="text1"/>
        </w:rPr>
      </w:pPr>
      <w:r w:rsidRPr="00DF3006">
        <w:rPr>
          <w:rFonts w:asciiTheme="minorHAnsi" w:hAnsiTheme="minorHAnsi" w:cstheme="minorHAnsi"/>
          <w:b/>
          <w:color w:val="414042" w:themeColor="text1"/>
        </w:rPr>
        <w:t>Performance management —</w:t>
      </w:r>
      <w:r w:rsidRPr="00DF3006">
        <w:rPr>
          <w:color w:val="414042" w:themeColor="text1"/>
        </w:rPr>
        <w:t xml:space="preserve"> We are accountable for our performance, as individuals and as an agency.</w:t>
      </w:r>
    </w:p>
    <w:p w14:paraId="6D529480" w14:textId="77777777" w:rsidR="00561686" w:rsidRPr="00DF3006" w:rsidRDefault="00561686" w:rsidP="00E6066A">
      <w:pPr>
        <w:pStyle w:val="Heading3"/>
      </w:pPr>
      <w:bookmarkStart w:id="1599" w:name="_Toc102038061"/>
      <w:bookmarkStart w:id="1600" w:name="_Toc102038422"/>
      <w:bookmarkStart w:id="1601" w:name="_Toc102038783"/>
      <w:bookmarkStart w:id="1602" w:name="_Toc102039135"/>
      <w:bookmarkStart w:id="1603" w:name="_Toc102039484"/>
      <w:bookmarkStart w:id="1604" w:name="_Toc102039846"/>
      <w:bookmarkStart w:id="1605" w:name="_Toc102040203"/>
      <w:bookmarkStart w:id="1606" w:name="_Toc102040531"/>
      <w:bookmarkStart w:id="1607" w:name="_Toc102040865"/>
      <w:bookmarkStart w:id="1608" w:name="_Toc102041193"/>
      <w:bookmarkStart w:id="1609" w:name="_Toc102041522"/>
      <w:bookmarkStart w:id="1610" w:name="_Toc102041854"/>
      <w:bookmarkStart w:id="1611" w:name="_Toc102042181"/>
      <w:bookmarkStart w:id="1612" w:name="_Toc102042511"/>
      <w:bookmarkStart w:id="1613" w:name="_Toc102045641"/>
      <w:r w:rsidRPr="00DF3006">
        <w:t>Governance Committees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1417F5B4" w14:textId="77777777" w:rsidR="00561686" w:rsidRPr="00DF3006" w:rsidRDefault="00561686" w:rsidP="00463FBB">
      <w:pPr>
        <w:pStyle w:val="Heading4"/>
      </w:pPr>
      <w:bookmarkStart w:id="1614" w:name="_Toc102038062"/>
      <w:bookmarkStart w:id="1615" w:name="_Toc102038423"/>
      <w:bookmarkStart w:id="1616" w:name="_Toc102038784"/>
      <w:bookmarkStart w:id="1617" w:name="_Toc102039136"/>
      <w:bookmarkStart w:id="1618" w:name="_Toc102039485"/>
      <w:bookmarkStart w:id="1619" w:name="_Toc102039847"/>
      <w:bookmarkStart w:id="1620" w:name="_Toc102040204"/>
      <w:bookmarkStart w:id="1621" w:name="_Toc102040532"/>
      <w:bookmarkStart w:id="1622" w:name="_Toc102040866"/>
      <w:bookmarkStart w:id="1623" w:name="_Toc102041194"/>
      <w:bookmarkStart w:id="1624" w:name="_Toc102041523"/>
      <w:bookmarkStart w:id="1625" w:name="_Toc102041855"/>
      <w:bookmarkStart w:id="1626" w:name="_Toc102042182"/>
      <w:bookmarkStart w:id="1627" w:name="_Toc102042512"/>
      <w:bookmarkStart w:id="1628" w:name="_Toc102045642"/>
      <w:r w:rsidRPr="00DF3006">
        <w:t>Executive Leadership Team</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7639AFF6" w14:textId="1EC5C40C" w:rsidR="00561686" w:rsidRPr="00DF3006" w:rsidRDefault="00561686" w:rsidP="00561686">
      <w:pPr>
        <w:rPr>
          <w:color w:val="414042" w:themeColor="text1"/>
        </w:rPr>
      </w:pPr>
      <w:r w:rsidRPr="00DF3006">
        <w:rPr>
          <w:color w:val="414042" w:themeColor="text1"/>
        </w:rPr>
        <w:t>The ELT supports the</w:t>
      </w:r>
      <w:r w:rsidR="001F4500" w:rsidRPr="00DF3006">
        <w:rPr>
          <w:color w:val="414042" w:themeColor="text1"/>
        </w:rPr>
        <w:t xml:space="preserve"> Chairperson and</w:t>
      </w:r>
      <w:r w:rsidRPr="00DF3006">
        <w:rPr>
          <w:color w:val="414042" w:themeColor="text1"/>
        </w:rPr>
        <w:t xml:space="preserve"> Commission by providing advice, leading </w:t>
      </w:r>
      <w:proofErr w:type="gramStart"/>
      <w:r w:rsidRPr="00DF3006">
        <w:rPr>
          <w:color w:val="414042" w:themeColor="text1"/>
        </w:rPr>
        <w:t>discussions</w:t>
      </w:r>
      <w:proofErr w:type="gramEnd"/>
      <w:r w:rsidRPr="00DF3006">
        <w:rPr>
          <w:color w:val="414042" w:themeColor="text1"/>
        </w:rPr>
        <w:t xml:space="preserve"> and making recommendations on strategic and operational matters that are critical to our performance. The ELT is responsible for:</w:t>
      </w:r>
    </w:p>
    <w:p w14:paraId="1E206BB4"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Strategic oversight —</w:t>
      </w:r>
      <w:r w:rsidRPr="00DF3006">
        <w:rPr>
          <w:b/>
          <w:color w:val="414042" w:themeColor="text1"/>
        </w:rPr>
        <w:t xml:space="preserve"> </w:t>
      </w:r>
      <w:r w:rsidRPr="00DF3006">
        <w:rPr>
          <w:color w:val="414042" w:themeColor="text1"/>
        </w:rPr>
        <w:t>understanding the CCC’s operating environment, identifying strategic risks and issues, and steering the organisation towards achievement of strategic goals and objectives.</w:t>
      </w:r>
    </w:p>
    <w:p w14:paraId="5CD08B44" w14:textId="6A9B8D56" w:rsidR="00561686" w:rsidRPr="00DF3006" w:rsidRDefault="00561686">
      <w:pPr>
        <w:pStyle w:val="Bullets"/>
        <w:rPr>
          <w:color w:val="414042" w:themeColor="text1"/>
        </w:rPr>
      </w:pPr>
      <w:r w:rsidRPr="00DF3006">
        <w:rPr>
          <w:rFonts w:asciiTheme="minorHAnsi" w:hAnsiTheme="minorHAnsi" w:cstheme="minorHAnsi"/>
          <w:b/>
          <w:color w:val="414042" w:themeColor="text1"/>
        </w:rPr>
        <w:t>Corporate leadership —</w:t>
      </w:r>
      <w:r w:rsidRPr="00DF3006">
        <w:rPr>
          <w:b/>
          <w:color w:val="414042" w:themeColor="text1"/>
        </w:rPr>
        <w:t xml:space="preserve"> </w:t>
      </w:r>
      <w:r w:rsidRPr="00DF3006">
        <w:rPr>
          <w:color w:val="414042" w:themeColor="text1"/>
        </w:rPr>
        <w:t xml:space="preserve">guiding strategic and operational activities, setting the tone for how things are done and driving good governance through oversight of the CCC’s </w:t>
      </w:r>
      <w:r w:rsidR="004B6AC2" w:rsidRPr="00DF3006">
        <w:rPr>
          <w:i/>
          <w:iCs/>
          <w:color w:val="414042" w:themeColor="text1"/>
        </w:rPr>
        <w:t>Governance Framework</w:t>
      </w:r>
      <w:r w:rsidRPr="00DF3006">
        <w:rPr>
          <w:color w:val="414042" w:themeColor="text1"/>
        </w:rPr>
        <w:t>.</w:t>
      </w:r>
    </w:p>
    <w:p w14:paraId="477B965B" w14:textId="2088BF4A" w:rsidR="00561686" w:rsidRPr="00DF3006" w:rsidRDefault="00561686">
      <w:pPr>
        <w:pStyle w:val="Bullets"/>
        <w:rPr>
          <w:color w:val="414042" w:themeColor="text1"/>
          <w:spacing w:val="-4"/>
        </w:rPr>
      </w:pPr>
      <w:r w:rsidRPr="00DF3006">
        <w:rPr>
          <w:rFonts w:asciiTheme="minorHAnsi" w:hAnsiTheme="minorHAnsi" w:cstheme="minorHAnsi"/>
          <w:b/>
          <w:color w:val="414042" w:themeColor="text1"/>
          <w:spacing w:val="-4"/>
        </w:rPr>
        <w:t>Portfolio assessment —</w:t>
      </w:r>
      <w:r w:rsidRPr="00DF3006">
        <w:rPr>
          <w:b/>
          <w:color w:val="414042" w:themeColor="text1"/>
          <w:spacing w:val="-4"/>
        </w:rPr>
        <w:t xml:space="preserve"> </w:t>
      </w:r>
      <w:r w:rsidRPr="00DF3006">
        <w:rPr>
          <w:color w:val="414042" w:themeColor="text1"/>
          <w:spacing w:val="-4"/>
        </w:rPr>
        <w:t xml:space="preserve">setting priorities in alignment with strategic goals and objectives, endorsing investigations for decision-maker </w:t>
      </w:r>
      <w:r w:rsidRPr="00DF3006">
        <w:rPr>
          <w:color w:val="414042" w:themeColor="text1"/>
          <w:spacing w:val="-4"/>
        </w:rPr>
        <w:t xml:space="preserve">approval, and approving projects (including resource allocation). </w:t>
      </w:r>
      <w:bookmarkStart w:id="1629" w:name="_Hlk136261672"/>
      <w:r w:rsidR="0060572C" w:rsidRPr="00DF3006">
        <w:rPr>
          <w:color w:val="414042" w:themeColor="text1"/>
          <w:spacing w:val="-4"/>
        </w:rPr>
        <w:t xml:space="preserve">This also includes assessing complaints assessed as meeting the elements of serious, </w:t>
      </w:r>
      <w:proofErr w:type="gramStart"/>
      <w:r w:rsidR="0060572C" w:rsidRPr="00DF3006">
        <w:rPr>
          <w:color w:val="414042" w:themeColor="text1"/>
          <w:spacing w:val="-4"/>
        </w:rPr>
        <w:t>systemic</w:t>
      </w:r>
      <w:proofErr w:type="gramEnd"/>
      <w:r w:rsidR="0060572C" w:rsidRPr="00DF3006">
        <w:rPr>
          <w:color w:val="414042" w:themeColor="text1"/>
          <w:spacing w:val="-4"/>
        </w:rPr>
        <w:t xml:space="preserve"> and strategic in accordance with the Complaints Assessment Model. </w:t>
      </w:r>
      <w:bookmarkEnd w:id="1629"/>
    </w:p>
    <w:p w14:paraId="6B43F50D" w14:textId="77777777" w:rsidR="00561686" w:rsidRPr="00DF3006" w:rsidRDefault="00561686">
      <w:pPr>
        <w:pStyle w:val="Bullets"/>
        <w:rPr>
          <w:color w:val="414042" w:themeColor="text1"/>
        </w:rPr>
      </w:pPr>
      <w:r w:rsidRPr="00DF3006">
        <w:rPr>
          <w:rFonts w:asciiTheme="minorHAnsi" w:hAnsiTheme="minorHAnsi" w:cstheme="minorHAnsi"/>
          <w:b/>
          <w:color w:val="414042" w:themeColor="text1"/>
        </w:rPr>
        <w:t>Portfolio review —</w:t>
      </w:r>
      <w:r w:rsidRPr="00DF3006">
        <w:rPr>
          <w:b/>
          <w:color w:val="414042" w:themeColor="text1"/>
        </w:rPr>
        <w:t xml:space="preserve"> </w:t>
      </w:r>
      <w:r w:rsidRPr="00DF3006">
        <w:rPr>
          <w:color w:val="414042" w:themeColor="text1"/>
        </w:rPr>
        <w:t>analysing business activity and optimising the focus of CCC investment by regular oversight of approved investigations and projects.</w:t>
      </w:r>
    </w:p>
    <w:p w14:paraId="291CE551" w14:textId="77777777" w:rsidR="00561686" w:rsidRPr="00DF3006" w:rsidRDefault="00561686" w:rsidP="00561686">
      <w:pPr>
        <w:rPr>
          <w:color w:val="414042" w:themeColor="text1"/>
        </w:rPr>
      </w:pPr>
      <w:r w:rsidRPr="00DF3006">
        <w:rPr>
          <w:color w:val="414042" w:themeColor="text1"/>
        </w:rPr>
        <w:t>Membership of the ELT includes the Chairperson, CEO, Senior Executive Officer (Corruption), Senior Executive Officer (Crime), General Manager, Operations Support and General Manager, Strategy and Renewal.</w:t>
      </w:r>
    </w:p>
    <w:p w14:paraId="549615FD" w14:textId="77777777" w:rsidR="00561686" w:rsidRPr="00DF3006" w:rsidRDefault="00561686" w:rsidP="00463FBB">
      <w:pPr>
        <w:pStyle w:val="Heading4"/>
      </w:pPr>
      <w:r w:rsidRPr="00DF3006">
        <w:t>Budget Management Committee</w:t>
      </w:r>
    </w:p>
    <w:p w14:paraId="1CD66247" w14:textId="3F1741D1" w:rsidR="00561686" w:rsidRPr="00DF3006" w:rsidRDefault="00561686" w:rsidP="00561686">
      <w:pPr>
        <w:rPr>
          <w:color w:val="414042" w:themeColor="text1"/>
        </w:rPr>
      </w:pPr>
      <w:r w:rsidRPr="00DF3006">
        <w:rPr>
          <w:color w:val="414042" w:themeColor="text1"/>
        </w:rPr>
        <w:t xml:space="preserve">The Budget Management Committee </w:t>
      </w:r>
      <w:r w:rsidR="002E5C1B" w:rsidRPr="00DF3006">
        <w:rPr>
          <w:color w:val="414042" w:themeColor="text1"/>
        </w:rPr>
        <w:t xml:space="preserve">(BMC) </w:t>
      </w:r>
      <w:r w:rsidRPr="00DF3006">
        <w:rPr>
          <w:color w:val="414042" w:themeColor="text1"/>
        </w:rPr>
        <w:t xml:space="preserve">is a sub‐committee of the ELT and assists the </w:t>
      </w:r>
      <w:r w:rsidR="001F4500" w:rsidRPr="00DF3006">
        <w:rPr>
          <w:color w:val="414042" w:themeColor="text1"/>
        </w:rPr>
        <w:t xml:space="preserve">CEO </w:t>
      </w:r>
      <w:r w:rsidRPr="00DF3006">
        <w:rPr>
          <w:color w:val="414042" w:themeColor="text1"/>
        </w:rPr>
        <w:t xml:space="preserve">and the </w:t>
      </w:r>
      <w:r w:rsidR="001F4500" w:rsidRPr="00DF3006">
        <w:rPr>
          <w:color w:val="414042" w:themeColor="text1"/>
        </w:rPr>
        <w:t xml:space="preserve">Chairperson </w:t>
      </w:r>
      <w:r w:rsidRPr="00DF3006">
        <w:rPr>
          <w:color w:val="414042" w:themeColor="text1"/>
        </w:rPr>
        <w:t xml:space="preserve">in </w:t>
      </w:r>
      <w:r w:rsidR="001F4500" w:rsidRPr="00DF3006">
        <w:rPr>
          <w:color w:val="414042" w:themeColor="text1"/>
        </w:rPr>
        <w:t xml:space="preserve">their </w:t>
      </w:r>
      <w:r w:rsidRPr="00DF3006">
        <w:rPr>
          <w:color w:val="414042" w:themeColor="text1"/>
        </w:rPr>
        <w:t>responsibilities related to financial management.</w:t>
      </w:r>
    </w:p>
    <w:p w14:paraId="67850FB0" w14:textId="7072DE54" w:rsidR="00561686" w:rsidRPr="00DF3006" w:rsidRDefault="00561686" w:rsidP="00561686">
      <w:pPr>
        <w:rPr>
          <w:color w:val="414042" w:themeColor="text1"/>
        </w:rPr>
      </w:pPr>
      <w:r w:rsidRPr="00DF3006">
        <w:rPr>
          <w:color w:val="414042" w:themeColor="text1"/>
        </w:rPr>
        <w:t xml:space="preserve"> The committee acts as a review body over the financial and budget processes of the CCC.</w:t>
      </w:r>
    </w:p>
    <w:p w14:paraId="76B7C13B" w14:textId="77777777" w:rsidR="00561686" w:rsidRPr="00DF3006" w:rsidRDefault="00561686" w:rsidP="00561686">
      <w:pPr>
        <w:rPr>
          <w:color w:val="414042" w:themeColor="text1"/>
        </w:rPr>
      </w:pPr>
      <w:bookmarkStart w:id="1630" w:name="_Toc102038063"/>
      <w:bookmarkStart w:id="1631" w:name="_Toc102038424"/>
      <w:bookmarkStart w:id="1632" w:name="_Toc102038785"/>
      <w:bookmarkStart w:id="1633" w:name="_Toc102039137"/>
      <w:bookmarkStart w:id="1634" w:name="_Toc102039486"/>
      <w:bookmarkStart w:id="1635" w:name="_Toc102039848"/>
      <w:bookmarkStart w:id="1636" w:name="_Toc102040205"/>
      <w:bookmarkStart w:id="1637" w:name="_Toc102040533"/>
      <w:bookmarkStart w:id="1638" w:name="_Toc102040867"/>
      <w:bookmarkStart w:id="1639" w:name="_Toc102041195"/>
      <w:bookmarkStart w:id="1640" w:name="_Toc102041524"/>
      <w:bookmarkStart w:id="1641" w:name="_Toc102041856"/>
      <w:bookmarkStart w:id="1642" w:name="_Toc102042183"/>
      <w:bookmarkStart w:id="1643" w:name="_Toc102042513"/>
      <w:bookmarkStart w:id="1644" w:name="_Toc102045643"/>
      <w:r w:rsidRPr="00DF3006">
        <w:rPr>
          <w:noProof/>
          <w:color w:val="414042" w:themeColor="text1"/>
        </w:rPr>
        <mc:AlternateContent>
          <mc:Choice Requires="wps">
            <w:drawing>
              <wp:anchor distT="45720" distB="45720" distL="114300" distR="114300" simplePos="0" relativeHeight="252332032" behindDoc="1" locked="0" layoutInCell="1" allowOverlap="1" wp14:anchorId="5B18FD51" wp14:editId="575B05E3">
                <wp:simplePos x="0" y="0"/>
                <wp:positionH relativeFrom="margin">
                  <wp:align>right</wp:align>
                </wp:positionH>
                <wp:positionV relativeFrom="topMargin">
                  <wp:align>bottom</wp:align>
                </wp:positionV>
                <wp:extent cx="6116320" cy="638175"/>
                <wp:effectExtent l="0" t="0" r="0" b="0"/>
                <wp:wrapSquare wrapText="bothSides"/>
                <wp:docPr id="1756626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38175"/>
                        </a:xfrm>
                        <a:prstGeom prst="rect">
                          <a:avLst/>
                        </a:prstGeom>
                        <a:noFill/>
                        <a:ln w="9525">
                          <a:noFill/>
                          <a:miter lim="800000"/>
                          <a:headEnd/>
                          <a:tailEnd/>
                        </a:ln>
                      </wps:spPr>
                      <wps:txbx>
                        <w:txbxContent>
                          <w:p w14:paraId="3BDD0F2C" w14:textId="77777777" w:rsidR="00561686" w:rsidRDefault="00561686" w:rsidP="00561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FD51" id="Text Box 2" o:spid="_x0000_s1037" type="#_x0000_t202" style="position:absolute;margin-left:430.4pt;margin-top:0;width:481.6pt;height:50.25pt;z-index:-25098444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" filled="f" stroked="f">
                <v:textbox>
                  <w:txbxContent>
                    <w:p w14:paraId="3BDD0F2C" w14:textId="77777777" w:rsidR="00561686" w:rsidRDefault="00561686" w:rsidP="00561686"/>
                  </w:txbxContent>
                </v:textbox>
                <w10:wrap type="square" anchorx="margin" anchory="margin"/>
              </v:shape>
            </w:pict>
          </mc:Fallback>
        </mc:AlternateContent>
      </w:r>
      <w:r w:rsidRPr="00DF3006">
        <w:rPr>
          <w:color w:val="414042" w:themeColor="text1"/>
        </w:rPr>
        <w:t>The Budget Management Committee comprises the ELT and the Chief Finance Officer.</w:t>
      </w:r>
    </w:p>
    <w:p w14:paraId="027CDCAA" w14:textId="77777777" w:rsidR="00561686" w:rsidRPr="00DF3006" w:rsidRDefault="00561686" w:rsidP="00463FBB">
      <w:pPr>
        <w:pStyle w:val="Heading4"/>
      </w:pPr>
      <w:bookmarkStart w:id="1645" w:name="_Toc102038064"/>
      <w:bookmarkStart w:id="1646" w:name="_Toc102038425"/>
      <w:bookmarkStart w:id="1647" w:name="_Toc102038786"/>
      <w:bookmarkStart w:id="1648" w:name="_Toc102039138"/>
      <w:bookmarkStart w:id="1649" w:name="_Toc102039487"/>
      <w:bookmarkStart w:id="1650" w:name="_Toc102039849"/>
      <w:bookmarkStart w:id="1651" w:name="_Toc102040206"/>
      <w:bookmarkStart w:id="1652" w:name="_Toc102040534"/>
      <w:bookmarkStart w:id="1653" w:name="_Toc102040868"/>
      <w:bookmarkStart w:id="1654" w:name="_Toc102041196"/>
      <w:bookmarkStart w:id="1655" w:name="_Toc102041525"/>
      <w:bookmarkStart w:id="1656" w:name="_Toc102041857"/>
      <w:bookmarkStart w:id="1657" w:name="_Toc102042184"/>
      <w:bookmarkStart w:id="1658" w:name="_Toc102042514"/>
      <w:bookmarkStart w:id="1659" w:name="_Toc102045644"/>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DF3006">
        <w:t>Organisational Safety and Wellbeing Committee</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0B2A0C59" w14:textId="77777777" w:rsidR="00561686" w:rsidRPr="00DF3006" w:rsidRDefault="00561686" w:rsidP="00561686">
      <w:pPr>
        <w:rPr>
          <w:color w:val="414042" w:themeColor="text1"/>
          <w:spacing w:val="-4"/>
        </w:rPr>
      </w:pPr>
      <w:r w:rsidRPr="00DF3006">
        <w:rPr>
          <w:color w:val="414042" w:themeColor="text1"/>
          <w:spacing w:val="-4"/>
        </w:rPr>
        <w:t>The Organisational Safety and Wellbeing (</w:t>
      </w:r>
      <w:proofErr w:type="spellStart"/>
      <w:r w:rsidRPr="00DF3006">
        <w:rPr>
          <w:color w:val="414042" w:themeColor="text1"/>
          <w:spacing w:val="-4"/>
        </w:rPr>
        <w:t>OS&amp;W</w:t>
      </w:r>
      <w:proofErr w:type="spellEnd"/>
      <w:r w:rsidRPr="00DF3006">
        <w:rPr>
          <w:color w:val="414042" w:themeColor="text1"/>
          <w:spacing w:val="-4"/>
        </w:rPr>
        <w:t xml:space="preserve">) Committee is </w:t>
      </w:r>
      <w:r w:rsidRPr="00DF3006">
        <w:rPr>
          <w:color w:val="414042" w:themeColor="text1"/>
        </w:rPr>
        <w:t>responsible</w:t>
      </w:r>
      <w:r w:rsidRPr="00DF3006">
        <w:rPr>
          <w:color w:val="414042" w:themeColor="text1"/>
          <w:spacing w:val="-4"/>
        </w:rPr>
        <w:t xml:space="preserve"> for providing a focal point for staff participation in the CCC’s safety and wellbeing program and assisting the CCC to meet its legislative requirements under the </w:t>
      </w:r>
      <w:r w:rsidRPr="00DF3006">
        <w:rPr>
          <w:i/>
          <w:iCs/>
          <w:color w:val="414042" w:themeColor="text1"/>
          <w:spacing w:val="-4"/>
        </w:rPr>
        <w:t>Work Health and Safety Act 2011</w:t>
      </w:r>
      <w:r w:rsidRPr="00DF3006">
        <w:rPr>
          <w:color w:val="414042" w:themeColor="text1"/>
          <w:spacing w:val="-4"/>
        </w:rPr>
        <w:t>.</w:t>
      </w:r>
    </w:p>
    <w:p w14:paraId="67287AB7" w14:textId="77777777" w:rsidR="00561686" w:rsidRPr="00DF3006" w:rsidRDefault="00561686" w:rsidP="00561686">
      <w:pPr>
        <w:pStyle w:val="CommentText"/>
        <w:rPr>
          <w:color w:val="414042" w:themeColor="text1"/>
        </w:rPr>
      </w:pPr>
      <w:r w:rsidRPr="00DF3006">
        <w:rPr>
          <w:color w:val="414042" w:themeColor="text1"/>
        </w:rPr>
        <w:t xml:space="preserve">The </w:t>
      </w:r>
      <w:proofErr w:type="spellStart"/>
      <w:r w:rsidRPr="00DF3006">
        <w:rPr>
          <w:color w:val="414042" w:themeColor="text1"/>
        </w:rPr>
        <w:t>OS&amp;W</w:t>
      </w:r>
      <w:proofErr w:type="spellEnd"/>
      <w:r w:rsidRPr="00DF3006">
        <w:rPr>
          <w:color w:val="414042" w:themeColor="text1"/>
        </w:rPr>
        <w:t xml:space="preserve"> Committee acts as a review body over the safety and wellbeing processes of the CCC by:</w:t>
      </w:r>
    </w:p>
    <w:p w14:paraId="16F89AC9" w14:textId="77777777" w:rsidR="00561686" w:rsidRPr="00DF3006" w:rsidRDefault="00561686">
      <w:pPr>
        <w:pStyle w:val="Bullets"/>
        <w:rPr>
          <w:color w:val="414042" w:themeColor="text1"/>
        </w:rPr>
      </w:pPr>
      <w:r w:rsidRPr="00DF3006">
        <w:rPr>
          <w:color w:val="414042" w:themeColor="text1"/>
        </w:rPr>
        <w:t>monitoring conditions to ensure that staff safety and wellbeing are safeguarded, and</w:t>
      </w:r>
    </w:p>
    <w:p w14:paraId="5A56D32E" w14:textId="77777777" w:rsidR="00561686" w:rsidRPr="00DF3006" w:rsidRDefault="00561686">
      <w:pPr>
        <w:pStyle w:val="Bullets"/>
        <w:rPr>
          <w:color w:val="414042" w:themeColor="text1"/>
        </w:rPr>
      </w:pPr>
      <w:r w:rsidRPr="00DF3006">
        <w:rPr>
          <w:color w:val="414042" w:themeColor="text1"/>
        </w:rPr>
        <w:t>promoting a cooperative approach with regards to relevant safety and wellbeing issues.</w:t>
      </w:r>
    </w:p>
    <w:p w14:paraId="7EF4936D" w14:textId="77777777" w:rsidR="00A368B5" w:rsidRPr="00DF3006" w:rsidRDefault="00A368B5" w:rsidP="00561686">
      <w:pPr>
        <w:rPr>
          <w:color w:val="414042" w:themeColor="text1"/>
        </w:rPr>
      </w:pPr>
      <w:r w:rsidRPr="00DF3006">
        <w:rPr>
          <w:color w:val="414042" w:themeColor="text1"/>
        </w:rPr>
        <w:br w:type="page"/>
      </w:r>
    </w:p>
    <w:p w14:paraId="4FF07476" w14:textId="33D49F6B" w:rsidR="00561686" w:rsidRPr="00DF3006" w:rsidRDefault="00561686" w:rsidP="00561686">
      <w:pPr>
        <w:rPr>
          <w:color w:val="414042" w:themeColor="text1"/>
        </w:rPr>
      </w:pPr>
      <w:r w:rsidRPr="00DF3006">
        <w:rPr>
          <w:color w:val="414042" w:themeColor="text1"/>
        </w:rPr>
        <w:lastRenderedPageBreak/>
        <w:t xml:space="preserve">Committee membership comprises of both management and employee representatives from all divisions. The three management representatives are the CEO (committee Chair), the Director, Human </w:t>
      </w:r>
      <w:proofErr w:type="gramStart"/>
      <w:r w:rsidRPr="00DF3006">
        <w:rPr>
          <w:color w:val="414042" w:themeColor="text1"/>
        </w:rPr>
        <w:t>Resources</w:t>
      </w:r>
      <w:proofErr w:type="gramEnd"/>
      <w:r w:rsidRPr="00DF3006">
        <w:rPr>
          <w:color w:val="414042" w:themeColor="text1"/>
        </w:rPr>
        <w:t xml:space="preserve"> and the Safety Adviser.</w:t>
      </w:r>
      <w:bookmarkEnd w:id="1598"/>
    </w:p>
    <w:p w14:paraId="56B0AA28" w14:textId="77777777" w:rsidR="00561686" w:rsidRPr="00DF3006" w:rsidRDefault="00561686" w:rsidP="00463FBB">
      <w:pPr>
        <w:pStyle w:val="Heading4"/>
      </w:pPr>
      <w:r w:rsidRPr="00DF3006">
        <w:t>Audit and Risk Management Committee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bookmarkEnd w:id="1595"/>
    <w:bookmarkEnd w:id="1596"/>
    <w:p w14:paraId="527CB1D2" w14:textId="77777777" w:rsidR="00561686" w:rsidRPr="00DF3006" w:rsidRDefault="00561686" w:rsidP="00561686">
      <w:pPr>
        <w:rPr>
          <w:color w:val="414042" w:themeColor="text1"/>
        </w:rPr>
      </w:pPr>
      <w:r w:rsidRPr="00DF3006">
        <w:rPr>
          <w:color w:val="414042" w:themeColor="text1"/>
        </w:rPr>
        <w:t>The Audit and Risk Management Committee (ARMC) provides independent assurance on risk, internal controls, compliance with legislative and regulatory requirements, and the financial management of our agency.</w:t>
      </w:r>
    </w:p>
    <w:p w14:paraId="14BEB7B5" w14:textId="196A621A" w:rsidR="00561686" w:rsidRPr="00DF3006" w:rsidRDefault="00561686" w:rsidP="00561686">
      <w:pPr>
        <w:rPr>
          <w:color w:val="414042" w:themeColor="text1"/>
        </w:rPr>
      </w:pPr>
      <w:r w:rsidRPr="00DF3006">
        <w:rPr>
          <w:color w:val="414042" w:themeColor="text1"/>
        </w:rPr>
        <w:t xml:space="preserve">The ARMC is a five-person committee consisting of the </w:t>
      </w:r>
      <w:r w:rsidR="00171C5D" w:rsidRPr="00DF3006">
        <w:rPr>
          <w:color w:val="414042" w:themeColor="text1"/>
        </w:rPr>
        <w:t>CEO</w:t>
      </w:r>
      <w:r w:rsidRPr="00DF3006">
        <w:rPr>
          <w:color w:val="414042" w:themeColor="text1"/>
        </w:rPr>
        <w:t xml:space="preserve"> (the Commission’s nominee), two internal members and two external members, one of whom is the ARMC Chair (see </w:t>
      </w:r>
      <w:r w:rsidRPr="00DF3006">
        <w:rPr>
          <w:b/>
          <w:bCs/>
          <w:color w:val="414042" w:themeColor="text1"/>
        </w:rPr>
        <w:t>Table 11</w:t>
      </w:r>
      <w:r w:rsidRPr="00DF3006">
        <w:rPr>
          <w:color w:val="414042" w:themeColor="text1"/>
        </w:rPr>
        <w:t xml:space="preserve">). The CCC Chairperson is an ex officio member of the committee. The CCC’s Senior Internal Audit Manager and </w:t>
      </w:r>
      <w:r w:rsidR="0018391C" w:rsidRPr="00DF3006">
        <w:rPr>
          <w:color w:val="414042" w:themeColor="text1"/>
        </w:rPr>
        <w:t xml:space="preserve">Chief Financial Officer, as well as </w:t>
      </w:r>
      <w:r w:rsidRPr="00DF3006">
        <w:rPr>
          <w:color w:val="414042" w:themeColor="text1"/>
        </w:rPr>
        <w:t>representatives from the QAO</w:t>
      </w:r>
      <w:r w:rsidR="0018391C" w:rsidRPr="00DF3006">
        <w:rPr>
          <w:color w:val="414042" w:themeColor="text1"/>
        </w:rPr>
        <w:t>,</w:t>
      </w:r>
      <w:r w:rsidRPr="00DF3006">
        <w:rPr>
          <w:color w:val="414042" w:themeColor="text1"/>
        </w:rPr>
        <w:t xml:space="preserve"> have standing invitations to attend ARMC meetings.</w:t>
      </w:r>
    </w:p>
    <w:p w14:paraId="739A5C3D" w14:textId="77777777" w:rsidR="00561686" w:rsidRPr="00DF3006" w:rsidRDefault="00561686" w:rsidP="00561686">
      <w:pPr>
        <w:rPr>
          <w:color w:val="414042" w:themeColor="text1"/>
        </w:rPr>
      </w:pPr>
      <w:r w:rsidRPr="00DF3006">
        <w:rPr>
          <w:color w:val="414042" w:themeColor="text1"/>
          <w:spacing w:val="-4"/>
        </w:rPr>
        <w:br w:type="column"/>
      </w:r>
      <w:r w:rsidRPr="00DF3006">
        <w:rPr>
          <w:color w:val="414042" w:themeColor="text1"/>
        </w:rPr>
        <w:t>Key achievements for 2022–23:</w:t>
      </w:r>
    </w:p>
    <w:p w14:paraId="03D186ED" w14:textId="77777777" w:rsidR="00561686" w:rsidRPr="00DF3006" w:rsidRDefault="00561686">
      <w:pPr>
        <w:pStyle w:val="Bullets"/>
        <w:rPr>
          <w:color w:val="414042" w:themeColor="text1"/>
        </w:rPr>
      </w:pPr>
      <w:r w:rsidRPr="00DF3006">
        <w:rPr>
          <w:color w:val="414042" w:themeColor="text1"/>
        </w:rPr>
        <w:t xml:space="preserve">endorsed the CCC </w:t>
      </w:r>
      <w:r w:rsidRPr="00DF3006">
        <w:rPr>
          <w:i/>
          <w:iCs/>
          <w:color w:val="414042" w:themeColor="text1"/>
        </w:rPr>
        <w:t>Internal Audit Plan 2023–24</w:t>
      </w:r>
      <w:r w:rsidRPr="00DF3006">
        <w:rPr>
          <w:color w:val="414042" w:themeColor="text1"/>
        </w:rPr>
        <w:t xml:space="preserve">, </w:t>
      </w:r>
      <w:r w:rsidRPr="00DF3006">
        <w:rPr>
          <w:i/>
          <w:iCs/>
          <w:color w:val="414042" w:themeColor="text1"/>
        </w:rPr>
        <w:t>Strategic Internal Audit Plan 2023–27</w:t>
      </w:r>
      <w:r w:rsidRPr="00DF3006">
        <w:rPr>
          <w:color w:val="414042" w:themeColor="text1"/>
        </w:rPr>
        <w:t xml:space="preserve"> and our </w:t>
      </w:r>
      <w:r w:rsidRPr="00DF3006">
        <w:rPr>
          <w:i/>
          <w:iCs/>
          <w:color w:val="414042" w:themeColor="text1"/>
        </w:rPr>
        <w:t>Annual Financial Statements 2021–22</w:t>
      </w:r>
    </w:p>
    <w:p w14:paraId="1831E1D4" w14:textId="77777777" w:rsidR="00561686" w:rsidRPr="00DF3006" w:rsidRDefault="00561686">
      <w:pPr>
        <w:pStyle w:val="Bullets"/>
        <w:rPr>
          <w:color w:val="414042" w:themeColor="text1"/>
        </w:rPr>
      </w:pPr>
      <w:r w:rsidRPr="00DF3006">
        <w:rPr>
          <w:color w:val="414042" w:themeColor="text1"/>
        </w:rPr>
        <w:t xml:space="preserve">monitored the ongoing delivery of our Internal Audit Program 2023–24 and the progress of implementing internal audit and external review </w:t>
      </w:r>
      <w:proofErr w:type="gramStart"/>
      <w:r w:rsidRPr="00DF3006">
        <w:rPr>
          <w:color w:val="414042" w:themeColor="text1"/>
        </w:rPr>
        <w:t>recommendations</w:t>
      </w:r>
      <w:proofErr w:type="gramEnd"/>
    </w:p>
    <w:p w14:paraId="4CB1508A" w14:textId="77777777" w:rsidR="00561686" w:rsidRPr="00DF3006" w:rsidRDefault="00561686">
      <w:pPr>
        <w:pStyle w:val="Bullets"/>
        <w:rPr>
          <w:color w:val="414042" w:themeColor="text1"/>
        </w:rPr>
      </w:pPr>
      <w:r w:rsidRPr="00DF3006">
        <w:rPr>
          <w:color w:val="414042" w:themeColor="text1"/>
        </w:rPr>
        <w:t xml:space="preserve">received and considered the </w:t>
      </w:r>
      <w:r w:rsidRPr="00DF3006">
        <w:rPr>
          <w:i/>
          <w:iCs/>
          <w:color w:val="414042" w:themeColor="text1"/>
        </w:rPr>
        <w:t>QAO Closing Report 2021–22</w:t>
      </w:r>
      <w:r w:rsidRPr="00DF3006">
        <w:rPr>
          <w:color w:val="414042" w:themeColor="text1"/>
        </w:rPr>
        <w:t xml:space="preserve">, </w:t>
      </w:r>
      <w:r w:rsidRPr="00DF3006">
        <w:rPr>
          <w:i/>
          <w:iCs/>
          <w:color w:val="414042" w:themeColor="text1"/>
        </w:rPr>
        <w:t>Interim Management Report 2022–23</w:t>
      </w:r>
      <w:r w:rsidRPr="00DF3006">
        <w:rPr>
          <w:color w:val="414042" w:themeColor="text1"/>
        </w:rPr>
        <w:t xml:space="preserve"> and endorsed their </w:t>
      </w:r>
      <w:r w:rsidRPr="00DF3006">
        <w:rPr>
          <w:i/>
          <w:iCs/>
          <w:color w:val="414042" w:themeColor="text1"/>
        </w:rPr>
        <w:t>Audit Plan 2022–23</w:t>
      </w:r>
    </w:p>
    <w:p w14:paraId="496BA5C2" w14:textId="77777777" w:rsidR="00561686" w:rsidRPr="00DF3006" w:rsidRDefault="00561686">
      <w:pPr>
        <w:pStyle w:val="Bullets"/>
        <w:rPr>
          <w:color w:val="414042" w:themeColor="text1"/>
          <w:spacing w:val="-4"/>
        </w:rPr>
      </w:pPr>
      <w:r w:rsidRPr="00DF3006">
        <w:rPr>
          <w:color w:val="414042" w:themeColor="text1"/>
          <w:spacing w:val="-4"/>
        </w:rPr>
        <w:t>noted updates to some of our accounting and financial related policies and the ARMC</w:t>
      </w:r>
      <w:r w:rsidRPr="00DF3006">
        <w:rPr>
          <w:i/>
          <w:iCs/>
          <w:color w:val="414042" w:themeColor="text1"/>
          <w:spacing w:val="-4"/>
        </w:rPr>
        <w:t xml:space="preserve"> Charter</w:t>
      </w:r>
      <w:r w:rsidRPr="00DF3006">
        <w:rPr>
          <w:color w:val="414042" w:themeColor="text1"/>
          <w:spacing w:val="-4"/>
        </w:rPr>
        <w:t>, and</w:t>
      </w:r>
    </w:p>
    <w:p w14:paraId="41C2E555" w14:textId="1302C8B4" w:rsidR="00561686" w:rsidRPr="00DF3006" w:rsidRDefault="00561686">
      <w:pPr>
        <w:pStyle w:val="Bullets"/>
        <w:rPr>
          <w:color w:val="414042" w:themeColor="text1"/>
        </w:rPr>
      </w:pPr>
      <w:r w:rsidRPr="00DF3006">
        <w:rPr>
          <w:color w:val="414042" w:themeColor="text1"/>
        </w:rPr>
        <w:t xml:space="preserve">received and considered reports from external reviews </w:t>
      </w:r>
      <w:r w:rsidR="00F2595B" w:rsidRPr="00DF3006">
        <w:rPr>
          <w:color w:val="414042" w:themeColor="text1"/>
        </w:rPr>
        <w:t xml:space="preserve">and audits </w:t>
      </w:r>
      <w:r w:rsidRPr="00DF3006">
        <w:rPr>
          <w:color w:val="414042" w:themeColor="text1"/>
        </w:rPr>
        <w:t>conducted on our IT Disaster Recovery and Business Continuity, and IT Regulatory Compliance.</w:t>
      </w:r>
    </w:p>
    <w:p w14:paraId="11692519" w14:textId="77777777" w:rsidR="00561686" w:rsidRPr="00DF3006" w:rsidRDefault="00561686" w:rsidP="00561686">
      <w:pPr>
        <w:rPr>
          <w:color w:val="414042" w:themeColor="text1"/>
        </w:rPr>
      </w:pPr>
      <w:r w:rsidRPr="00DF3006">
        <w:rPr>
          <w:color w:val="414042" w:themeColor="text1"/>
        </w:rPr>
        <w:t>Meetings were held on a quarterly basis.</w:t>
      </w:r>
    </w:p>
    <w:p w14:paraId="47627C92" w14:textId="77777777" w:rsidR="00407FB6" w:rsidRPr="00DF3006" w:rsidRDefault="00407FB6" w:rsidP="00561686">
      <w:pPr>
        <w:rPr>
          <w:color w:val="414042" w:themeColor="text1"/>
        </w:rPr>
      </w:pPr>
    </w:p>
    <w:p w14:paraId="4EE8F6A7" w14:textId="77777777" w:rsidR="00407FB6" w:rsidRPr="00DF3006" w:rsidRDefault="00407FB6" w:rsidP="00A368B5">
      <w:pPr>
        <w:jc w:val="both"/>
        <w:rPr>
          <w:color w:val="414042" w:themeColor="text1"/>
        </w:rPr>
      </w:pPr>
    </w:p>
    <w:p w14:paraId="63DD6D3A" w14:textId="77777777" w:rsidR="00A368B5" w:rsidRPr="00DF3006" w:rsidRDefault="00A368B5" w:rsidP="00A368B5">
      <w:pPr>
        <w:jc w:val="both"/>
        <w:rPr>
          <w:color w:val="414042" w:themeColor="text1"/>
        </w:rPr>
      </w:pPr>
    </w:p>
    <w:p w14:paraId="5F2AB5C1" w14:textId="77777777" w:rsidR="00A368B5" w:rsidRPr="00DF3006" w:rsidRDefault="00A368B5" w:rsidP="00A368B5">
      <w:pPr>
        <w:jc w:val="both"/>
        <w:rPr>
          <w:color w:val="414042" w:themeColor="text1"/>
        </w:rPr>
      </w:pPr>
    </w:p>
    <w:p w14:paraId="7CB017AA" w14:textId="77777777" w:rsidR="00A368B5" w:rsidRPr="00DF3006" w:rsidRDefault="00A368B5" w:rsidP="00A368B5">
      <w:pPr>
        <w:jc w:val="both"/>
        <w:rPr>
          <w:color w:val="414042" w:themeColor="text1"/>
        </w:rPr>
      </w:pPr>
    </w:p>
    <w:p w14:paraId="3E02B741" w14:textId="77777777" w:rsidR="00A368B5" w:rsidRPr="00DF3006" w:rsidRDefault="00A368B5" w:rsidP="00A368B5">
      <w:pPr>
        <w:jc w:val="both"/>
        <w:rPr>
          <w:color w:val="414042" w:themeColor="text1"/>
        </w:rPr>
      </w:pPr>
    </w:p>
    <w:p w14:paraId="04B7F7D0" w14:textId="77777777" w:rsidR="00A368B5" w:rsidRPr="00DF3006" w:rsidRDefault="00A368B5" w:rsidP="00A368B5">
      <w:pPr>
        <w:jc w:val="both"/>
        <w:rPr>
          <w:color w:val="414042" w:themeColor="text1"/>
        </w:rPr>
      </w:pPr>
    </w:p>
    <w:p w14:paraId="6CE4D042" w14:textId="093D0365" w:rsidR="00A368B5" w:rsidRPr="00DF3006" w:rsidRDefault="00A368B5" w:rsidP="00A368B5">
      <w:pPr>
        <w:jc w:val="both"/>
        <w:rPr>
          <w:color w:val="414042" w:themeColor="text1"/>
        </w:rPr>
        <w:sectPr w:rsidR="00A368B5" w:rsidRPr="00DF3006" w:rsidSect="00C77834">
          <w:type w:val="continuous"/>
          <w:pgSz w:w="11906" w:h="16838" w:code="9"/>
          <w:pgMar w:top="2155" w:right="1134" w:bottom="964" w:left="1134" w:header="720" w:footer="284" w:gutter="0"/>
          <w:cols w:num="2" w:space="567"/>
          <w:noEndnote/>
          <w:docGrid w:linePitch="272"/>
        </w:sectPr>
      </w:pPr>
    </w:p>
    <w:p w14:paraId="211660C6" w14:textId="534419E4" w:rsidR="00561686" w:rsidRPr="00DF3006" w:rsidRDefault="00561686" w:rsidP="00463FBB">
      <w:pPr>
        <w:pStyle w:val="Heading4b"/>
      </w:pPr>
      <w:bookmarkStart w:id="1660" w:name="_Toc102038067"/>
      <w:bookmarkStart w:id="1661" w:name="_Toc102038428"/>
      <w:bookmarkStart w:id="1662" w:name="_Toc102038789"/>
      <w:bookmarkStart w:id="1663" w:name="_Toc102039141"/>
      <w:bookmarkStart w:id="1664" w:name="_Toc102039490"/>
      <w:bookmarkStart w:id="1665" w:name="_Toc102039852"/>
      <w:bookmarkStart w:id="1666" w:name="_Toc102040209"/>
      <w:bookmarkStart w:id="1667" w:name="_Toc102040537"/>
      <w:bookmarkStart w:id="1668" w:name="_Toc102040871"/>
      <w:bookmarkStart w:id="1669" w:name="_Toc102041199"/>
      <w:bookmarkStart w:id="1670" w:name="_Toc102041528"/>
      <w:bookmarkStart w:id="1671" w:name="_Toc102041860"/>
      <w:bookmarkStart w:id="1672" w:name="_Toc102042187"/>
      <w:bookmarkStart w:id="1673" w:name="_Toc102042517"/>
      <w:bookmarkStart w:id="1674" w:name="_Toc102045647"/>
      <w:r w:rsidRPr="00DF3006">
        <w:t>Table 1</w:t>
      </w:r>
      <w:r w:rsidR="00A2421F" w:rsidRPr="00DF3006">
        <w:t>1</w:t>
      </w:r>
      <w:r w:rsidRPr="00DF3006">
        <w:t>: Membership and meetings of the ARMC</w:t>
      </w:r>
    </w:p>
    <w:tbl>
      <w:tblPr>
        <w:tblStyle w:val="Annualreport2020-21"/>
        <w:tblW w:w="9639"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402"/>
        <w:gridCol w:w="4395"/>
        <w:gridCol w:w="1842"/>
      </w:tblGrid>
      <w:tr w:rsidR="00DF3006" w:rsidRPr="00DF3006" w14:paraId="6473856C" w14:textId="77777777" w:rsidTr="00270F15">
        <w:trPr>
          <w:cnfStyle w:val="100000000000" w:firstRow="1" w:lastRow="0" w:firstColumn="0" w:lastColumn="0" w:oddVBand="0" w:evenVBand="0" w:oddHBand="0" w:evenHBand="0" w:firstRowFirstColumn="0" w:firstRowLastColumn="0" w:lastRowFirstColumn="0" w:lastRowLastColumn="0"/>
          <w:trHeight w:val="227"/>
        </w:trPr>
        <w:tc>
          <w:tcPr>
            <w:tcW w:w="3402" w:type="dxa"/>
          </w:tcPr>
          <w:p w14:paraId="728B5BE0" w14:textId="77777777" w:rsidR="00561686" w:rsidRPr="00DF3006" w:rsidRDefault="00561686" w:rsidP="00407FB6">
            <w:pPr>
              <w:spacing w:after="0"/>
              <w:contextualSpacing/>
              <w:jc w:val="left"/>
              <w:rPr>
                <w:rFonts w:asciiTheme="majorHAnsi" w:hAnsiTheme="majorHAnsi" w:cstheme="majorHAnsi"/>
                <w:color w:val="414042" w:themeColor="text1"/>
              </w:rPr>
            </w:pPr>
            <w:r w:rsidRPr="00DF3006">
              <w:rPr>
                <w:rFonts w:asciiTheme="majorHAnsi" w:hAnsiTheme="majorHAnsi" w:cstheme="majorHAnsi"/>
                <w:color w:val="414042" w:themeColor="text1"/>
              </w:rPr>
              <w:t>Name</w:t>
            </w:r>
          </w:p>
        </w:tc>
        <w:tc>
          <w:tcPr>
            <w:tcW w:w="4395" w:type="dxa"/>
          </w:tcPr>
          <w:p w14:paraId="6750994F" w14:textId="77777777" w:rsidR="00561686" w:rsidRPr="00DF3006" w:rsidRDefault="00561686" w:rsidP="00407FB6">
            <w:pPr>
              <w:spacing w:after="0"/>
              <w:contextualSpacing/>
              <w:jc w:val="left"/>
              <w:rPr>
                <w:rFonts w:asciiTheme="majorHAnsi" w:hAnsiTheme="majorHAnsi" w:cstheme="majorHAnsi"/>
                <w:color w:val="414042" w:themeColor="text1"/>
              </w:rPr>
            </w:pPr>
            <w:r w:rsidRPr="00DF3006">
              <w:rPr>
                <w:rFonts w:asciiTheme="majorHAnsi" w:hAnsiTheme="majorHAnsi" w:cstheme="majorHAnsi"/>
                <w:color w:val="414042" w:themeColor="text1"/>
              </w:rPr>
              <w:t>Position</w:t>
            </w:r>
          </w:p>
        </w:tc>
        <w:tc>
          <w:tcPr>
            <w:tcW w:w="1842" w:type="dxa"/>
          </w:tcPr>
          <w:p w14:paraId="1A164C22"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Meetings attended</w:t>
            </w:r>
          </w:p>
        </w:tc>
      </w:tr>
      <w:tr w:rsidR="00DF3006" w:rsidRPr="00DF3006" w14:paraId="0FFEAD88" w14:textId="77777777" w:rsidTr="00270F15">
        <w:trPr>
          <w:trHeight w:val="227"/>
        </w:trPr>
        <w:tc>
          <w:tcPr>
            <w:tcW w:w="3402" w:type="dxa"/>
            <w:shd w:val="clear" w:color="auto" w:fill="auto"/>
          </w:tcPr>
          <w:p w14:paraId="3ED26E9B"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Ian Hall</w:t>
            </w:r>
            <w:r w:rsidRPr="00DF3006">
              <w:rPr>
                <w:rFonts w:asciiTheme="majorHAnsi" w:hAnsiTheme="majorHAnsi" w:cstheme="majorHAnsi"/>
                <w:color w:val="414042" w:themeColor="text1"/>
                <w:vertAlign w:val="superscript"/>
              </w:rPr>
              <w:t>1</w:t>
            </w:r>
          </w:p>
        </w:tc>
        <w:tc>
          <w:tcPr>
            <w:tcW w:w="4395" w:type="dxa"/>
            <w:shd w:val="clear" w:color="auto" w:fill="auto"/>
          </w:tcPr>
          <w:p w14:paraId="29E9F924"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ARMC Chair (external)</w:t>
            </w:r>
          </w:p>
        </w:tc>
        <w:tc>
          <w:tcPr>
            <w:tcW w:w="1842" w:type="dxa"/>
            <w:shd w:val="clear" w:color="auto" w:fill="auto"/>
          </w:tcPr>
          <w:p w14:paraId="1007A2D6"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4</w:t>
            </w:r>
          </w:p>
        </w:tc>
      </w:tr>
      <w:tr w:rsidR="00DF3006" w:rsidRPr="00DF3006" w14:paraId="564482E5" w14:textId="77777777" w:rsidTr="00270F15">
        <w:trPr>
          <w:trHeight w:val="227"/>
        </w:trPr>
        <w:tc>
          <w:tcPr>
            <w:tcW w:w="3402" w:type="dxa"/>
            <w:shd w:val="clear" w:color="auto" w:fill="auto"/>
          </w:tcPr>
          <w:p w14:paraId="38540051"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Stuart Hatton</w:t>
            </w:r>
            <w:r w:rsidRPr="00DF3006">
              <w:rPr>
                <w:rFonts w:asciiTheme="majorHAnsi" w:hAnsiTheme="majorHAnsi" w:cstheme="majorHAnsi"/>
                <w:color w:val="414042" w:themeColor="text1"/>
                <w:vertAlign w:val="superscript"/>
              </w:rPr>
              <w:t>2</w:t>
            </w:r>
          </w:p>
        </w:tc>
        <w:tc>
          <w:tcPr>
            <w:tcW w:w="4395" w:type="dxa"/>
            <w:shd w:val="clear" w:color="auto" w:fill="auto"/>
          </w:tcPr>
          <w:p w14:paraId="099CE8F6"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External member</w:t>
            </w:r>
          </w:p>
        </w:tc>
        <w:tc>
          <w:tcPr>
            <w:tcW w:w="1842" w:type="dxa"/>
            <w:shd w:val="clear" w:color="auto" w:fill="auto"/>
          </w:tcPr>
          <w:p w14:paraId="63A1EE6C"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4</w:t>
            </w:r>
          </w:p>
        </w:tc>
      </w:tr>
      <w:tr w:rsidR="00DF3006" w:rsidRPr="00DF3006" w14:paraId="234B9A08" w14:textId="77777777" w:rsidTr="00270F15">
        <w:trPr>
          <w:trHeight w:val="227"/>
        </w:trPr>
        <w:tc>
          <w:tcPr>
            <w:tcW w:w="3402" w:type="dxa"/>
            <w:shd w:val="clear" w:color="auto" w:fill="auto"/>
          </w:tcPr>
          <w:p w14:paraId="1D5E66FB"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Ms Jen O’Farrell</w:t>
            </w:r>
          </w:p>
        </w:tc>
        <w:tc>
          <w:tcPr>
            <w:tcW w:w="4395" w:type="dxa"/>
            <w:shd w:val="clear" w:color="auto" w:fill="auto"/>
          </w:tcPr>
          <w:p w14:paraId="49A17237"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CCC Chief Executive Officer</w:t>
            </w:r>
          </w:p>
        </w:tc>
        <w:tc>
          <w:tcPr>
            <w:tcW w:w="1842" w:type="dxa"/>
            <w:shd w:val="clear" w:color="auto" w:fill="auto"/>
          </w:tcPr>
          <w:p w14:paraId="51A78950"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3</w:t>
            </w:r>
          </w:p>
        </w:tc>
      </w:tr>
      <w:tr w:rsidR="00DF3006" w:rsidRPr="00DF3006" w14:paraId="4F737F23" w14:textId="77777777" w:rsidTr="00270F15">
        <w:trPr>
          <w:trHeight w:val="227"/>
        </w:trPr>
        <w:tc>
          <w:tcPr>
            <w:tcW w:w="3402" w:type="dxa"/>
            <w:shd w:val="clear" w:color="auto" w:fill="auto"/>
          </w:tcPr>
          <w:p w14:paraId="2660E1D3"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Ms Sharon Loder</w:t>
            </w:r>
          </w:p>
        </w:tc>
        <w:tc>
          <w:tcPr>
            <w:tcW w:w="4395" w:type="dxa"/>
            <w:shd w:val="clear" w:color="auto" w:fill="auto"/>
          </w:tcPr>
          <w:p w14:paraId="6DC428FA"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CCC Senior Executive Officer (Crime)</w:t>
            </w:r>
          </w:p>
        </w:tc>
        <w:tc>
          <w:tcPr>
            <w:tcW w:w="1842" w:type="dxa"/>
            <w:shd w:val="clear" w:color="auto" w:fill="auto"/>
          </w:tcPr>
          <w:p w14:paraId="1964EA0C"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3</w:t>
            </w:r>
          </w:p>
        </w:tc>
      </w:tr>
      <w:tr w:rsidR="00DF3006" w:rsidRPr="00DF3006" w14:paraId="3E001F20" w14:textId="77777777" w:rsidTr="00270F15">
        <w:trPr>
          <w:trHeight w:val="227"/>
        </w:trPr>
        <w:tc>
          <w:tcPr>
            <w:tcW w:w="3402" w:type="dxa"/>
            <w:shd w:val="clear" w:color="auto" w:fill="auto"/>
          </w:tcPr>
          <w:p w14:paraId="1CE14512"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David Caughlin</w:t>
            </w:r>
          </w:p>
        </w:tc>
        <w:tc>
          <w:tcPr>
            <w:tcW w:w="4395" w:type="dxa"/>
            <w:shd w:val="clear" w:color="auto" w:fill="auto"/>
          </w:tcPr>
          <w:p w14:paraId="092397D6"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CCC Executive Director Legal, Risk and Compliance</w:t>
            </w:r>
          </w:p>
        </w:tc>
        <w:tc>
          <w:tcPr>
            <w:tcW w:w="1842" w:type="dxa"/>
            <w:shd w:val="clear" w:color="auto" w:fill="auto"/>
          </w:tcPr>
          <w:p w14:paraId="3584AD7B"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4</w:t>
            </w:r>
          </w:p>
        </w:tc>
      </w:tr>
      <w:tr w:rsidR="00DF3006" w:rsidRPr="00DF3006" w14:paraId="74DB9095" w14:textId="77777777" w:rsidTr="00270F15">
        <w:trPr>
          <w:trHeight w:val="227"/>
        </w:trPr>
        <w:tc>
          <w:tcPr>
            <w:tcW w:w="9639" w:type="dxa"/>
            <w:gridSpan w:val="3"/>
            <w:shd w:val="clear" w:color="auto" w:fill="E6E7E8" w:themeFill="accent6"/>
          </w:tcPr>
          <w:p w14:paraId="25B6E77E" w14:textId="77777777" w:rsidR="00561686" w:rsidRPr="00DF3006" w:rsidRDefault="00561686" w:rsidP="00407FB6">
            <w:pPr>
              <w:spacing w:after="0"/>
              <w:contextualSpacing/>
              <w:rPr>
                <w:rFonts w:asciiTheme="majorHAnsi" w:hAnsiTheme="majorHAnsi" w:cstheme="majorHAnsi"/>
                <w:b/>
                <w:bCs/>
                <w:color w:val="414042" w:themeColor="text1"/>
              </w:rPr>
            </w:pPr>
            <w:r w:rsidRPr="00DF3006">
              <w:rPr>
                <w:rFonts w:asciiTheme="majorHAnsi" w:hAnsiTheme="majorHAnsi" w:cstheme="majorHAnsi"/>
                <w:b/>
                <w:bCs/>
                <w:color w:val="414042" w:themeColor="text1"/>
              </w:rPr>
              <w:t>Ex officio members</w:t>
            </w:r>
          </w:p>
        </w:tc>
      </w:tr>
      <w:tr w:rsidR="00DF3006" w:rsidRPr="00DF3006" w14:paraId="2519298A" w14:textId="77777777" w:rsidTr="00270F15">
        <w:trPr>
          <w:trHeight w:val="227"/>
        </w:trPr>
        <w:tc>
          <w:tcPr>
            <w:tcW w:w="3402" w:type="dxa"/>
            <w:shd w:val="clear" w:color="auto" w:fill="auto"/>
          </w:tcPr>
          <w:p w14:paraId="26468CBB"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Bruce Barbour</w:t>
            </w:r>
          </w:p>
        </w:tc>
        <w:tc>
          <w:tcPr>
            <w:tcW w:w="4395" w:type="dxa"/>
            <w:shd w:val="clear" w:color="auto" w:fill="auto"/>
          </w:tcPr>
          <w:p w14:paraId="7B91AB49"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CCC Chairperson</w:t>
            </w:r>
          </w:p>
        </w:tc>
        <w:tc>
          <w:tcPr>
            <w:tcW w:w="1842" w:type="dxa"/>
            <w:shd w:val="clear" w:color="auto" w:fill="auto"/>
          </w:tcPr>
          <w:p w14:paraId="1E65090E"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3</w:t>
            </w:r>
          </w:p>
        </w:tc>
      </w:tr>
      <w:tr w:rsidR="00DF3006" w:rsidRPr="00DF3006" w14:paraId="3AEF03F3" w14:textId="77777777" w:rsidTr="00270F15">
        <w:trPr>
          <w:trHeight w:val="227"/>
        </w:trPr>
        <w:tc>
          <w:tcPr>
            <w:tcW w:w="9639" w:type="dxa"/>
            <w:gridSpan w:val="3"/>
            <w:shd w:val="clear" w:color="auto" w:fill="E6E7E8" w:themeFill="accent6"/>
          </w:tcPr>
          <w:p w14:paraId="515B6999" w14:textId="77777777" w:rsidR="00561686" w:rsidRPr="00DF3006" w:rsidRDefault="00561686" w:rsidP="00407FB6">
            <w:pPr>
              <w:spacing w:after="0"/>
              <w:contextualSpacing/>
              <w:rPr>
                <w:rFonts w:asciiTheme="majorHAnsi" w:hAnsiTheme="majorHAnsi" w:cstheme="majorHAnsi"/>
                <w:b/>
                <w:bCs/>
                <w:color w:val="414042" w:themeColor="text1"/>
              </w:rPr>
            </w:pPr>
            <w:r w:rsidRPr="00DF3006">
              <w:rPr>
                <w:rFonts w:asciiTheme="majorHAnsi" w:hAnsiTheme="majorHAnsi" w:cstheme="majorHAnsi"/>
                <w:b/>
                <w:bCs/>
                <w:color w:val="414042" w:themeColor="text1"/>
              </w:rPr>
              <w:t>Invitees</w:t>
            </w:r>
          </w:p>
        </w:tc>
      </w:tr>
      <w:tr w:rsidR="00DF3006" w:rsidRPr="00DF3006" w14:paraId="634DD09A" w14:textId="77777777" w:rsidTr="00270F15">
        <w:trPr>
          <w:trHeight w:val="227"/>
        </w:trPr>
        <w:tc>
          <w:tcPr>
            <w:tcW w:w="3402" w:type="dxa"/>
            <w:shd w:val="clear" w:color="auto" w:fill="auto"/>
          </w:tcPr>
          <w:p w14:paraId="7E77544B" w14:textId="01C83A2D"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Richard Bosanquet</w:t>
            </w:r>
            <w:r w:rsidR="008A219F" w:rsidRPr="00DF3006">
              <w:rPr>
                <w:rFonts w:asciiTheme="majorHAnsi" w:hAnsiTheme="majorHAnsi" w:cstheme="majorHAnsi"/>
                <w:color w:val="414042" w:themeColor="text1"/>
                <w:vertAlign w:val="superscript"/>
              </w:rPr>
              <w:t>3</w:t>
            </w:r>
          </w:p>
        </w:tc>
        <w:tc>
          <w:tcPr>
            <w:tcW w:w="4395" w:type="dxa"/>
            <w:shd w:val="clear" w:color="auto" w:fill="auto"/>
          </w:tcPr>
          <w:p w14:paraId="42E9CB57"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CCC Senior Internal Audit Manager</w:t>
            </w:r>
          </w:p>
        </w:tc>
        <w:tc>
          <w:tcPr>
            <w:tcW w:w="1842" w:type="dxa"/>
            <w:shd w:val="clear" w:color="auto" w:fill="auto"/>
          </w:tcPr>
          <w:p w14:paraId="1E2A9975"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1</w:t>
            </w:r>
          </w:p>
        </w:tc>
      </w:tr>
      <w:tr w:rsidR="00DF3006" w:rsidRPr="00DF3006" w14:paraId="05ACB3DA" w14:textId="77777777" w:rsidTr="00270F15">
        <w:trPr>
          <w:trHeight w:val="227"/>
        </w:trPr>
        <w:tc>
          <w:tcPr>
            <w:tcW w:w="3402" w:type="dxa"/>
            <w:shd w:val="clear" w:color="auto" w:fill="auto"/>
          </w:tcPr>
          <w:p w14:paraId="3B489F81" w14:textId="796C74FC"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Wayne van der Poll</w:t>
            </w:r>
            <w:r w:rsidR="008A219F" w:rsidRPr="00DF3006">
              <w:rPr>
                <w:rFonts w:asciiTheme="majorHAnsi" w:hAnsiTheme="majorHAnsi" w:cstheme="majorHAnsi"/>
                <w:color w:val="414042" w:themeColor="text1"/>
                <w:vertAlign w:val="superscript"/>
              </w:rPr>
              <w:t>4</w:t>
            </w:r>
          </w:p>
        </w:tc>
        <w:tc>
          <w:tcPr>
            <w:tcW w:w="4395" w:type="dxa"/>
            <w:shd w:val="clear" w:color="auto" w:fill="auto"/>
          </w:tcPr>
          <w:p w14:paraId="6C1BDF7E"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CCC Senior Internal Audit Manager</w:t>
            </w:r>
          </w:p>
        </w:tc>
        <w:tc>
          <w:tcPr>
            <w:tcW w:w="1842" w:type="dxa"/>
            <w:shd w:val="clear" w:color="auto" w:fill="auto"/>
          </w:tcPr>
          <w:p w14:paraId="0459D77E"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2</w:t>
            </w:r>
          </w:p>
        </w:tc>
      </w:tr>
      <w:tr w:rsidR="00DF3006" w:rsidRPr="00DF3006" w14:paraId="236254A9" w14:textId="77777777" w:rsidTr="00270F15">
        <w:trPr>
          <w:trHeight w:val="227"/>
        </w:trPr>
        <w:tc>
          <w:tcPr>
            <w:tcW w:w="3402" w:type="dxa"/>
            <w:shd w:val="clear" w:color="auto" w:fill="auto"/>
          </w:tcPr>
          <w:p w14:paraId="4D7C52B7"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Mr Paul Bracegirdle</w:t>
            </w:r>
          </w:p>
        </w:tc>
        <w:tc>
          <w:tcPr>
            <w:tcW w:w="4395" w:type="dxa"/>
            <w:shd w:val="clear" w:color="auto" w:fill="auto"/>
          </w:tcPr>
          <w:p w14:paraId="357E09E0" w14:textId="77777777" w:rsidR="00561686" w:rsidRPr="00DF3006" w:rsidRDefault="00561686" w:rsidP="00407FB6">
            <w:pPr>
              <w:spacing w:after="0"/>
              <w:contextualSpacing/>
              <w:rPr>
                <w:rFonts w:asciiTheme="majorHAnsi" w:hAnsiTheme="majorHAnsi" w:cstheme="majorHAnsi"/>
                <w:color w:val="414042" w:themeColor="text1"/>
              </w:rPr>
            </w:pPr>
            <w:r w:rsidRPr="00DF3006">
              <w:rPr>
                <w:rFonts w:asciiTheme="majorHAnsi" w:hAnsiTheme="majorHAnsi" w:cstheme="majorHAnsi"/>
                <w:color w:val="414042" w:themeColor="text1"/>
              </w:rPr>
              <w:t>Chief Finance Officer</w:t>
            </w:r>
          </w:p>
        </w:tc>
        <w:tc>
          <w:tcPr>
            <w:tcW w:w="1842" w:type="dxa"/>
            <w:shd w:val="clear" w:color="auto" w:fill="auto"/>
          </w:tcPr>
          <w:p w14:paraId="3F4DB695" w14:textId="77777777" w:rsidR="00561686" w:rsidRPr="00DF3006" w:rsidRDefault="00561686" w:rsidP="00171C5D">
            <w:pPr>
              <w:spacing w:after="0"/>
              <w:contextualSpacing/>
              <w:jc w:val="center"/>
              <w:rPr>
                <w:rFonts w:asciiTheme="majorHAnsi" w:hAnsiTheme="majorHAnsi" w:cstheme="majorHAnsi"/>
                <w:color w:val="414042" w:themeColor="text1"/>
              </w:rPr>
            </w:pPr>
            <w:r w:rsidRPr="00DF3006">
              <w:rPr>
                <w:rFonts w:asciiTheme="majorHAnsi" w:hAnsiTheme="majorHAnsi" w:cstheme="majorHAnsi"/>
                <w:color w:val="414042" w:themeColor="text1"/>
              </w:rPr>
              <w:t>4</w:t>
            </w:r>
          </w:p>
        </w:tc>
      </w:tr>
    </w:tbl>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14:paraId="0E56ABC4" w14:textId="77777777" w:rsidR="00561686" w:rsidRPr="00DF3006" w:rsidRDefault="00561686" w:rsidP="00561686">
      <w:pPr>
        <w:pStyle w:val="Notes"/>
        <w:spacing w:before="240"/>
        <w:ind w:left="360" w:hanging="360"/>
        <w:rPr>
          <w:lang w:val="en-AU"/>
        </w:rPr>
      </w:pPr>
      <w:r w:rsidRPr="00DF3006">
        <w:rPr>
          <w:lang w:val="en-AU"/>
        </w:rPr>
        <w:t xml:space="preserve">Notes: </w:t>
      </w:r>
    </w:p>
    <w:p w14:paraId="2E0845E9" w14:textId="172F2743" w:rsidR="00561686" w:rsidRPr="00DF3006" w:rsidRDefault="00561686" w:rsidP="00407FB6">
      <w:pPr>
        <w:pStyle w:val="Notes"/>
        <w:numPr>
          <w:ilvl w:val="0"/>
          <w:numId w:val="45"/>
        </w:numPr>
        <w:rPr>
          <w:strike/>
          <w:lang w:val="en-AU"/>
        </w:rPr>
      </w:pPr>
      <w:r w:rsidRPr="00DF3006">
        <w:rPr>
          <w:lang w:val="en-AU"/>
        </w:rPr>
        <w:t xml:space="preserve">As an external Chair of the ARMC, Mr </w:t>
      </w:r>
      <w:r w:rsidR="00095DAF" w:rsidRPr="00DF3006">
        <w:rPr>
          <w:lang w:val="en-AU"/>
        </w:rPr>
        <w:t>Hall was</w:t>
      </w:r>
      <w:r w:rsidRPr="00DF3006">
        <w:rPr>
          <w:lang w:val="en-AU"/>
        </w:rPr>
        <w:t xml:space="preserve"> remunerated  $8,000 during 2022–23.</w:t>
      </w:r>
    </w:p>
    <w:p w14:paraId="0E6ECEF8" w14:textId="77777777" w:rsidR="00561686" w:rsidRPr="00DF3006" w:rsidRDefault="00561686" w:rsidP="00561686">
      <w:pPr>
        <w:pStyle w:val="Notes"/>
        <w:numPr>
          <w:ilvl w:val="0"/>
          <w:numId w:val="45"/>
        </w:numPr>
        <w:rPr>
          <w:lang w:val="en-AU"/>
        </w:rPr>
      </w:pPr>
      <w:r w:rsidRPr="00DF3006">
        <w:rPr>
          <w:lang w:val="en-AU"/>
        </w:rPr>
        <w:t>As an external member of the ARMC, Mr Hatton was remunerated $5,000 during 2022–23.</w:t>
      </w:r>
    </w:p>
    <w:p w14:paraId="4C06B2F8" w14:textId="77777777" w:rsidR="00561686" w:rsidRPr="00DF3006" w:rsidRDefault="00561686" w:rsidP="00561686">
      <w:pPr>
        <w:pStyle w:val="Notes"/>
        <w:numPr>
          <w:ilvl w:val="0"/>
          <w:numId w:val="45"/>
        </w:numPr>
        <w:rPr>
          <w:lang w:val="en-AU"/>
        </w:rPr>
      </w:pPr>
      <w:r w:rsidRPr="00DF3006">
        <w:rPr>
          <w:lang w:val="en-AU"/>
        </w:rPr>
        <w:t>The position of Senior Internal Audit Manager was vacated on 26 August 2022 by Mr Bosanquet.</w:t>
      </w:r>
    </w:p>
    <w:p w14:paraId="380CBABF" w14:textId="375A54C2" w:rsidR="00561686" w:rsidRPr="00DF3006" w:rsidRDefault="00561686" w:rsidP="00561686">
      <w:pPr>
        <w:pStyle w:val="Notes"/>
        <w:numPr>
          <w:ilvl w:val="0"/>
          <w:numId w:val="45"/>
        </w:numPr>
        <w:rPr>
          <w:lang w:val="en-AU"/>
        </w:rPr>
      </w:pPr>
      <w:r w:rsidRPr="00DF3006">
        <w:rPr>
          <w:lang w:val="en-AU"/>
        </w:rPr>
        <w:t xml:space="preserve">Mr van der Poll joined the </w:t>
      </w:r>
      <w:r w:rsidR="001F4500" w:rsidRPr="00DF3006">
        <w:rPr>
          <w:lang w:val="en-AU"/>
        </w:rPr>
        <w:t xml:space="preserve">organisation </w:t>
      </w:r>
      <w:r w:rsidRPr="00DF3006">
        <w:rPr>
          <w:lang w:val="en-AU"/>
        </w:rPr>
        <w:t>on 1 February 2023.</w:t>
      </w:r>
    </w:p>
    <w:p w14:paraId="38B215BC" w14:textId="77777777" w:rsidR="00561686" w:rsidRPr="00DF3006" w:rsidRDefault="00561686" w:rsidP="00407FB6">
      <w:pPr>
        <w:pStyle w:val="Notes"/>
        <w:rPr>
          <w:lang w:val="en-AU"/>
        </w:rPr>
      </w:pPr>
    </w:p>
    <w:p w14:paraId="4D8C4BD4" w14:textId="77777777" w:rsidR="00561686" w:rsidRPr="00DF3006" w:rsidRDefault="00561686" w:rsidP="00E6066A">
      <w:pPr>
        <w:pStyle w:val="Heading3"/>
        <w:sectPr w:rsidR="00561686" w:rsidRPr="00DF3006" w:rsidSect="00407FB6">
          <w:headerReference w:type="even" r:id="rId264"/>
          <w:headerReference w:type="default" r:id="rId265"/>
          <w:headerReference w:type="first" r:id="rId266"/>
          <w:type w:val="continuous"/>
          <w:pgSz w:w="11906" w:h="16838" w:code="9"/>
          <w:pgMar w:top="2155" w:right="1134" w:bottom="964" w:left="1134" w:header="720" w:footer="284" w:gutter="0"/>
          <w:cols w:space="567"/>
          <w:noEndnote/>
          <w:docGrid w:linePitch="272"/>
        </w:sectPr>
      </w:pPr>
      <w:bookmarkStart w:id="1675" w:name="_Toc102038068"/>
      <w:bookmarkStart w:id="1676" w:name="_Toc102038429"/>
      <w:bookmarkStart w:id="1677" w:name="_Toc102038790"/>
      <w:bookmarkStart w:id="1678" w:name="_Toc102039142"/>
      <w:bookmarkStart w:id="1679" w:name="_Toc102039491"/>
      <w:bookmarkStart w:id="1680" w:name="_Toc102039853"/>
      <w:bookmarkStart w:id="1681" w:name="_Toc102040210"/>
      <w:bookmarkStart w:id="1682" w:name="_Toc102040538"/>
      <w:bookmarkStart w:id="1683" w:name="_Toc102040872"/>
      <w:bookmarkStart w:id="1684" w:name="_Toc102041200"/>
      <w:bookmarkStart w:id="1685" w:name="_Toc102041529"/>
      <w:bookmarkStart w:id="1686" w:name="_Toc102041861"/>
      <w:bookmarkStart w:id="1687" w:name="_Toc102042188"/>
      <w:bookmarkStart w:id="1688" w:name="_Toc102042518"/>
      <w:bookmarkStart w:id="1689" w:name="_Toc102045648"/>
      <w:bookmarkStart w:id="1690" w:name="_Hlk74051313"/>
      <w:bookmarkStart w:id="1691" w:name="_Hlk74909137"/>
      <w:bookmarkStart w:id="1692" w:name="_Hlk74320623"/>
    </w:p>
    <w:p w14:paraId="1A45EBF2" w14:textId="77777777" w:rsidR="00561686" w:rsidRPr="00DF3006" w:rsidRDefault="00561686" w:rsidP="00E6066A">
      <w:pPr>
        <w:pStyle w:val="Heading3"/>
      </w:pPr>
      <w:r w:rsidRPr="00DF3006">
        <w:lastRenderedPageBreak/>
        <w:t>Risk management</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077953EC" w14:textId="5196FCAF" w:rsidR="00561686" w:rsidRPr="00DF3006" w:rsidRDefault="00561686" w:rsidP="00561686">
      <w:pPr>
        <w:rPr>
          <w:color w:val="414042" w:themeColor="text1"/>
        </w:rPr>
      </w:pPr>
      <w:r w:rsidRPr="00DF3006">
        <w:rPr>
          <w:color w:val="414042" w:themeColor="text1"/>
        </w:rPr>
        <w:t xml:space="preserve">Risk management is a key element of good governance and is essential in managing the CCC’s business operations. In accordance with the </w:t>
      </w:r>
      <w:r w:rsidRPr="00DF3006">
        <w:rPr>
          <w:i/>
          <w:iCs/>
          <w:color w:val="414042" w:themeColor="text1"/>
        </w:rPr>
        <w:t>Financial Accountability Act 2009</w:t>
      </w:r>
      <w:r w:rsidRPr="00DF3006">
        <w:rPr>
          <w:color w:val="414042" w:themeColor="text1"/>
        </w:rPr>
        <w:t xml:space="preserve">, overall accountability for risk management resides with the Commission which is responsible for setting </w:t>
      </w:r>
      <w:r w:rsidR="00A85F66" w:rsidRPr="00DF3006">
        <w:rPr>
          <w:color w:val="414042" w:themeColor="text1"/>
        </w:rPr>
        <w:t>our</w:t>
      </w:r>
      <w:r w:rsidRPr="00DF3006">
        <w:rPr>
          <w:color w:val="414042" w:themeColor="text1"/>
        </w:rPr>
        <w:t xml:space="preserve"> agency’s </w:t>
      </w:r>
      <w:r w:rsidRPr="00DF3006">
        <w:rPr>
          <w:i/>
          <w:iCs/>
          <w:color w:val="414042" w:themeColor="text1"/>
        </w:rPr>
        <w:t>Risk Appetite Statement</w:t>
      </w:r>
      <w:r w:rsidRPr="00DF3006">
        <w:rPr>
          <w:color w:val="414042" w:themeColor="text1"/>
        </w:rPr>
        <w:t xml:space="preserve"> and ensuring our strategic risks are identified and managed in accordance with our </w:t>
      </w:r>
      <w:r w:rsidRPr="00DF3006">
        <w:rPr>
          <w:i/>
          <w:iCs/>
          <w:color w:val="414042" w:themeColor="text1"/>
        </w:rPr>
        <w:t>Risk Management Framework</w:t>
      </w:r>
      <w:r w:rsidRPr="00DF3006">
        <w:rPr>
          <w:color w:val="414042" w:themeColor="text1"/>
        </w:rPr>
        <w:t>.</w:t>
      </w:r>
    </w:p>
    <w:p w14:paraId="54953044" w14:textId="3ECF52C1" w:rsidR="00561686" w:rsidRPr="00DF3006" w:rsidRDefault="0018391C" w:rsidP="00561686">
      <w:pPr>
        <w:rPr>
          <w:color w:val="414042" w:themeColor="text1"/>
        </w:rPr>
      </w:pPr>
      <w:r w:rsidRPr="00DF3006">
        <w:rPr>
          <w:color w:val="414042" w:themeColor="text1"/>
        </w:rPr>
        <w:t>Our</w:t>
      </w:r>
      <w:r w:rsidR="00561686" w:rsidRPr="00DF3006">
        <w:rPr>
          <w:color w:val="414042" w:themeColor="text1"/>
        </w:rPr>
        <w:t xml:space="preserve"> </w:t>
      </w:r>
      <w:r w:rsidRPr="00DF3006">
        <w:rPr>
          <w:i/>
          <w:iCs/>
          <w:color w:val="414042" w:themeColor="text1"/>
        </w:rPr>
        <w:t>Risk Management Framework</w:t>
      </w:r>
      <w:r w:rsidRPr="00DF3006">
        <w:rPr>
          <w:color w:val="414042" w:themeColor="text1"/>
        </w:rPr>
        <w:t xml:space="preserve"> </w:t>
      </w:r>
      <w:r w:rsidR="00561686" w:rsidRPr="00DF3006">
        <w:rPr>
          <w:color w:val="414042" w:themeColor="text1"/>
        </w:rPr>
        <w:t xml:space="preserve">aligns with the international standard ISO 31000: 2018 Risk Management – Guideline and incorporates the principles of the ‘three lines model’. The </w:t>
      </w:r>
      <w:r w:rsidRPr="00DF3006">
        <w:rPr>
          <w:i/>
          <w:iCs/>
          <w:color w:val="414042" w:themeColor="text1"/>
        </w:rPr>
        <w:t>Risk Management Framework</w:t>
      </w:r>
      <w:r w:rsidR="00561686" w:rsidRPr="00DF3006">
        <w:rPr>
          <w:color w:val="414042" w:themeColor="text1"/>
        </w:rPr>
        <w:t xml:space="preserve"> embeds the </w:t>
      </w:r>
      <w:r w:rsidR="00561686" w:rsidRPr="00DF3006">
        <w:rPr>
          <w:i/>
          <w:iCs/>
          <w:color w:val="414042" w:themeColor="text1"/>
        </w:rPr>
        <w:t>Risk Appetite Statement</w:t>
      </w:r>
      <w:r w:rsidR="00561686" w:rsidRPr="00DF3006">
        <w:rPr>
          <w:color w:val="414042" w:themeColor="text1"/>
        </w:rPr>
        <w:t xml:space="preserve"> set by the CCC leadership across </w:t>
      </w:r>
      <w:r w:rsidR="00A85F66" w:rsidRPr="00DF3006">
        <w:rPr>
          <w:color w:val="414042" w:themeColor="text1"/>
        </w:rPr>
        <w:t>our</w:t>
      </w:r>
      <w:r w:rsidR="00561686" w:rsidRPr="00DF3006">
        <w:rPr>
          <w:color w:val="414042" w:themeColor="text1"/>
        </w:rPr>
        <w:t xml:space="preserve"> agency. The </w:t>
      </w:r>
      <w:r w:rsidR="00561686" w:rsidRPr="00DF3006">
        <w:rPr>
          <w:i/>
          <w:iCs/>
          <w:color w:val="414042" w:themeColor="text1"/>
        </w:rPr>
        <w:t>Risk Appetite Statement</w:t>
      </w:r>
      <w:r w:rsidR="00561686" w:rsidRPr="00DF3006">
        <w:rPr>
          <w:color w:val="414042" w:themeColor="text1"/>
        </w:rPr>
        <w:t xml:space="preserve"> informs the approach taken by Commission officers in their day-to-day work, including when making decisions, undertaking </w:t>
      </w:r>
      <w:proofErr w:type="gramStart"/>
      <w:r w:rsidR="00561686" w:rsidRPr="00DF3006">
        <w:rPr>
          <w:color w:val="414042" w:themeColor="text1"/>
        </w:rPr>
        <w:t>activities</w:t>
      </w:r>
      <w:proofErr w:type="gramEnd"/>
      <w:r w:rsidR="00561686" w:rsidRPr="00DF3006">
        <w:rPr>
          <w:color w:val="414042" w:themeColor="text1"/>
        </w:rPr>
        <w:t xml:space="preserve"> and assessing identified risks.</w:t>
      </w:r>
    </w:p>
    <w:p w14:paraId="7A698EFF" w14:textId="1A6D25B9" w:rsidR="00561686" w:rsidRPr="00DF3006" w:rsidRDefault="00561686" w:rsidP="00561686">
      <w:pPr>
        <w:rPr>
          <w:color w:val="414042" w:themeColor="text1"/>
        </w:rPr>
      </w:pPr>
      <w:r w:rsidRPr="00DF3006">
        <w:rPr>
          <w:color w:val="414042" w:themeColor="text1"/>
        </w:rPr>
        <w:t xml:space="preserve">The management of our strategic risks is also embedded across our strategic, </w:t>
      </w:r>
      <w:proofErr w:type="gramStart"/>
      <w:r w:rsidRPr="00DF3006">
        <w:rPr>
          <w:color w:val="414042" w:themeColor="text1"/>
        </w:rPr>
        <w:t>operational</w:t>
      </w:r>
      <w:proofErr w:type="gramEnd"/>
      <w:r w:rsidRPr="00DF3006">
        <w:rPr>
          <w:color w:val="414042" w:themeColor="text1"/>
        </w:rPr>
        <w:t xml:space="preserve"> and business plans to ensure they are addressed effectively and consistently across </w:t>
      </w:r>
      <w:r w:rsidR="00A85F66" w:rsidRPr="00DF3006">
        <w:rPr>
          <w:color w:val="414042" w:themeColor="text1"/>
        </w:rPr>
        <w:t>our</w:t>
      </w:r>
      <w:r w:rsidRPr="00DF3006">
        <w:rPr>
          <w:color w:val="414042" w:themeColor="text1"/>
        </w:rPr>
        <w:t xml:space="preserve"> agency and minimised through targeted resource allocation and a robust system of internal controls.</w:t>
      </w:r>
    </w:p>
    <w:p w14:paraId="3E9FB4DD" w14:textId="77777777" w:rsidR="00561686" w:rsidRPr="00DF3006" w:rsidRDefault="00561686" w:rsidP="00561686">
      <w:pPr>
        <w:rPr>
          <w:color w:val="414042" w:themeColor="text1"/>
        </w:rPr>
      </w:pPr>
      <w:r w:rsidRPr="00DF3006">
        <w:rPr>
          <w:color w:val="414042" w:themeColor="text1"/>
        </w:rPr>
        <w:t xml:space="preserve">The management of risk in our projects is embedded in our </w:t>
      </w:r>
      <w:r w:rsidRPr="00DF3006">
        <w:rPr>
          <w:i/>
          <w:iCs/>
          <w:color w:val="414042" w:themeColor="text1"/>
        </w:rPr>
        <w:t>Portfolio, Program and Project Management Framework</w:t>
      </w:r>
      <w:r w:rsidRPr="00DF3006">
        <w:rPr>
          <w:color w:val="414042" w:themeColor="text1"/>
        </w:rPr>
        <w:t xml:space="preserve"> and supporting project management tools.</w:t>
      </w:r>
    </w:p>
    <w:p w14:paraId="0FEA4F3D" w14:textId="1CBBD725" w:rsidR="00561686" w:rsidRPr="00DF3006" w:rsidRDefault="00561686" w:rsidP="00561686">
      <w:pPr>
        <w:rPr>
          <w:color w:val="414042" w:themeColor="text1"/>
        </w:rPr>
      </w:pPr>
      <w:r w:rsidRPr="00DF3006">
        <w:rPr>
          <w:color w:val="414042" w:themeColor="text1"/>
        </w:rPr>
        <w:t xml:space="preserve">We utilise other frameworks to assist us in making risk-informed decisions to support the strategic and operational work of </w:t>
      </w:r>
      <w:r w:rsidR="00A85F66" w:rsidRPr="00DF3006">
        <w:rPr>
          <w:color w:val="414042" w:themeColor="text1"/>
        </w:rPr>
        <w:t>our</w:t>
      </w:r>
      <w:r w:rsidRPr="00DF3006">
        <w:rPr>
          <w:color w:val="414042" w:themeColor="text1"/>
        </w:rPr>
        <w:t xml:space="preserve"> agency, including our:</w:t>
      </w:r>
    </w:p>
    <w:p w14:paraId="2AEE9F8B" w14:textId="77777777" w:rsidR="00561686" w:rsidRPr="00DF3006" w:rsidRDefault="00561686">
      <w:pPr>
        <w:pStyle w:val="Bullets"/>
        <w:rPr>
          <w:color w:val="414042" w:themeColor="text1"/>
        </w:rPr>
      </w:pPr>
      <w:r w:rsidRPr="00DF3006">
        <w:rPr>
          <w:i/>
          <w:iCs/>
          <w:color w:val="414042" w:themeColor="text1"/>
        </w:rPr>
        <w:t>Fraud and Corruption Control Plan</w:t>
      </w:r>
      <w:r w:rsidRPr="00DF3006">
        <w:rPr>
          <w:color w:val="414042" w:themeColor="text1"/>
        </w:rPr>
        <w:t xml:space="preserve"> (aligns to AS 8001–2021), and</w:t>
      </w:r>
    </w:p>
    <w:p w14:paraId="1F6B5CCF" w14:textId="77777777" w:rsidR="00561686" w:rsidRPr="00DF3006" w:rsidRDefault="00561686">
      <w:pPr>
        <w:pStyle w:val="Bullets"/>
        <w:rPr>
          <w:color w:val="414042" w:themeColor="text1"/>
        </w:rPr>
      </w:pPr>
      <w:r w:rsidRPr="00DF3006">
        <w:rPr>
          <w:i/>
          <w:iCs/>
          <w:color w:val="414042" w:themeColor="text1"/>
        </w:rPr>
        <w:t>Information Security Management Framework</w:t>
      </w:r>
      <w:r w:rsidRPr="00DF3006">
        <w:rPr>
          <w:color w:val="414042" w:themeColor="text1"/>
        </w:rPr>
        <w:t xml:space="preserve"> (aligns to </w:t>
      </w:r>
      <w:proofErr w:type="spellStart"/>
      <w:r w:rsidRPr="00DF3006">
        <w:rPr>
          <w:color w:val="414042" w:themeColor="text1"/>
        </w:rPr>
        <w:t>QG</w:t>
      </w:r>
      <w:proofErr w:type="spellEnd"/>
      <w:r w:rsidRPr="00DF3006">
        <w:rPr>
          <w:color w:val="414042" w:themeColor="text1"/>
        </w:rPr>
        <w:t xml:space="preserve"> IS18:2018 and ISO/IEC 27001).</w:t>
      </w:r>
    </w:p>
    <w:p w14:paraId="74D42559" w14:textId="78A3204E" w:rsidR="00561686" w:rsidRPr="00DF3006" w:rsidRDefault="00604D9B" w:rsidP="00561686">
      <w:pPr>
        <w:rPr>
          <w:color w:val="414042" w:themeColor="text1"/>
        </w:rPr>
      </w:pPr>
      <w:r w:rsidRPr="00DF3006">
        <w:rPr>
          <w:color w:val="414042" w:themeColor="text1"/>
        </w:rPr>
        <w:br w:type="column"/>
      </w:r>
      <w:r w:rsidR="00561686" w:rsidRPr="00DF3006">
        <w:rPr>
          <w:color w:val="414042" w:themeColor="text1"/>
        </w:rPr>
        <w:t>In 2022–23, we:</w:t>
      </w:r>
    </w:p>
    <w:p w14:paraId="09A9B15C" w14:textId="77777777" w:rsidR="00561686" w:rsidRPr="00DF3006" w:rsidRDefault="00561686">
      <w:pPr>
        <w:pStyle w:val="Bullets"/>
        <w:rPr>
          <w:color w:val="414042" w:themeColor="text1"/>
        </w:rPr>
      </w:pPr>
      <w:r w:rsidRPr="00DF3006">
        <w:rPr>
          <w:color w:val="414042" w:themeColor="text1"/>
        </w:rPr>
        <w:t xml:space="preserve">revised and articulated a risk strategy that supports the CCC in delivering on its purpose and new strategic planning objectives, risks and </w:t>
      </w:r>
      <w:proofErr w:type="gramStart"/>
      <w:r w:rsidRPr="00DF3006">
        <w:rPr>
          <w:color w:val="414042" w:themeColor="text1"/>
        </w:rPr>
        <w:t>opportunities</w:t>
      </w:r>
      <w:proofErr w:type="gramEnd"/>
    </w:p>
    <w:p w14:paraId="4E05CACC" w14:textId="77777777" w:rsidR="00561686" w:rsidRPr="00DF3006" w:rsidRDefault="00561686">
      <w:pPr>
        <w:pStyle w:val="Bullets"/>
        <w:rPr>
          <w:color w:val="414042" w:themeColor="text1"/>
        </w:rPr>
      </w:pPr>
      <w:r w:rsidRPr="00DF3006">
        <w:rPr>
          <w:color w:val="414042" w:themeColor="text1"/>
        </w:rPr>
        <w:t>undertook the risk appetite setting process commencing with a workshop with the Commission, ELT and the ARMC</w:t>
      </w:r>
    </w:p>
    <w:p w14:paraId="4F41CCAD" w14:textId="77777777" w:rsidR="00561686" w:rsidRPr="00DF3006" w:rsidRDefault="00561686">
      <w:pPr>
        <w:pStyle w:val="Bullets"/>
        <w:rPr>
          <w:color w:val="414042" w:themeColor="text1"/>
        </w:rPr>
      </w:pPr>
      <w:r w:rsidRPr="00DF3006">
        <w:rPr>
          <w:color w:val="414042" w:themeColor="text1"/>
        </w:rPr>
        <w:t>delivered risk presentations on the topics of risk identification and risk considerations for policy development, and</w:t>
      </w:r>
    </w:p>
    <w:p w14:paraId="2A55D726" w14:textId="77777777" w:rsidR="00561686" w:rsidRPr="00DF3006" w:rsidRDefault="00561686">
      <w:pPr>
        <w:pStyle w:val="Bullets"/>
        <w:rPr>
          <w:color w:val="414042" w:themeColor="text1"/>
        </w:rPr>
      </w:pPr>
      <w:r w:rsidRPr="00DF3006">
        <w:rPr>
          <w:color w:val="414042" w:themeColor="text1"/>
        </w:rPr>
        <w:t>participated in joint monthly divisional business representative meetings with the Risk and Compliance team where risk is a standing agenda item.</w:t>
      </w:r>
    </w:p>
    <w:p w14:paraId="3A2B9F87" w14:textId="77777777" w:rsidR="00561686" w:rsidRPr="00DF3006" w:rsidRDefault="00561686" w:rsidP="00561686">
      <w:pPr>
        <w:rPr>
          <w:color w:val="414042" w:themeColor="text1"/>
        </w:rPr>
      </w:pPr>
      <w:r w:rsidRPr="00DF3006">
        <w:rPr>
          <w:color w:val="414042" w:themeColor="text1"/>
        </w:rPr>
        <w:t xml:space="preserve">In June 2023, the Commission approved the </w:t>
      </w:r>
      <w:r w:rsidRPr="00DF3006">
        <w:rPr>
          <w:i/>
          <w:iCs/>
          <w:color w:val="414042" w:themeColor="text1"/>
        </w:rPr>
        <w:t>2023–24 Risk Appetite Statement</w:t>
      </w:r>
      <w:r w:rsidRPr="00DF3006">
        <w:rPr>
          <w:color w:val="414042" w:themeColor="text1"/>
        </w:rPr>
        <w:t xml:space="preserve">. It included a refined approach that enables enhanced risk appetite steering at the Commission level on current and emerging risks, public </w:t>
      </w:r>
      <w:proofErr w:type="gramStart"/>
      <w:r w:rsidRPr="00DF3006">
        <w:rPr>
          <w:color w:val="414042" w:themeColor="text1"/>
        </w:rPr>
        <w:t>confidence</w:t>
      </w:r>
      <w:proofErr w:type="gramEnd"/>
      <w:r w:rsidRPr="00DF3006">
        <w:rPr>
          <w:color w:val="414042" w:themeColor="text1"/>
        </w:rPr>
        <w:t xml:space="preserve"> and operational matters, whilst demonstrating the CCC’s firm commitment to the achievement of its purpose and the strategic objectives.  There are inherent risks in the work of the CCC. The CCC acknowledges that it will in some cases need to retain risk as it pursues its purpose and strategic objectives.</w:t>
      </w:r>
    </w:p>
    <w:p w14:paraId="4D5608F9" w14:textId="77777777" w:rsidR="00604D9B" w:rsidRPr="00DF3006" w:rsidRDefault="00604D9B">
      <w:pPr>
        <w:spacing w:before="120" w:after="0" w:line="260" w:lineRule="exact"/>
        <w:rPr>
          <w:rFonts w:ascii="Calibri" w:hAnsi="Calibri" w:cs="Calibri"/>
          <w:b/>
          <w:bCs/>
          <w:color w:val="414042" w:themeColor="text1"/>
          <w:szCs w:val="18"/>
        </w:rPr>
      </w:pPr>
      <w:r w:rsidRPr="00DF3006">
        <w:rPr>
          <w:color w:val="414042" w:themeColor="text1"/>
        </w:rPr>
        <w:br w:type="page"/>
      </w:r>
    </w:p>
    <w:p w14:paraId="3693C5E6" w14:textId="691B09DB" w:rsidR="00561686" w:rsidRPr="00DF3006" w:rsidRDefault="00561686" w:rsidP="00463FBB">
      <w:pPr>
        <w:pStyle w:val="Heading4"/>
      </w:pPr>
      <w:r w:rsidRPr="00DF3006">
        <w:lastRenderedPageBreak/>
        <w:t>Responding to emerging opportunities and risks</w:t>
      </w:r>
    </w:p>
    <w:p w14:paraId="5E1BE9CF" w14:textId="77777777" w:rsidR="00561686" w:rsidRPr="00DF3006" w:rsidRDefault="00561686" w:rsidP="00561686">
      <w:pPr>
        <w:rPr>
          <w:color w:val="414042" w:themeColor="text1"/>
        </w:rPr>
      </w:pPr>
      <w:r w:rsidRPr="00DF3006">
        <w:rPr>
          <w:color w:val="414042" w:themeColor="text1"/>
        </w:rPr>
        <w:t>Each year through the annual strategic planning process, we consider the changing nature of our operating environment on the risk profile of our work. At the end of 2022–23, our risk strategy was drafted to address the following key emerging risks:</w:t>
      </w:r>
    </w:p>
    <w:p w14:paraId="6FE5A18F" w14:textId="7DC40EB6" w:rsidR="00561686" w:rsidRPr="00DF3006" w:rsidRDefault="00561686">
      <w:pPr>
        <w:pStyle w:val="Bullets"/>
        <w:rPr>
          <w:color w:val="414042" w:themeColor="text1"/>
        </w:rPr>
      </w:pPr>
      <w:r w:rsidRPr="00DF3006">
        <w:rPr>
          <w:b/>
          <w:bCs/>
          <w:color w:val="414042" w:themeColor="text1"/>
        </w:rPr>
        <w:t xml:space="preserve">Cyber, </w:t>
      </w:r>
      <w:r w:rsidR="00673BFF" w:rsidRPr="00DF3006">
        <w:rPr>
          <w:b/>
          <w:bCs/>
          <w:color w:val="414042" w:themeColor="text1"/>
        </w:rPr>
        <w:t xml:space="preserve">data and </w:t>
      </w:r>
      <w:r w:rsidRPr="00DF3006">
        <w:rPr>
          <w:b/>
          <w:bCs/>
          <w:color w:val="414042" w:themeColor="text1"/>
        </w:rPr>
        <w:t xml:space="preserve">IT </w:t>
      </w:r>
      <w:r w:rsidR="00673BFF" w:rsidRPr="00DF3006">
        <w:rPr>
          <w:b/>
          <w:bCs/>
          <w:color w:val="414042" w:themeColor="text1"/>
        </w:rPr>
        <w:t>s</w:t>
      </w:r>
      <w:r w:rsidRPr="00DF3006">
        <w:rPr>
          <w:b/>
          <w:bCs/>
          <w:color w:val="414042" w:themeColor="text1"/>
        </w:rPr>
        <w:t xml:space="preserve">ecurity </w:t>
      </w:r>
      <w:r w:rsidRPr="00DF3006">
        <w:rPr>
          <w:rFonts w:asciiTheme="minorHAnsi" w:hAnsiTheme="minorHAnsi" w:cstheme="minorHAnsi"/>
          <w:b/>
          <w:color w:val="414042" w:themeColor="text1"/>
          <w:spacing w:val="-4"/>
        </w:rPr>
        <w:t>—</w:t>
      </w:r>
      <w:r w:rsidRPr="00DF3006">
        <w:rPr>
          <w:color w:val="414042" w:themeColor="text1"/>
        </w:rPr>
        <w:t xml:space="preserve"> the rise of technology, reflecting digitisation and the increasing value of data, causes cyber security risks that may result in data breaches that disrupt our operations and put people’s safety at risk.</w:t>
      </w:r>
    </w:p>
    <w:p w14:paraId="5773D259" w14:textId="74F09C7E" w:rsidR="00561686" w:rsidRPr="00DF3006" w:rsidRDefault="00561686">
      <w:pPr>
        <w:pStyle w:val="Bullets"/>
        <w:rPr>
          <w:color w:val="414042" w:themeColor="text1"/>
        </w:rPr>
      </w:pPr>
      <w:r w:rsidRPr="00DF3006">
        <w:rPr>
          <w:b/>
          <w:bCs/>
          <w:color w:val="414042" w:themeColor="text1"/>
        </w:rPr>
        <w:t xml:space="preserve">New </w:t>
      </w:r>
      <w:r w:rsidR="00673BFF" w:rsidRPr="00DF3006">
        <w:rPr>
          <w:b/>
          <w:bCs/>
          <w:color w:val="414042" w:themeColor="text1"/>
        </w:rPr>
        <w:t xml:space="preserve">digital technologies </w:t>
      </w:r>
      <w:r w:rsidRPr="00DF3006">
        <w:rPr>
          <w:rFonts w:asciiTheme="minorHAnsi" w:hAnsiTheme="minorHAnsi" w:cstheme="minorHAnsi"/>
          <w:b/>
          <w:color w:val="414042" w:themeColor="text1"/>
          <w:spacing w:val="-4"/>
        </w:rPr>
        <w:t>—</w:t>
      </w:r>
      <w:r w:rsidRPr="00DF3006">
        <w:rPr>
          <w:color w:val="414042" w:themeColor="text1"/>
        </w:rPr>
        <w:t xml:space="preserve"> new forms of digital technologies may bring into question the reliability of intelligence, establishing proof and evidence of crime.</w:t>
      </w:r>
    </w:p>
    <w:p w14:paraId="115993A6" w14:textId="77777777" w:rsidR="00561686" w:rsidRPr="00DF3006" w:rsidRDefault="00561686">
      <w:pPr>
        <w:pStyle w:val="Bullets"/>
        <w:rPr>
          <w:color w:val="414042" w:themeColor="text1"/>
        </w:rPr>
      </w:pPr>
      <w:r w:rsidRPr="00DF3006">
        <w:rPr>
          <w:b/>
          <w:bCs/>
          <w:color w:val="414042" w:themeColor="text1"/>
        </w:rPr>
        <w:t xml:space="preserve">Talent </w:t>
      </w:r>
      <w:r w:rsidRPr="00DF3006">
        <w:rPr>
          <w:rFonts w:asciiTheme="minorHAnsi" w:hAnsiTheme="minorHAnsi" w:cstheme="minorHAnsi"/>
          <w:b/>
          <w:color w:val="414042" w:themeColor="text1"/>
          <w:spacing w:val="-4"/>
        </w:rPr>
        <w:t>—</w:t>
      </w:r>
      <w:r w:rsidRPr="00DF3006">
        <w:rPr>
          <w:color w:val="414042" w:themeColor="text1"/>
        </w:rPr>
        <w:t xml:space="preserve"> talent shortages, a gap in workforce skills, the changing nature of the workforce and challenges associated with a small-scale agency delivering specialist capabilities have the potential to impede our strategy execution.</w:t>
      </w:r>
    </w:p>
    <w:p w14:paraId="34820FB0" w14:textId="77777777" w:rsidR="00561686" w:rsidRPr="00DF3006" w:rsidRDefault="00561686">
      <w:pPr>
        <w:pStyle w:val="Bullets"/>
        <w:rPr>
          <w:color w:val="414042" w:themeColor="text1"/>
        </w:rPr>
      </w:pPr>
      <w:r w:rsidRPr="00DF3006">
        <w:rPr>
          <w:b/>
          <w:bCs/>
          <w:color w:val="414042" w:themeColor="text1"/>
        </w:rPr>
        <w:t xml:space="preserve">Changes </w:t>
      </w:r>
      <w:r w:rsidRPr="00DF3006">
        <w:rPr>
          <w:rFonts w:asciiTheme="minorHAnsi" w:hAnsiTheme="minorHAnsi" w:cstheme="minorHAnsi"/>
          <w:b/>
          <w:color w:val="414042" w:themeColor="text1"/>
          <w:spacing w:val="-4"/>
        </w:rPr>
        <w:t>—</w:t>
      </w:r>
      <w:r w:rsidRPr="00DF3006">
        <w:rPr>
          <w:color w:val="414042" w:themeColor="text1"/>
        </w:rPr>
        <w:t xml:space="preserve"> the size and complexity of our transformation program and our ability to adapt to change may lead to delivery risks and reduce the benefits delivered.</w:t>
      </w:r>
    </w:p>
    <w:p w14:paraId="7CA0983E" w14:textId="77777777" w:rsidR="00561686" w:rsidRPr="00DF3006" w:rsidRDefault="00561686">
      <w:pPr>
        <w:pStyle w:val="Bullets"/>
        <w:rPr>
          <w:color w:val="414042" w:themeColor="text1"/>
        </w:rPr>
      </w:pPr>
      <w:r w:rsidRPr="00DF3006">
        <w:rPr>
          <w:b/>
          <w:bCs/>
          <w:color w:val="414042" w:themeColor="text1"/>
        </w:rPr>
        <w:t xml:space="preserve">Regulation </w:t>
      </w:r>
      <w:r w:rsidRPr="00DF3006">
        <w:rPr>
          <w:rFonts w:asciiTheme="minorHAnsi" w:hAnsiTheme="minorHAnsi" w:cstheme="minorHAnsi"/>
          <w:b/>
          <w:color w:val="414042" w:themeColor="text1"/>
          <w:spacing w:val="-4"/>
        </w:rPr>
        <w:t>—</w:t>
      </w:r>
      <w:r w:rsidRPr="00DF3006">
        <w:rPr>
          <w:color w:val="414042" w:themeColor="text1"/>
        </w:rPr>
        <w:t xml:space="preserve"> legislation that fails to keep pace with our dynamic operating environment and changing regulatory scrutiny may require changes to our operating model to maintain effective and efficient service delivery.</w:t>
      </w:r>
    </w:p>
    <w:p w14:paraId="37FD8367" w14:textId="61EDACE9" w:rsidR="00561686" w:rsidRPr="00DF3006" w:rsidRDefault="00561686">
      <w:pPr>
        <w:pStyle w:val="Bullets"/>
        <w:rPr>
          <w:color w:val="414042" w:themeColor="text1"/>
        </w:rPr>
      </w:pPr>
      <w:r w:rsidRPr="00DF3006">
        <w:rPr>
          <w:b/>
          <w:bCs/>
          <w:color w:val="414042" w:themeColor="text1"/>
        </w:rPr>
        <w:t xml:space="preserve">Public </w:t>
      </w:r>
      <w:r w:rsidR="00673BFF" w:rsidRPr="00DF3006">
        <w:rPr>
          <w:b/>
          <w:bCs/>
          <w:color w:val="414042" w:themeColor="text1"/>
        </w:rPr>
        <w:t>c</w:t>
      </w:r>
      <w:r w:rsidRPr="00DF3006">
        <w:rPr>
          <w:b/>
          <w:bCs/>
          <w:color w:val="414042" w:themeColor="text1"/>
        </w:rPr>
        <w:t>onfidence</w:t>
      </w:r>
      <w:r w:rsidRPr="00DF3006">
        <w:rPr>
          <w:color w:val="414042" w:themeColor="text1"/>
        </w:rPr>
        <w:t xml:space="preserve"> </w:t>
      </w:r>
      <w:r w:rsidRPr="00DF3006">
        <w:rPr>
          <w:rFonts w:asciiTheme="minorHAnsi" w:hAnsiTheme="minorHAnsi" w:cstheme="minorHAnsi"/>
          <w:b/>
          <w:color w:val="414042" w:themeColor="text1"/>
          <w:spacing w:val="-4"/>
        </w:rPr>
        <w:t>—</w:t>
      </w:r>
      <w:r w:rsidRPr="00DF3006">
        <w:rPr>
          <w:color w:val="414042" w:themeColor="text1"/>
        </w:rPr>
        <w:t xml:space="preserve"> accountability and transparency are critical to the performance of the CCC. Failure to communicate effectively may undermine public confidence, and</w:t>
      </w:r>
    </w:p>
    <w:p w14:paraId="13A6CA15" w14:textId="77777777" w:rsidR="00561686" w:rsidRPr="00DF3006" w:rsidRDefault="00561686">
      <w:pPr>
        <w:pStyle w:val="Bullets"/>
        <w:rPr>
          <w:color w:val="414042" w:themeColor="text1"/>
        </w:rPr>
      </w:pPr>
      <w:r w:rsidRPr="00DF3006">
        <w:rPr>
          <w:b/>
          <w:bCs/>
          <w:color w:val="414042" w:themeColor="text1"/>
        </w:rPr>
        <w:t>Economy</w:t>
      </w:r>
      <w:r w:rsidRPr="00DF3006">
        <w:rPr>
          <w:color w:val="414042" w:themeColor="text1"/>
        </w:rPr>
        <w:t xml:space="preserve"> </w:t>
      </w:r>
      <w:r w:rsidRPr="00DF3006">
        <w:rPr>
          <w:rFonts w:asciiTheme="minorHAnsi" w:hAnsiTheme="minorHAnsi" w:cstheme="minorHAnsi"/>
          <w:b/>
          <w:color w:val="414042" w:themeColor="text1"/>
          <w:spacing w:val="-4"/>
        </w:rPr>
        <w:t>—</w:t>
      </w:r>
      <w:r w:rsidRPr="00DF3006">
        <w:rPr>
          <w:color w:val="414042" w:themeColor="text1"/>
        </w:rPr>
        <w:t xml:space="preserve"> economic instability, anticipated financial implications of a transformational change program, and increasing digital investment may constrain performance.</w:t>
      </w:r>
    </w:p>
    <w:p w14:paraId="00A33BEF" w14:textId="2EA4476D" w:rsidR="00561686" w:rsidRPr="00DF3006" w:rsidRDefault="00561686" w:rsidP="00561686">
      <w:pPr>
        <w:pStyle w:val="Bullets"/>
        <w:numPr>
          <w:ilvl w:val="0"/>
          <w:numId w:val="0"/>
        </w:numPr>
        <w:ind w:left="142"/>
        <w:rPr>
          <w:color w:val="414042" w:themeColor="text1"/>
        </w:rPr>
      </w:pPr>
      <w:r w:rsidRPr="00DF3006">
        <w:rPr>
          <w:color w:val="414042" w:themeColor="text1"/>
        </w:rPr>
        <w:t>The strategic opportunities identified through th</w:t>
      </w:r>
      <w:r w:rsidR="00407FB6" w:rsidRPr="00DF3006">
        <w:rPr>
          <w:color w:val="414042" w:themeColor="text1"/>
        </w:rPr>
        <w:t xml:space="preserve">is </w:t>
      </w:r>
      <w:r w:rsidRPr="00DF3006">
        <w:rPr>
          <w:color w:val="414042" w:themeColor="text1"/>
        </w:rPr>
        <w:t xml:space="preserve">planning process </w:t>
      </w:r>
      <w:r w:rsidR="00407FB6" w:rsidRPr="00DF3006">
        <w:rPr>
          <w:color w:val="414042" w:themeColor="text1"/>
        </w:rPr>
        <w:t>were</w:t>
      </w:r>
      <w:r w:rsidRPr="00DF3006">
        <w:rPr>
          <w:color w:val="414042" w:themeColor="text1"/>
        </w:rPr>
        <w:t>:</w:t>
      </w:r>
    </w:p>
    <w:p w14:paraId="113EEB10" w14:textId="77777777" w:rsidR="00561686" w:rsidRPr="00DF3006" w:rsidRDefault="00561686">
      <w:pPr>
        <w:pStyle w:val="Bullets"/>
        <w:rPr>
          <w:color w:val="414042" w:themeColor="text1"/>
        </w:rPr>
      </w:pPr>
      <w:r w:rsidRPr="00DF3006">
        <w:rPr>
          <w:b/>
          <w:bCs/>
          <w:color w:val="414042" w:themeColor="text1"/>
        </w:rPr>
        <w:t>Strategic alliances</w:t>
      </w:r>
      <w:r w:rsidRPr="00DF3006">
        <w:rPr>
          <w:color w:val="414042" w:themeColor="text1"/>
        </w:rPr>
        <w:t xml:space="preserve"> </w:t>
      </w:r>
      <w:r w:rsidRPr="00DF3006">
        <w:rPr>
          <w:rFonts w:asciiTheme="minorHAnsi" w:hAnsiTheme="minorHAnsi" w:cstheme="minorHAnsi"/>
          <w:b/>
          <w:color w:val="414042" w:themeColor="text1"/>
          <w:spacing w:val="-4"/>
        </w:rPr>
        <w:t>—</w:t>
      </w:r>
      <w:r w:rsidRPr="00DF3006">
        <w:rPr>
          <w:color w:val="414042" w:themeColor="text1"/>
        </w:rPr>
        <w:t xml:space="preserve"> collaborating and partnering to achieve outcomes we would not achieve </w:t>
      </w:r>
      <w:proofErr w:type="gramStart"/>
      <w:r w:rsidRPr="00DF3006">
        <w:rPr>
          <w:color w:val="414042" w:themeColor="text1"/>
        </w:rPr>
        <w:t>alone</w:t>
      </w:r>
      <w:proofErr w:type="gramEnd"/>
    </w:p>
    <w:p w14:paraId="35CC70DF" w14:textId="77777777" w:rsidR="00561686" w:rsidRPr="00DF3006" w:rsidRDefault="00561686">
      <w:pPr>
        <w:pStyle w:val="Bullets"/>
        <w:rPr>
          <w:color w:val="414042" w:themeColor="text1"/>
        </w:rPr>
      </w:pPr>
      <w:r w:rsidRPr="00DF3006">
        <w:rPr>
          <w:b/>
          <w:bCs/>
          <w:color w:val="414042" w:themeColor="text1"/>
        </w:rPr>
        <w:t>Data and digital capabilities</w:t>
      </w:r>
      <w:r w:rsidRPr="00DF3006">
        <w:rPr>
          <w:color w:val="414042" w:themeColor="text1"/>
        </w:rPr>
        <w:t xml:space="preserve"> </w:t>
      </w:r>
      <w:r w:rsidRPr="00DF3006">
        <w:rPr>
          <w:rFonts w:asciiTheme="minorHAnsi" w:hAnsiTheme="minorHAnsi" w:cstheme="minorHAnsi"/>
          <w:b/>
          <w:color w:val="414042" w:themeColor="text1"/>
          <w:spacing w:val="-4"/>
        </w:rPr>
        <w:t>—</w:t>
      </w:r>
      <w:r w:rsidRPr="00DF3006">
        <w:rPr>
          <w:color w:val="414042" w:themeColor="text1"/>
        </w:rPr>
        <w:t xml:space="preserve"> leveraging new technology and insights to improve efficiency and </w:t>
      </w:r>
      <w:proofErr w:type="gramStart"/>
      <w:r w:rsidRPr="00DF3006">
        <w:rPr>
          <w:color w:val="414042" w:themeColor="text1"/>
        </w:rPr>
        <w:t>effectiveness</w:t>
      </w:r>
      <w:proofErr w:type="gramEnd"/>
    </w:p>
    <w:p w14:paraId="7F12F8DB" w14:textId="77777777" w:rsidR="00561686" w:rsidRPr="00DF3006" w:rsidRDefault="00561686">
      <w:pPr>
        <w:pStyle w:val="Bullets"/>
        <w:rPr>
          <w:color w:val="414042" w:themeColor="text1"/>
        </w:rPr>
      </w:pPr>
      <w:r w:rsidRPr="00DF3006">
        <w:rPr>
          <w:b/>
          <w:bCs/>
          <w:color w:val="414042" w:themeColor="text1"/>
        </w:rPr>
        <w:t xml:space="preserve">Human capital </w:t>
      </w:r>
      <w:r w:rsidRPr="00DF3006">
        <w:rPr>
          <w:rFonts w:asciiTheme="minorHAnsi" w:hAnsiTheme="minorHAnsi" w:cstheme="minorHAnsi"/>
          <w:b/>
          <w:color w:val="414042" w:themeColor="text1"/>
          <w:spacing w:val="-4"/>
        </w:rPr>
        <w:t>—</w:t>
      </w:r>
      <w:r w:rsidRPr="00DF3006">
        <w:rPr>
          <w:color w:val="414042" w:themeColor="text1"/>
        </w:rPr>
        <w:t xml:space="preserve"> accessing specialist capability and developing and empowering our </w:t>
      </w:r>
      <w:proofErr w:type="gramStart"/>
      <w:r w:rsidRPr="00DF3006">
        <w:rPr>
          <w:color w:val="414042" w:themeColor="text1"/>
        </w:rPr>
        <w:t>workforce</w:t>
      </w:r>
      <w:proofErr w:type="gramEnd"/>
    </w:p>
    <w:p w14:paraId="15E1E9FD" w14:textId="77777777" w:rsidR="00561686" w:rsidRPr="00DF3006" w:rsidRDefault="00561686">
      <w:pPr>
        <w:pStyle w:val="Bullets"/>
        <w:rPr>
          <w:color w:val="414042" w:themeColor="text1"/>
        </w:rPr>
      </w:pPr>
      <w:r w:rsidRPr="00DF3006">
        <w:rPr>
          <w:b/>
          <w:bCs/>
          <w:color w:val="414042" w:themeColor="text1"/>
        </w:rPr>
        <w:t>Digital interoperability</w:t>
      </w:r>
      <w:r w:rsidRPr="00DF3006">
        <w:rPr>
          <w:color w:val="414042" w:themeColor="text1"/>
        </w:rPr>
        <w:t xml:space="preserve"> </w:t>
      </w:r>
      <w:r w:rsidRPr="00DF3006">
        <w:rPr>
          <w:rFonts w:asciiTheme="minorHAnsi" w:hAnsiTheme="minorHAnsi" w:cstheme="minorHAnsi"/>
          <w:b/>
          <w:color w:val="414042" w:themeColor="text1"/>
          <w:spacing w:val="-4"/>
        </w:rPr>
        <w:t>—</w:t>
      </w:r>
      <w:r w:rsidRPr="00DF3006">
        <w:rPr>
          <w:color w:val="414042" w:themeColor="text1"/>
        </w:rPr>
        <w:t xml:space="preserve"> investing wisely in digital systems to support cross-functionality and improve performance, and</w:t>
      </w:r>
    </w:p>
    <w:p w14:paraId="16DA4F47" w14:textId="77777777" w:rsidR="00561686" w:rsidRPr="00DF3006" w:rsidRDefault="00561686">
      <w:pPr>
        <w:pStyle w:val="Bullets"/>
        <w:rPr>
          <w:color w:val="414042" w:themeColor="text1"/>
        </w:rPr>
      </w:pPr>
      <w:r w:rsidRPr="00DF3006">
        <w:rPr>
          <w:b/>
          <w:bCs/>
          <w:color w:val="414042" w:themeColor="text1"/>
        </w:rPr>
        <w:t>Transparency and accountability</w:t>
      </w:r>
      <w:r w:rsidRPr="00DF3006">
        <w:rPr>
          <w:color w:val="414042" w:themeColor="text1"/>
        </w:rPr>
        <w:t xml:space="preserve"> </w:t>
      </w:r>
      <w:r w:rsidRPr="00DF3006">
        <w:rPr>
          <w:rFonts w:asciiTheme="minorHAnsi" w:hAnsiTheme="minorHAnsi" w:cstheme="minorHAnsi"/>
          <w:b/>
          <w:color w:val="414042" w:themeColor="text1"/>
          <w:spacing w:val="-4"/>
        </w:rPr>
        <w:t>—</w:t>
      </w:r>
      <w:r w:rsidRPr="00DF3006">
        <w:rPr>
          <w:color w:val="414042" w:themeColor="text1"/>
        </w:rPr>
        <w:t xml:space="preserve"> enhancing public confidence through effective and accessible communication.</w:t>
      </w:r>
    </w:p>
    <w:p w14:paraId="50200B64" w14:textId="250D6CE0" w:rsidR="00561686" w:rsidRPr="00DF3006" w:rsidRDefault="00561686" w:rsidP="00561686">
      <w:pPr>
        <w:pStyle w:val="Bullets"/>
        <w:numPr>
          <w:ilvl w:val="0"/>
          <w:numId w:val="0"/>
        </w:numPr>
        <w:rPr>
          <w:color w:val="414042" w:themeColor="text1"/>
        </w:rPr>
      </w:pPr>
      <w:bookmarkStart w:id="1693" w:name="_Hlk74321052"/>
      <w:bookmarkStart w:id="1694" w:name="_Hlk76025688"/>
      <w:bookmarkStart w:id="1695" w:name="_Toc102038070"/>
      <w:bookmarkStart w:id="1696" w:name="_Toc102038431"/>
      <w:bookmarkStart w:id="1697" w:name="_Toc102038792"/>
      <w:bookmarkStart w:id="1698" w:name="_Toc102039144"/>
      <w:bookmarkStart w:id="1699" w:name="_Toc102039493"/>
      <w:bookmarkStart w:id="1700" w:name="_Toc102039855"/>
      <w:bookmarkStart w:id="1701" w:name="_Toc102040212"/>
      <w:bookmarkStart w:id="1702" w:name="_Toc102040540"/>
      <w:bookmarkStart w:id="1703" w:name="_Toc102040874"/>
      <w:bookmarkStart w:id="1704" w:name="_Toc102041202"/>
      <w:bookmarkStart w:id="1705" w:name="_Toc102041531"/>
      <w:bookmarkStart w:id="1706" w:name="_Toc102041863"/>
      <w:bookmarkStart w:id="1707" w:name="_Toc102042190"/>
      <w:bookmarkStart w:id="1708" w:name="_Toc102042520"/>
      <w:bookmarkStart w:id="1709" w:name="_Toc102045650"/>
      <w:bookmarkEnd w:id="1690"/>
      <w:bookmarkEnd w:id="1691"/>
      <w:bookmarkEnd w:id="1692"/>
      <w:r w:rsidRPr="00DF3006">
        <w:rPr>
          <w:rFonts w:asciiTheme="minorHAnsi" w:hAnsiTheme="minorHAnsi"/>
          <w:b/>
          <w:bCs/>
          <w:noProof/>
          <w:color w:val="414042" w:themeColor="text1"/>
          <w:sz w:val="28"/>
          <w:szCs w:val="28"/>
        </w:rPr>
        <w:t>Internal audit</w:t>
      </w:r>
    </w:p>
    <w:p w14:paraId="7861E8CC" w14:textId="77777777" w:rsidR="00561686" w:rsidRPr="00DF3006" w:rsidRDefault="00561686" w:rsidP="00561686">
      <w:pPr>
        <w:rPr>
          <w:color w:val="414042" w:themeColor="text1"/>
        </w:rPr>
      </w:pPr>
      <w:r w:rsidRPr="00DF3006">
        <w:rPr>
          <w:color w:val="414042" w:themeColor="text1"/>
        </w:rPr>
        <w:t xml:space="preserve">Internal audit is a statutory function established to provide an independent appraisal of internal control systems in place within our </w:t>
      </w:r>
      <w:proofErr w:type="gramStart"/>
      <w:r w:rsidRPr="00DF3006">
        <w:rPr>
          <w:color w:val="414042" w:themeColor="text1"/>
        </w:rPr>
        <w:t>agency, and</w:t>
      </w:r>
      <w:proofErr w:type="gramEnd"/>
      <w:r w:rsidRPr="00DF3006">
        <w:rPr>
          <w:color w:val="414042" w:themeColor="text1"/>
        </w:rPr>
        <w:t xml:space="preserve"> extends to identifying deficiencies in our other operating systems and processes.</w:t>
      </w:r>
    </w:p>
    <w:p w14:paraId="5F2CC268" w14:textId="77777777" w:rsidR="00561686" w:rsidRPr="00DF3006" w:rsidRDefault="00561686" w:rsidP="00561686">
      <w:pPr>
        <w:rPr>
          <w:color w:val="414042" w:themeColor="text1"/>
        </w:rPr>
      </w:pPr>
      <w:r w:rsidRPr="00DF3006">
        <w:rPr>
          <w:color w:val="414042" w:themeColor="text1"/>
        </w:rPr>
        <w:t xml:space="preserve">To ensure our internal audit function is effective, </w:t>
      </w:r>
      <w:proofErr w:type="gramStart"/>
      <w:r w:rsidRPr="00DF3006">
        <w:rPr>
          <w:color w:val="414042" w:themeColor="text1"/>
        </w:rPr>
        <w:t>efficient</w:t>
      </w:r>
      <w:proofErr w:type="gramEnd"/>
      <w:r w:rsidRPr="00DF3006">
        <w:rPr>
          <w:color w:val="414042" w:themeColor="text1"/>
        </w:rPr>
        <w:t xml:space="preserve"> and economical, we have implemented the use of standardised templates on each internal audit in conjunction with the quarterly status update reporting of various performance indicators to our ARMC.</w:t>
      </w:r>
    </w:p>
    <w:p w14:paraId="532B09FD" w14:textId="77777777" w:rsidR="00561686" w:rsidRPr="00DF3006" w:rsidRDefault="00561686" w:rsidP="00561686">
      <w:pPr>
        <w:rPr>
          <w:color w:val="414042" w:themeColor="text1"/>
        </w:rPr>
      </w:pPr>
      <w:r w:rsidRPr="00DF3006">
        <w:rPr>
          <w:color w:val="414042" w:themeColor="text1"/>
        </w:rPr>
        <w:t>Key achievements for 2022–23 include:</w:t>
      </w:r>
    </w:p>
    <w:p w14:paraId="352B1291" w14:textId="77777777" w:rsidR="00561686" w:rsidRPr="00DF3006" w:rsidRDefault="00561686">
      <w:pPr>
        <w:pStyle w:val="Bullets"/>
        <w:rPr>
          <w:color w:val="414042" w:themeColor="text1"/>
        </w:rPr>
      </w:pPr>
      <w:r w:rsidRPr="00DF3006">
        <w:rPr>
          <w:color w:val="414042" w:themeColor="text1"/>
        </w:rPr>
        <w:t xml:space="preserve">developing our </w:t>
      </w:r>
      <w:r w:rsidRPr="00DF3006">
        <w:rPr>
          <w:i/>
          <w:iCs/>
          <w:color w:val="414042" w:themeColor="text1"/>
        </w:rPr>
        <w:t>Internal Audit Plan 2023–24</w:t>
      </w:r>
      <w:r w:rsidRPr="00DF3006">
        <w:rPr>
          <w:color w:val="414042" w:themeColor="text1"/>
        </w:rPr>
        <w:t xml:space="preserve"> and </w:t>
      </w:r>
      <w:r w:rsidRPr="00DF3006">
        <w:rPr>
          <w:i/>
          <w:iCs/>
          <w:color w:val="414042" w:themeColor="text1"/>
        </w:rPr>
        <w:t>Strategic Internal Audit Plan 2023–27</w:t>
      </w:r>
      <w:r w:rsidRPr="00DF3006">
        <w:rPr>
          <w:color w:val="414042" w:themeColor="text1"/>
        </w:rPr>
        <w:t xml:space="preserve"> based on our strategic and operational risks and presented both plans to our </w:t>
      </w:r>
      <w:proofErr w:type="gramStart"/>
      <w:r w:rsidRPr="00DF3006">
        <w:rPr>
          <w:color w:val="414042" w:themeColor="text1"/>
        </w:rPr>
        <w:t>ARMC</w:t>
      </w:r>
      <w:proofErr w:type="gramEnd"/>
    </w:p>
    <w:p w14:paraId="50740E7B" w14:textId="6A8A3C6E" w:rsidR="00561686" w:rsidRPr="00DF3006" w:rsidRDefault="00561686">
      <w:pPr>
        <w:pStyle w:val="Bullets"/>
        <w:rPr>
          <w:color w:val="414042" w:themeColor="text1"/>
        </w:rPr>
      </w:pPr>
      <w:r w:rsidRPr="00DF3006">
        <w:rPr>
          <w:color w:val="414042" w:themeColor="text1"/>
        </w:rPr>
        <w:t>completing seven internal audits</w:t>
      </w:r>
      <w:r w:rsidR="00407FB6" w:rsidRPr="00DF3006">
        <w:rPr>
          <w:color w:val="414042" w:themeColor="text1"/>
        </w:rPr>
        <w:t xml:space="preserve"> (</w:t>
      </w:r>
      <w:r w:rsidRPr="00DF3006">
        <w:rPr>
          <w:color w:val="414042" w:themeColor="text1"/>
        </w:rPr>
        <w:t>Vic Roads Agreement</w:t>
      </w:r>
      <w:r w:rsidR="00673BFF" w:rsidRPr="00DF3006">
        <w:rPr>
          <w:color w:val="414042" w:themeColor="text1"/>
        </w:rPr>
        <w:t>;</w:t>
      </w:r>
      <w:r w:rsidRPr="00DF3006">
        <w:rPr>
          <w:color w:val="414042" w:themeColor="text1"/>
        </w:rPr>
        <w:t xml:space="preserve"> AUSTRAC Memorandum of Understanding</w:t>
      </w:r>
      <w:r w:rsidR="00673BFF" w:rsidRPr="00DF3006">
        <w:rPr>
          <w:color w:val="414042" w:themeColor="text1"/>
        </w:rPr>
        <w:t>;</w:t>
      </w:r>
      <w:r w:rsidRPr="00DF3006">
        <w:rPr>
          <w:color w:val="414042" w:themeColor="text1"/>
        </w:rPr>
        <w:t xml:space="preserve"> Personal Property Securities Register </w:t>
      </w:r>
      <w:r w:rsidR="00407FB6" w:rsidRPr="00DF3006">
        <w:rPr>
          <w:color w:val="414042" w:themeColor="text1"/>
        </w:rPr>
        <w:t>Memorandum of Understanding</w:t>
      </w:r>
      <w:r w:rsidR="00673BFF" w:rsidRPr="00DF3006">
        <w:rPr>
          <w:color w:val="414042" w:themeColor="text1"/>
        </w:rPr>
        <w:t>;</w:t>
      </w:r>
      <w:r w:rsidRPr="00DF3006">
        <w:rPr>
          <w:color w:val="414042" w:themeColor="text1"/>
        </w:rPr>
        <w:t xml:space="preserve"> IT Regulatory Compliance</w:t>
      </w:r>
      <w:r w:rsidR="00673BFF" w:rsidRPr="00DF3006">
        <w:rPr>
          <w:color w:val="414042" w:themeColor="text1"/>
        </w:rPr>
        <w:t>;</w:t>
      </w:r>
      <w:r w:rsidRPr="00DF3006">
        <w:rPr>
          <w:color w:val="414042" w:themeColor="text1"/>
        </w:rPr>
        <w:t xml:space="preserve"> Witness Protection Expenditure</w:t>
      </w:r>
      <w:r w:rsidR="00673BFF" w:rsidRPr="00DF3006">
        <w:rPr>
          <w:color w:val="414042" w:themeColor="text1"/>
        </w:rPr>
        <w:t>;</w:t>
      </w:r>
      <w:r w:rsidRPr="00DF3006">
        <w:rPr>
          <w:color w:val="414042" w:themeColor="text1"/>
        </w:rPr>
        <w:t xml:space="preserve"> IT Disaster Recovery and Business Continuity</w:t>
      </w:r>
      <w:r w:rsidR="00673BFF" w:rsidRPr="00DF3006">
        <w:rPr>
          <w:color w:val="414042" w:themeColor="text1"/>
        </w:rPr>
        <w:t>;</w:t>
      </w:r>
      <w:r w:rsidRPr="00DF3006">
        <w:rPr>
          <w:color w:val="414042" w:themeColor="text1"/>
        </w:rPr>
        <w:t xml:space="preserve"> and a Quality Assurance Review of the Internal Audit function</w:t>
      </w:r>
      <w:r w:rsidR="00407FB6" w:rsidRPr="00DF3006">
        <w:rPr>
          <w:color w:val="414042" w:themeColor="text1"/>
        </w:rPr>
        <w:t>)</w:t>
      </w:r>
    </w:p>
    <w:p w14:paraId="0F5C5B4E" w14:textId="31F3A7C0" w:rsidR="00561686" w:rsidRPr="00DF3006" w:rsidRDefault="00561686">
      <w:pPr>
        <w:pStyle w:val="Bullets"/>
        <w:rPr>
          <w:color w:val="414042" w:themeColor="text1"/>
        </w:rPr>
      </w:pPr>
      <w:r w:rsidRPr="00DF3006">
        <w:rPr>
          <w:color w:val="414042" w:themeColor="text1"/>
        </w:rPr>
        <w:t>monitoring and reporting on the status of implementation of recommendations from internal audits and external reviews, and</w:t>
      </w:r>
    </w:p>
    <w:p w14:paraId="652771E9" w14:textId="77777777" w:rsidR="00561686" w:rsidRPr="00DF3006" w:rsidRDefault="00561686">
      <w:pPr>
        <w:pStyle w:val="Bullets"/>
        <w:rPr>
          <w:color w:val="414042" w:themeColor="text1"/>
        </w:rPr>
      </w:pPr>
      <w:r w:rsidRPr="00DF3006">
        <w:rPr>
          <w:color w:val="414042" w:themeColor="text1"/>
        </w:rPr>
        <w:t>supporting management by providing advice on governance and related issues including risk management.</w:t>
      </w:r>
    </w:p>
    <w:p w14:paraId="3549E8CA" w14:textId="77777777" w:rsidR="00561686" w:rsidRPr="00DF3006" w:rsidRDefault="00561686" w:rsidP="00561686">
      <w:pPr>
        <w:pStyle w:val="Bullets"/>
        <w:numPr>
          <w:ilvl w:val="0"/>
          <w:numId w:val="0"/>
        </w:numPr>
        <w:rPr>
          <w:rFonts w:asciiTheme="minorHAnsi" w:hAnsiTheme="minorHAnsi"/>
          <w:b/>
          <w:bCs/>
          <w:noProof/>
          <w:color w:val="414042" w:themeColor="text1"/>
          <w:sz w:val="28"/>
          <w:szCs w:val="28"/>
        </w:rPr>
      </w:pPr>
      <w:r w:rsidRPr="00DF3006">
        <w:rPr>
          <w:rFonts w:asciiTheme="minorHAnsi" w:hAnsiTheme="minorHAnsi"/>
          <w:b/>
          <w:bCs/>
          <w:noProof/>
          <w:color w:val="414042" w:themeColor="text1"/>
          <w:sz w:val="28"/>
          <w:szCs w:val="28"/>
        </w:rPr>
        <w:t>External audit</w:t>
      </w:r>
    </w:p>
    <w:p w14:paraId="6F744B7F" w14:textId="77777777" w:rsidR="00561686" w:rsidRPr="00DF3006" w:rsidRDefault="00561686" w:rsidP="00561686">
      <w:pPr>
        <w:ind w:right="-427"/>
        <w:rPr>
          <w:color w:val="414042" w:themeColor="text1"/>
        </w:rPr>
      </w:pPr>
      <w:r w:rsidRPr="00DF3006">
        <w:rPr>
          <w:color w:val="414042" w:themeColor="text1"/>
        </w:rPr>
        <w:t xml:space="preserve">External audits and reviews add value to the public sector through recommendations to improve business operations.  </w:t>
      </w:r>
    </w:p>
    <w:p w14:paraId="5B81373A" w14:textId="40A100A1" w:rsidR="00561686" w:rsidRPr="00DF3006" w:rsidRDefault="00561686" w:rsidP="00561686">
      <w:pPr>
        <w:ind w:right="-285"/>
        <w:rPr>
          <w:color w:val="414042" w:themeColor="text1"/>
        </w:rPr>
        <w:sectPr w:rsidR="00561686" w:rsidRPr="00DF3006" w:rsidSect="00C77834">
          <w:pgSz w:w="11906" w:h="16838" w:code="9"/>
          <w:pgMar w:top="2155" w:right="1134" w:bottom="964" w:left="1134" w:header="720" w:footer="284" w:gutter="0"/>
          <w:cols w:num="2" w:space="567"/>
          <w:noEndnote/>
          <w:docGrid w:linePitch="272"/>
        </w:sectPr>
      </w:pPr>
      <w:r w:rsidRPr="00DF3006">
        <w:rPr>
          <w:color w:val="414042" w:themeColor="text1"/>
        </w:rPr>
        <w:t xml:space="preserve">The QAO audits the CCC’s financial statements in accordance with the </w:t>
      </w:r>
      <w:r w:rsidRPr="00DF3006">
        <w:rPr>
          <w:i/>
          <w:iCs/>
          <w:color w:val="414042" w:themeColor="text1"/>
        </w:rPr>
        <w:t>Financial Accountability Act 2009</w:t>
      </w:r>
      <w:r w:rsidRPr="00DF3006">
        <w:rPr>
          <w:color w:val="414042" w:themeColor="text1"/>
        </w:rPr>
        <w:t xml:space="preserve"> and other applicable laws. In 2022–23, the CCC received an unqualified audit report.</w:t>
      </w:r>
    </w:p>
    <w:p w14:paraId="0730A216" w14:textId="77777777" w:rsidR="00561686" w:rsidRPr="00DF3006" w:rsidRDefault="00561686" w:rsidP="00561686">
      <w:pPr>
        <w:ind w:right="-1"/>
        <w:rPr>
          <w:color w:val="414042" w:themeColor="text1"/>
        </w:rPr>
      </w:pPr>
      <w:bookmarkStart w:id="1710" w:name="_Hlk75168754"/>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6FC6DCB0" w14:textId="77777777" w:rsidR="00561686" w:rsidRPr="00DF3006" w:rsidRDefault="00561686" w:rsidP="00561686">
      <w:pPr>
        <w:rPr>
          <w:color w:val="414042" w:themeColor="text1"/>
        </w:rPr>
        <w:sectPr w:rsidR="00561686" w:rsidRPr="00DF3006" w:rsidSect="00C77834">
          <w:headerReference w:type="even" r:id="rId267"/>
          <w:headerReference w:type="default" r:id="rId268"/>
          <w:headerReference w:type="first" r:id="rId269"/>
          <w:type w:val="continuous"/>
          <w:pgSz w:w="11906" w:h="16838" w:code="9"/>
          <w:pgMar w:top="2155" w:right="1134" w:bottom="964" w:left="1134" w:header="720" w:footer="284" w:gutter="0"/>
          <w:cols w:num="2" w:space="567"/>
          <w:noEndnote/>
          <w:docGrid w:linePitch="272"/>
        </w:sectPr>
      </w:pPr>
    </w:p>
    <w:p w14:paraId="3B0D3CB5" w14:textId="77777777" w:rsidR="00561686" w:rsidRPr="00DF3006" w:rsidRDefault="00561686" w:rsidP="00E6066A">
      <w:pPr>
        <w:pStyle w:val="Heading3"/>
      </w:pPr>
      <w:bookmarkStart w:id="1711" w:name="_Toc102038074"/>
      <w:bookmarkStart w:id="1712" w:name="_Toc102038435"/>
      <w:bookmarkStart w:id="1713" w:name="_Toc102038796"/>
      <w:bookmarkStart w:id="1714" w:name="_Toc102039148"/>
      <w:bookmarkStart w:id="1715" w:name="_Toc102039497"/>
      <w:bookmarkStart w:id="1716" w:name="_Toc102039859"/>
      <w:bookmarkStart w:id="1717" w:name="_Toc102040216"/>
      <w:bookmarkStart w:id="1718" w:name="_Toc102040544"/>
      <w:bookmarkStart w:id="1719" w:name="_Toc102040878"/>
      <w:bookmarkStart w:id="1720" w:name="_Toc102041206"/>
      <w:bookmarkStart w:id="1721" w:name="_Toc102041535"/>
      <w:bookmarkStart w:id="1722" w:name="_Toc102041867"/>
      <w:bookmarkStart w:id="1723" w:name="_Toc102042194"/>
      <w:bookmarkStart w:id="1724" w:name="_Toc102042524"/>
      <w:bookmarkStart w:id="1725" w:name="_Toc102045654"/>
      <w:r w:rsidRPr="00DF3006">
        <w:lastRenderedPageBreak/>
        <w:t>External scrutiny</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05DEAD78" w14:textId="77777777" w:rsidR="00561686" w:rsidRPr="00DF3006" w:rsidRDefault="00561686" w:rsidP="00463FBB">
      <w:pPr>
        <w:pStyle w:val="Heading4"/>
      </w:pPr>
      <w:bookmarkStart w:id="1726" w:name="_Toc102038075"/>
      <w:bookmarkStart w:id="1727" w:name="_Toc102038436"/>
      <w:bookmarkStart w:id="1728" w:name="_Toc102038797"/>
      <w:bookmarkStart w:id="1729" w:name="_Toc102039149"/>
      <w:bookmarkStart w:id="1730" w:name="_Toc102039498"/>
      <w:bookmarkStart w:id="1731" w:name="_Toc102039860"/>
      <w:bookmarkStart w:id="1732" w:name="_Toc102040217"/>
      <w:bookmarkStart w:id="1733" w:name="_Toc102040545"/>
      <w:bookmarkStart w:id="1734" w:name="_Toc102040879"/>
      <w:bookmarkStart w:id="1735" w:name="_Toc102041207"/>
      <w:bookmarkStart w:id="1736" w:name="_Toc102041536"/>
      <w:bookmarkStart w:id="1737" w:name="_Toc102041868"/>
      <w:bookmarkStart w:id="1738" w:name="_Toc102042195"/>
      <w:bookmarkStart w:id="1739" w:name="_Toc102042525"/>
      <w:bookmarkStart w:id="1740" w:name="_Toc102045655"/>
      <w:bookmarkStart w:id="1741" w:name="_Hlk74319841"/>
      <w:r w:rsidRPr="00DF3006">
        <w:t>Parliamentary Crime and Corruption Committee</w:t>
      </w:r>
    </w:p>
    <w:p w14:paraId="4AB19388" w14:textId="4B9E9E13" w:rsidR="00561686" w:rsidRPr="00DF3006" w:rsidRDefault="00561686" w:rsidP="00561686">
      <w:pPr>
        <w:rPr>
          <w:color w:val="414042" w:themeColor="text1"/>
        </w:rPr>
      </w:pPr>
      <w:r w:rsidRPr="00DF3006">
        <w:rPr>
          <w:color w:val="414042" w:themeColor="text1"/>
        </w:rPr>
        <w:t xml:space="preserve">The PCCC is a bipartisan committee whose principal functions are to monitor and review the performance of the CCC’s functions and structure, reporting to the Queensland Parliament on relevant matters, and considering and giving bipartisan support to the appointment of the CCC’s </w:t>
      </w:r>
      <w:r w:rsidR="00EF06F9" w:rsidRPr="00DF3006">
        <w:rPr>
          <w:color w:val="414042" w:themeColor="text1"/>
        </w:rPr>
        <w:t xml:space="preserve">Chairperson, Deputy Chairperson, Ordinary </w:t>
      </w:r>
      <w:r w:rsidRPr="00DF3006">
        <w:rPr>
          <w:color w:val="414042" w:themeColor="text1"/>
        </w:rPr>
        <w:t xml:space="preserve">Commissioners and </w:t>
      </w:r>
      <w:r w:rsidR="00171C5D" w:rsidRPr="00DF3006">
        <w:rPr>
          <w:color w:val="414042" w:themeColor="text1"/>
        </w:rPr>
        <w:t>CEO</w:t>
      </w:r>
      <w:r w:rsidRPr="00DF3006">
        <w:rPr>
          <w:color w:val="414042" w:themeColor="text1"/>
        </w:rPr>
        <w:t>.</w:t>
      </w:r>
    </w:p>
    <w:p w14:paraId="1975B86D" w14:textId="77777777" w:rsidR="00561686" w:rsidRPr="00DF3006" w:rsidRDefault="00561686" w:rsidP="00561686">
      <w:pPr>
        <w:rPr>
          <w:color w:val="414042" w:themeColor="text1"/>
        </w:rPr>
      </w:pPr>
      <w:r w:rsidRPr="00DF3006">
        <w:rPr>
          <w:color w:val="414042" w:themeColor="text1"/>
        </w:rPr>
        <w:t>In its monitoring and reviewing role, the PCCC also conducts specific inquiries in respect of matters pertaining to our agency. In monitoring our activities, the committee:</w:t>
      </w:r>
    </w:p>
    <w:p w14:paraId="5430F647" w14:textId="77777777" w:rsidR="00561686" w:rsidRPr="00DF3006" w:rsidRDefault="00561686">
      <w:pPr>
        <w:pStyle w:val="Bullets"/>
        <w:rPr>
          <w:color w:val="414042" w:themeColor="text1"/>
        </w:rPr>
      </w:pPr>
      <w:r w:rsidRPr="00DF3006">
        <w:rPr>
          <w:color w:val="414042" w:themeColor="text1"/>
        </w:rPr>
        <w:t xml:space="preserve">receives and considers complaints against our </w:t>
      </w:r>
      <w:proofErr w:type="gramStart"/>
      <w:r w:rsidRPr="00DF3006">
        <w:rPr>
          <w:color w:val="414042" w:themeColor="text1"/>
        </w:rPr>
        <w:t>agency</w:t>
      </w:r>
      <w:proofErr w:type="gramEnd"/>
    </w:p>
    <w:p w14:paraId="7564E2F9" w14:textId="77777777" w:rsidR="00561686" w:rsidRPr="00DF3006" w:rsidRDefault="00561686">
      <w:pPr>
        <w:pStyle w:val="Bullets"/>
        <w:rPr>
          <w:color w:val="414042" w:themeColor="text1"/>
        </w:rPr>
      </w:pPr>
      <w:r w:rsidRPr="00DF3006">
        <w:rPr>
          <w:color w:val="414042" w:themeColor="text1"/>
        </w:rPr>
        <w:t xml:space="preserve">reviews our guidelines and policies and may make suggestions for improvement of </w:t>
      </w:r>
      <w:proofErr w:type="gramStart"/>
      <w:r w:rsidRPr="00DF3006">
        <w:rPr>
          <w:color w:val="414042" w:themeColor="text1"/>
        </w:rPr>
        <w:t>practices</w:t>
      </w:r>
      <w:proofErr w:type="gramEnd"/>
    </w:p>
    <w:p w14:paraId="3A645ADA" w14:textId="77777777" w:rsidR="00561686" w:rsidRPr="00DF3006" w:rsidRDefault="00561686">
      <w:pPr>
        <w:pStyle w:val="Bullets"/>
        <w:rPr>
          <w:color w:val="414042" w:themeColor="text1"/>
        </w:rPr>
      </w:pPr>
      <w:r w:rsidRPr="00DF3006">
        <w:rPr>
          <w:color w:val="414042" w:themeColor="text1"/>
        </w:rPr>
        <w:t xml:space="preserve">reviews our reports, including the annual report and research </w:t>
      </w:r>
      <w:proofErr w:type="gramStart"/>
      <w:r w:rsidRPr="00DF3006">
        <w:rPr>
          <w:color w:val="414042" w:themeColor="text1"/>
        </w:rPr>
        <w:t>reports</w:t>
      </w:r>
      <w:proofErr w:type="gramEnd"/>
    </w:p>
    <w:p w14:paraId="36FE225B" w14:textId="77777777" w:rsidR="00561686" w:rsidRPr="00DF3006" w:rsidRDefault="00561686">
      <w:pPr>
        <w:pStyle w:val="Bullets"/>
        <w:rPr>
          <w:color w:val="414042" w:themeColor="text1"/>
        </w:rPr>
      </w:pPr>
      <w:r w:rsidRPr="00DF3006">
        <w:rPr>
          <w:color w:val="414042" w:themeColor="text1"/>
        </w:rPr>
        <w:t>requests reports from us on matters which have come to the committee’s attention, through the media or by other means, and</w:t>
      </w:r>
    </w:p>
    <w:p w14:paraId="4E78C9A2" w14:textId="77777777" w:rsidR="00561686" w:rsidRPr="00DF3006" w:rsidRDefault="00561686">
      <w:pPr>
        <w:pStyle w:val="Bullets"/>
        <w:rPr>
          <w:color w:val="414042" w:themeColor="text1"/>
        </w:rPr>
      </w:pPr>
      <w:r w:rsidRPr="00DF3006">
        <w:rPr>
          <w:color w:val="414042" w:themeColor="text1"/>
        </w:rPr>
        <w:t>deals with ad hoc issues concerning us.</w:t>
      </w:r>
    </w:p>
    <w:p w14:paraId="4C6B376C" w14:textId="4044B20D" w:rsidR="00673BFF" w:rsidRPr="00DF3006" w:rsidRDefault="00561686" w:rsidP="00561686">
      <w:pPr>
        <w:rPr>
          <w:color w:val="414042" w:themeColor="text1"/>
        </w:rPr>
      </w:pPr>
      <w:r w:rsidRPr="00DF3006">
        <w:rPr>
          <w:color w:val="414042" w:themeColor="text1"/>
        </w:rPr>
        <w:t>In 2022–23, the CCC met formally with the PCCC four times in both public and private meetings, to discuss our current activities and performance.</w:t>
      </w:r>
    </w:p>
    <w:p w14:paraId="76BDA76C" w14:textId="12466096" w:rsidR="00673BFF" w:rsidRPr="00DF3006" w:rsidRDefault="00673BFF" w:rsidP="00A368B5">
      <w:pPr>
        <w:spacing w:before="240"/>
        <w:rPr>
          <w:i/>
          <w:color w:val="414042" w:themeColor="text1"/>
          <w:szCs w:val="20"/>
        </w:rPr>
      </w:pPr>
      <w:r w:rsidRPr="00DF3006">
        <w:rPr>
          <w:i/>
          <w:color w:val="414042" w:themeColor="text1"/>
          <w:szCs w:val="20"/>
        </w:rPr>
        <w:t xml:space="preserve">See pages </w:t>
      </w:r>
      <w:r w:rsidR="00253AE5" w:rsidRPr="00DF3006">
        <w:rPr>
          <w:i/>
          <w:color w:val="414042" w:themeColor="text1"/>
          <w:szCs w:val="20"/>
        </w:rPr>
        <w:t>26</w:t>
      </w:r>
      <w:r w:rsidRPr="00DF3006">
        <w:rPr>
          <w:i/>
          <w:color w:val="414042" w:themeColor="text1"/>
          <w:szCs w:val="20"/>
        </w:rPr>
        <w:t>–</w:t>
      </w:r>
      <w:r w:rsidR="00253AE5" w:rsidRPr="00DF3006">
        <w:rPr>
          <w:i/>
          <w:color w:val="414042" w:themeColor="text1"/>
          <w:szCs w:val="20"/>
        </w:rPr>
        <w:t>28</w:t>
      </w:r>
      <w:r w:rsidRPr="00DF3006">
        <w:rPr>
          <w:i/>
          <w:color w:val="414042" w:themeColor="text1"/>
          <w:szCs w:val="20"/>
        </w:rPr>
        <w:t xml:space="preserve"> for more information related to our reporting on our progress against recent external </w:t>
      </w:r>
      <w:r w:rsidR="00253AE5" w:rsidRPr="00DF3006">
        <w:rPr>
          <w:i/>
          <w:color w:val="414042" w:themeColor="text1"/>
          <w:szCs w:val="20"/>
        </w:rPr>
        <w:t xml:space="preserve">inquiries and </w:t>
      </w:r>
      <w:r w:rsidRPr="00DF3006">
        <w:rPr>
          <w:i/>
          <w:color w:val="414042" w:themeColor="text1"/>
          <w:szCs w:val="20"/>
        </w:rPr>
        <w:t>reviews.</w:t>
      </w:r>
    </w:p>
    <w:p w14:paraId="3E47DED0" w14:textId="77777777" w:rsidR="00561686" w:rsidRPr="00DF3006" w:rsidRDefault="00561686" w:rsidP="00463FBB">
      <w:pPr>
        <w:pStyle w:val="Heading4"/>
      </w:pPr>
      <w:r w:rsidRPr="00DF3006">
        <w:rPr>
          <w:highlight w:val="red"/>
        </w:rPr>
        <w:br w:type="column"/>
      </w:r>
      <w:r w:rsidRPr="00DF3006">
        <w:t>Parliamentary Crime and Corruption Commissioner</w:t>
      </w:r>
    </w:p>
    <w:p w14:paraId="663BAA33" w14:textId="6EBAD21B" w:rsidR="00561686" w:rsidRPr="00DF3006" w:rsidRDefault="00561686" w:rsidP="00561686">
      <w:pPr>
        <w:rPr>
          <w:color w:val="414042" w:themeColor="text1"/>
        </w:rPr>
      </w:pPr>
      <w:r w:rsidRPr="00DF3006">
        <w:rPr>
          <w:color w:val="414042" w:themeColor="text1"/>
        </w:rPr>
        <w:t>The PCCC is assisted in its oversight process by the Parliamentary Crime and Corruption Commissioner</w:t>
      </w:r>
      <w:r w:rsidR="002E61F7" w:rsidRPr="00DF3006">
        <w:rPr>
          <w:color w:val="414042" w:themeColor="text1"/>
        </w:rPr>
        <w:t xml:space="preserve"> (the ‘Parliamentary Commissioner’)</w:t>
      </w:r>
      <w:r w:rsidRPr="00DF3006">
        <w:rPr>
          <w:color w:val="414042" w:themeColor="text1"/>
        </w:rPr>
        <w:t xml:space="preserve">, who investigates complaints against our agency or our employees. The Parliamentary Commissioner may independently initiate an investigation of a matter </w:t>
      </w:r>
      <w:r w:rsidRPr="00DF3006">
        <w:rPr>
          <w:color w:val="414042" w:themeColor="text1"/>
        </w:rPr>
        <w:br/>
        <w:t>that involves, or may involve, the corrupt conduct of a commission officer. The Parliamentary Commissioner also conducts audits of the CCC’s records and files.</w:t>
      </w:r>
    </w:p>
    <w:p w14:paraId="19FD6229" w14:textId="77777777" w:rsidR="00561686" w:rsidRPr="00DF3006" w:rsidRDefault="00561686" w:rsidP="00561686">
      <w:pPr>
        <w:rPr>
          <w:color w:val="414042" w:themeColor="text1"/>
        </w:rPr>
      </w:pPr>
      <w:r w:rsidRPr="00DF3006">
        <w:rPr>
          <w:color w:val="414042" w:themeColor="text1"/>
        </w:rPr>
        <w:t>In 2022–23, the Parliamentary Commissioner:</w:t>
      </w:r>
    </w:p>
    <w:p w14:paraId="28AB8D7F" w14:textId="77777777" w:rsidR="00561686" w:rsidRPr="00DF3006" w:rsidRDefault="00561686">
      <w:pPr>
        <w:pStyle w:val="Bullets"/>
        <w:rPr>
          <w:color w:val="414042" w:themeColor="text1"/>
        </w:rPr>
      </w:pPr>
      <w:r w:rsidRPr="00DF3006">
        <w:rPr>
          <w:color w:val="414042" w:themeColor="text1"/>
        </w:rPr>
        <w:t xml:space="preserve">inspected the CCC’s records to determine compliance with legislation governing surveillance device warrants, retrieval warrants, emergency authorisations and controlled </w:t>
      </w:r>
      <w:proofErr w:type="gramStart"/>
      <w:r w:rsidRPr="00DF3006">
        <w:rPr>
          <w:color w:val="414042" w:themeColor="text1"/>
        </w:rPr>
        <w:t>operations</w:t>
      </w:r>
      <w:proofErr w:type="gramEnd"/>
    </w:p>
    <w:p w14:paraId="5860095E" w14:textId="77777777" w:rsidR="00561686" w:rsidRPr="00DF3006" w:rsidRDefault="00561686">
      <w:pPr>
        <w:pStyle w:val="Bullets"/>
        <w:rPr>
          <w:color w:val="414042" w:themeColor="text1"/>
        </w:rPr>
      </w:pPr>
      <w:r w:rsidRPr="00DF3006">
        <w:rPr>
          <w:color w:val="414042" w:themeColor="text1"/>
        </w:rPr>
        <w:t xml:space="preserve">audited records related to the use of assumed </w:t>
      </w:r>
      <w:proofErr w:type="gramStart"/>
      <w:r w:rsidRPr="00DF3006">
        <w:rPr>
          <w:color w:val="414042" w:themeColor="text1"/>
        </w:rPr>
        <w:t>identities</w:t>
      </w:r>
      <w:proofErr w:type="gramEnd"/>
    </w:p>
    <w:p w14:paraId="775438E1" w14:textId="77777777" w:rsidR="00561686" w:rsidRPr="00DF3006" w:rsidRDefault="00561686">
      <w:pPr>
        <w:pStyle w:val="Bullets"/>
        <w:rPr>
          <w:color w:val="414042" w:themeColor="text1"/>
        </w:rPr>
      </w:pPr>
      <w:r w:rsidRPr="00DF3006">
        <w:rPr>
          <w:color w:val="414042" w:themeColor="text1"/>
        </w:rPr>
        <w:t>inspected the telecommunications interception records, and</w:t>
      </w:r>
    </w:p>
    <w:p w14:paraId="751718DB" w14:textId="77777777" w:rsidR="00561686" w:rsidRPr="00DF3006" w:rsidRDefault="00561686">
      <w:pPr>
        <w:pStyle w:val="Bullets"/>
        <w:rPr>
          <w:color w:val="414042" w:themeColor="text1"/>
        </w:rPr>
      </w:pPr>
      <w:r w:rsidRPr="00DF3006">
        <w:rPr>
          <w:color w:val="414042" w:themeColor="text1"/>
        </w:rPr>
        <w:t>reviewed intelligence data held by the CCC.</w:t>
      </w:r>
    </w:p>
    <w:p w14:paraId="122172FC" w14:textId="5633B8FC" w:rsidR="00561686" w:rsidRPr="00DF3006" w:rsidRDefault="00561686" w:rsidP="00561686">
      <w:pPr>
        <w:rPr>
          <w:color w:val="414042" w:themeColor="text1"/>
        </w:rPr>
      </w:pPr>
      <w:r w:rsidRPr="00DF3006">
        <w:rPr>
          <w:color w:val="414042" w:themeColor="text1"/>
        </w:rPr>
        <w:t>Where issues were raised by the audits and inspections, we took appropriate action to address those issues.</w:t>
      </w:r>
    </w:p>
    <w:p w14:paraId="2844F6E7" w14:textId="77777777" w:rsidR="00561686" w:rsidRPr="00DF3006" w:rsidRDefault="00561686" w:rsidP="00463FBB">
      <w:pPr>
        <w:pStyle w:val="Heading4"/>
      </w:pPr>
      <w:r w:rsidRPr="00DF3006">
        <w:t>Ministerial oversight</w:t>
      </w:r>
    </w:p>
    <w:p w14:paraId="78C0CF16" w14:textId="1F72641B" w:rsidR="00561686" w:rsidRPr="00DF3006" w:rsidRDefault="00561686" w:rsidP="00561686">
      <w:pPr>
        <w:rPr>
          <w:color w:val="414042" w:themeColor="text1"/>
        </w:rPr>
      </w:pPr>
      <w:r w:rsidRPr="00DF3006">
        <w:rPr>
          <w:color w:val="414042" w:themeColor="text1"/>
        </w:rPr>
        <w:t xml:space="preserve">As required by section 260 of </w:t>
      </w:r>
      <w:r w:rsidRPr="00DF3006">
        <w:rPr>
          <w:color w:val="414042" w:themeColor="text1"/>
          <w:spacing w:val="2"/>
        </w:rPr>
        <w:t xml:space="preserve">the </w:t>
      </w:r>
      <w:r w:rsidRPr="00DF3006">
        <w:rPr>
          <w:i/>
          <w:iCs/>
          <w:color w:val="414042" w:themeColor="text1"/>
          <w:spacing w:val="2"/>
        </w:rPr>
        <w:t xml:space="preserve">Crime and Corruption </w:t>
      </w:r>
      <w:r w:rsidRPr="00DF3006">
        <w:rPr>
          <w:i/>
          <w:iCs/>
          <w:color w:val="414042" w:themeColor="text1"/>
          <w:spacing w:val="2"/>
        </w:rPr>
        <w:br/>
        <w:t>Act 2001</w:t>
      </w:r>
      <w:r w:rsidRPr="00DF3006">
        <w:rPr>
          <w:color w:val="414042" w:themeColor="text1"/>
        </w:rPr>
        <w:t xml:space="preserve">, we provide six-monthly reports on the efficiency, effectiveness, economy and timeliness of our systems and processes to the Minister. </w:t>
      </w:r>
      <w:r w:rsidR="00EF06F9" w:rsidRPr="00DF3006">
        <w:rPr>
          <w:color w:val="414042" w:themeColor="text1"/>
        </w:rPr>
        <w:t xml:space="preserve">The Commission also submits to the Minister an annual budget. </w:t>
      </w:r>
    </w:p>
    <w:p w14:paraId="17D570A9" w14:textId="77777777" w:rsidR="00561686" w:rsidRPr="00DF3006" w:rsidRDefault="00561686" w:rsidP="00463FBB">
      <w:pPr>
        <w:pStyle w:val="Heading4"/>
      </w:pPr>
      <w:r w:rsidRPr="00DF3006">
        <w:t>Public Interest Monitor</w:t>
      </w:r>
    </w:p>
    <w:p w14:paraId="724FCBFF" w14:textId="4B203FAA" w:rsidR="00561686" w:rsidRPr="00DF3006" w:rsidRDefault="0021260D" w:rsidP="00561686">
      <w:pPr>
        <w:rPr>
          <w:color w:val="414042" w:themeColor="text1"/>
        </w:rPr>
      </w:pPr>
      <w:r w:rsidRPr="00DF3006">
        <w:rPr>
          <w:color w:val="414042" w:themeColor="text1"/>
        </w:rPr>
        <w:t xml:space="preserve">The Public Interest Monitor </w:t>
      </w:r>
      <w:r w:rsidR="00561686" w:rsidRPr="00DF3006">
        <w:rPr>
          <w:color w:val="414042" w:themeColor="text1"/>
        </w:rPr>
        <w:t xml:space="preserve">must ensure the CCC complies with the </w:t>
      </w:r>
      <w:r w:rsidR="00561686" w:rsidRPr="00DF3006">
        <w:rPr>
          <w:i/>
          <w:iCs/>
          <w:color w:val="414042" w:themeColor="text1"/>
          <w:spacing w:val="2"/>
        </w:rPr>
        <w:t>Crime and Corruption Act 2001</w:t>
      </w:r>
      <w:r w:rsidR="00561686" w:rsidRPr="00DF3006">
        <w:rPr>
          <w:color w:val="414042" w:themeColor="text1"/>
        </w:rPr>
        <w:t xml:space="preserve">, the </w:t>
      </w:r>
      <w:r w:rsidR="00561686" w:rsidRPr="00DF3006">
        <w:rPr>
          <w:i/>
          <w:iCs/>
          <w:color w:val="414042" w:themeColor="text1"/>
          <w:spacing w:val="2"/>
        </w:rPr>
        <w:t>Police Powers and Responsibilities Act 2000</w:t>
      </w:r>
      <w:r w:rsidR="00561686" w:rsidRPr="00DF3006">
        <w:rPr>
          <w:color w:val="414042" w:themeColor="text1"/>
        </w:rPr>
        <w:t xml:space="preserve"> and the </w:t>
      </w:r>
      <w:r w:rsidR="00561686" w:rsidRPr="00DF3006">
        <w:rPr>
          <w:i/>
          <w:iCs/>
          <w:color w:val="414042" w:themeColor="text1"/>
          <w:spacing w:val="2"/>
        </w:rPr>
        <w:t>Telecommunications Interception Act 2009</w:t>
      </w:r>
      <w:r w:rsidR="00561686" w:rsidRPr="00DF3006">
        <w:rPr>
          <w:color w:val="414042" w:themeColor="text1"/>
        </w:rPr>
        <w:t>. This includes examining the CCC’s applications for covert search warrants and surveillance warrants.</w:t>
      </w:r>
    </w:p>
    <w:p w14:paraId="7A51F636" w14:textId="2FF69DB6" w:rsidR="00561686" w:rsidRPr="00DF3006" w:rsidRDefault="00561686" w:rsidP="00463FBB">
      <w:pPr>
        <w:pStyle w:val="Heading4"/>
      </w:pPr>
      <w:r w:rsidRPr="00DF3006">
        <w:t>The courts</w:t>
      </w:r>
    </w:p>
    <w:p w14:paraId="355F6A22" w14:textId="77777777" w:rsidR="00561686" w:rsidRPr="00DF3006" w:rsidRDefault="00561686" w:rsidP="00561686">
      <w:pPr>
        <w:rPr>
          <w:color w:val="414042" w:themeColor="text1"/>
        </w:rPr>
      </w:pPr>
      <w:r w:rsidRPr="00DF3006">
        <w:rPr>
          <w:color w:val="414042" w:themeColor="text1"/>
        </w:rPr>
        <w:t>The courts, in particular the Supreme Court of Queensland, play a significant role in the use of the CCC’s coercive powers, including applications for warrants, in the review of our decisions and in deciding contempt of court matters in relation to our hearings.</w:t>
      </w:r>
    </w:p>
    <w:p w14:paraId="28775F36" w14:textId="77777777" w:rsidR="00561686" w:rsidRPr="00DF3006" w:rsidRDefault="00561686" w:rsidP="00561686">
      <w:pPr>
        <w:rPr>
          <w:color w:val="414042" w:themeColor="text1"/>
        </w:rPr>
      </w:pPr>
    </w:p>
    <w:p w14:paraId="068C71B0" w14:textId="77777777" w:rsidR="00561686" w:rsidRPr="00DF3006" w:rsidRDefault="00561686" w:rsidP="00561686">
      <w:pPr>
        <w:rPr>
          <w:color w:val="414042" w:themeColor="text1"/>
        </w:rPr>
        <w:sectPr w:rsidR="00561686" w:rsidRPr="00DF3006" w:rsidSect="00C77834">
          <w:headerReference w:type="even" r:id="rId270"/>
          <w:headerReference w:type="default" r:id="rId271"/>
          <w:footerReference w:type="even" r:id="rId272"/>
          <w:headerReference w:type="first" r:id="rId273"/>
          <w:pgSz w:w="11906" w:h="16838" w:code="9"/>
          <w:pgMar w:top="2155" w:right="1134" w:bottom="964" w:left="1134" w:header="720" w:footer="284" w:gutter="0"/>
          <w:cols w:num="2" w:space="567"/>
          <w:noEndnote/>
          <w:docGrid w:linePitch="272"/>
        </w:sectPr>
      </w:pPr>
    </w:p>
    <w:p w14:paraId="54F222F6" w14:textId="77777777" w:rsidR="00561686" w:rsidRPr="00DF3006" w:rsidRDefault="00561686" w:rsidP="00463FBB">
      <w:pPr>
        <w:pStyle w:val="Heading4"/>
      </w:pPr>
      <w:bookmarkStart w:id="1742" w:name="_Toc102038080"/>
      <w:bookmarkStart w:id="1743" w:name="_Toc102038441"/>
      <w:bookmarkStart w:id="1744" w:name="_Toc102038802"/>
      <w:bookmarkStart w:id="1745" w:name="_Toc102039154"/>
      <w:bookmarkStart w:id="1746" w:name="_Toc102039503"/>
      <w:bookmarkStart w:id="1747" w:name="_Toc102039865"/>
      <w:bookmarkStart w:id="1748" w:name="_Toc102040222"/>
      <w:bookmarkStart w:id="1749" w:name="_Toc102040550"/>
      <w:bookmarkStart w:id="1750" w:name="_Toc102040884"/>
      <w:bookmarkStart w:id="1751" w:name="_Toc102041212"/>
      <w:bookmarkStart w:id="1752" w:name="_Toc102041541"/>
      <w:bookmarkStart w:id="1753" w:name="_Toc102041873"/>
      <w:bookmarkStart w:id="1754" w:name="_Toc102042200"/>
      <w:bookmarkStart w:id="1755" w:name="_Toc102042530"/>
      <w:bookmarkStart w:id="1756" w:name="_Toc102045660"/>
      <w:bookmarkStart w:id="1757" w:name="_Hlk75168772"/>
      <w:bookmarkStart w:id="1758" w:name="_Hlk74301720"/>
      <w:bookmarkEnd w:id="1710"/>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DF3006">
        <w:lastRenderedPageBreak/>
        <w:t>Crime Reference Committee</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68340FC8" w14:textId="77777777" w:rsidR="00561686" w:rsidRPr="00DF3006" w:rsidRDefault="00561686" w:rsidP="00561686">
      <w:pPr>
        <w:rPr>
          <w:color w:val="414042" w:themeColor="text1"/>
        </w:rPr>
      </w:pPr>
      <w:r w:rsidRPr="00DF3006">
        <w:rPr>
          <w:color w:val="414042" w:themeColor="text1"/>
        </w:rPr>
        <w:t xml:space="preserve">The Crime Reference Committee is a committee established under Part 2 of Chapter 6 of the </w:t>
      </w:r>
      <w:r w:rsidRPr="00DF3006">
        <w:rPr>
          <w:i/>
          <w:color w:val="414042" w:themeColor="text1"/>
          <w:spacing w:val="2"/>
        </w:rPr>
        <w:t>Crime and Corruption Act 2001</w:t>
      </w:r>
      <w:r w:rsidRPr="00DF3006">
        <w:rPr>
          <w:color w:val="414042" w:themeColor="text1"/>
        </w:rPr>
        <w:t xml:space="preserve"> to oversee the general conduct of the performance of the CCC’s functions in relation to major crime and specific intelligence operations. The CCC’s jurisdiction for major crime investigations and intelligence operations is enlivened by way of referrals or authorisations made or approved by the Committee.</w:t>
      </w:r>
    </w:p>
    <w:p w14:paraId="304E5262" w14:textId="77777777" w:rsidR="00561686" w:rsidRPr="00DF3006" w:rsidRDefault="00561686" w:rsidP="00561686">
      <w:pPr>
        <w:rPr>
          <w:color w:val="414042" w:themeColor="text1"/>
        </w:rPr>
      </w:pPr>
      <w:r w:rsidRPr="00DF3006">
        <w:rPr>
          <w:color w:val="414042" w:themeColor="text1"/>
        </w:rPr>
        <w:t>The members of the Crime Reference Committee are:</w:t>
      </w:r>
    </w:p>
    <w:p w14:paraId="47BB5490" w14:textId="77777777" w:rsidR="00561686" w:rsidRPr="00DF3006" w:rsidRDefault="00561686">
      <w:pPr>
        <w:pStyle w:val="Bullets"/>
        <w:rPr>
          <w:color w:val="414042" w:themeColor="text1"/>
        </w:rPr>
      </w:pPr>
      <w:r w:rsidRPr="00DF3006">
        <w:rPr>
          <w:color w:val="414042" w:themeColor="text1"/>
        </w:rPr>
        <w:t>the CCC Chairperson</w:t>
      </w:r>
      <w:r w:rsidRPr="00DF3006">
        <w:rPr>
          <w:b/>
          <w:bCs/>
          <w:color w:val="414042" w:themeColor="text1"/>
        </w:rPr>
        <w:t xml:space="preserve"> — </w:t>
      </w:r>
      <w:r w:rsidRPr="00DF3006">
        <w:rPr>
          <w:color w:val="414042" w:themeColor="text1"/>
        </w:rPr>
        <w:t>Chair of the committee</w:t>
      </w:r>
    </w:p>
    <w:p w14:paraId="78A805C8" w14:textId="77777777" w:rsidR="00561686" w:rsidRPr="00DF3006" w:rsidRDefault="00561686">
      <w:pPr>
        <w:pStyle w:val="Bullets"/>
        <w:rPr>
          <w:color w:val="414042" w:themeColor="text1"/>
        </w:rPr>
      </w:pPr>
      <w:r w:rsidRPr="00DF3006">
        <w:rPr>
          <w:color w:val="414042" w:themeColor="text1"/>
        </w:rPr>
        <w:t>the Commissioner of Police</w:t>
      </w:r>
    </w:p>
    <w:p w14:paraId="60F2B1F4" w14:textId="77777777" w:rsidR="00561686" w:rsidRPr="00DF3006" w:rsidRDefault="00561686">
      <w:pPr>
        <w:pStyle w:val="Bullets"/>
        <w:rPr>
          <w:color w:val="414042" w:themeColor="text1"/>
        </w:rPr>
      </w:pPr>
      <w:r w:rsidRPr="00DF3006">
        <w:rPr>
          <w:color w:val="414042" w:themeColor="text1"/>
        </w:rPr>
        <w:t>the Principal Commissioner, Queensland Family and Child Commission</w:t>
      </w:r>
    </w:p>
    <w:p w14:paraId="59A1D7D9" w14:textId="77777777" w:rsidR="00561686" w:rsidRPr="00DF3006" w:rsidRDefault="00561686">
      <w:pPr>
        <w:pStyle w:val="Bullets"/>
        <w:rPr>
          <w:color w:val="414042" w:themeColor="text1"/>
        </w:rPr>
      </w:pPr>
      <w:r w:rsidRPr="00DF3006">
        <w:rPr>
          <w:color w:val="414042" w:themeColor="text1"/>
        </w:rPr>
        <w:t>the CCC Senior Executive Officer (Crime), and</w:t>
      </w:r>
    </w:p>
    <w:p w14:paraId="30E2837D" w14:textId="77777777" w:rsidR="00561686" w:rsidRPr="00DF3006" w:rsidRDefault="00561686">
      <w:pPr>
        <w:pStyle w:val="Bullets"/>
        <w:rPr>
          <w:color w:val="414042" w:themeColor="text1"/>
        </w:rPr>
      </w:pPr>
      <w:r w:rsidRPr="00DF3006">
        <w:rPr>
          <w:color w:val="414042" w:themeColor="text1"/>
        </w:rPr>
        <w:t>two community representatives appointed by the Governor-in-Council upon the recommendation of the Minister.</w:t>
      </w:r>
    </w:p>
    <w:p w14:paraId="7CDB1C36" w14:textId="77777777" w:rsidR="00561686" w:rsidRPr="00DF3006" w:rsidRDefault="00561686" w:rsidP="00561686">
      <w:pPr>
        <w:rPr>
          <w:color w:val="414042" w:themeColor="text1"/>
        </w:rPr>
      </w:pPr>
      <w:r w:rsidRPr="00DF3006">
        <w:rPr>
          <w:color w:val="414042" w:themeColor="text1"/>
        </w:rPr>
        <w:t xml:space="preserve">The Senior Executive Officer (Corruption) is also a member of the Committee if it is considering </w:t>
      </w:r>
      <w:r w:rsidRPr="00DF3006">
        <w:rPr>
          <w:color w:val="414042" w:themeColor="text1"/>
        </w:rPr>
        <w:br/>
        <w:t xml:space="preserve">whether to authorise an intelligence operation </w:t>
      </w:r>
      <w:r w:rsidRPr="00DF3006">
        <w:rPr>
          <w:color w:val="414042" w:themeColor="text1"/>
        </w:rPr>
        <w:br/>
        <w:t>relating to suspected corruption.</w:t>
      </w:r>
    </w:p>
    <w:p w14:paraId="7CD64098" w14:textId="77777777" w:rsidR="00561686" w:rsidRPr="00DF3006" w:rsidRDefault="00561686" w:rsidP="00463FBB">
      <w:pPr>
        <w:pStyle w:val="Heading4"/>
      </w:pPr>
      <w:r w:rsidRPr="00DF3006">
        <w:t>Controlled Operations Committee</w:t>
      </w:r>
    </w:p>
    <w:p w14:paraId="42790686" w14:textId="77777777" w:rsidR="00561686" w:rsidRPr="00DF3006" w:rsidRDefault="00561686" w:rsidP="00561686">
      <w:pPr>
        <w:rPr>
          <w:color w:val="414042" w:themeColor="text1"/>
        </w:rPr>
      </w:pPr>
      <w:r w:rsidRPr="00DF3006">
        <w:rPr>
          <w:color w:val="414042" w:themeColor="text1"/>
        </w:rPr>
        <w:t xml:space="preserve">The Controlled Operations Committee was established under the </w:t>
      </w:r>
      <w:r w:rsidRPr="00DF3006">
        <w:rPr>
          <w:i/>
          <w:color w:val="414042" w:themeColor="text1"/>
          <w:spacing w:val="2"/>
        </w:rPr>
        <w:t>Police Powers and Responsibilities Act 2000</w:t>
      </w:r>
      <w:r w:rsidRPr="00DF3006">
        <w:rPr>
          <w:color w:val="414042" w:themeColor="text1"/>
        </w:rPr>
        <w:t xml:space="preserve"> </w:t>
      </w:r>
      <w:r w:rsidRPr="00DF3006">
        <w:rPr>
          <w:color w:val="414042" w:themeColor="text1"/>
        </w:rPr>
        <w:br/>
        <w:t>to consider and make recommendations about applications for controlled operations to be undertaken by the CCC or the QPS.</w:t>
      </w:r>
    </w:p>
    <w:p w14:paraId="37FC0D89" w14:textId="3F4260B8" w:rsidR="00561686" w:rsidRPr="00DF3006" w:rsidRDefault="00561686" w:rsidP="00561686">
      <w:pPr>
        <w:rPr>
          <w:color w:val="414042" w:themeColor="text1"/>
        </w:rPr>
      </w:pPr>
      <w:r w:rsidRPr="00DF3006">
        <w:rPr>
          <w:color w:val="414042" w:themeColor="text1"/>
        </w:rPr>
        <w:t xml:space="preserve">Controlled operations are investigations of serious indictable offences, </w:t>
      </w:r>
      <w:proofErr w:type="gramStart"/>
      <w:r w:rsidRPr="00DF3006">
        <w:rPr>
          <w:color w:val="414042" w:themeColor="text1"/>
        </w:rPr>
        <w:t>misconduct</w:t>
      </w:r>
      <w:proofErr w:type="gramEnd"/>
      <w:r w:rsidRPr="00DF3006">
        <w:rPr>
          <w:color w:val="414042" w:themeColor="text1"/>
        </w:rPr>
        <w:t xml:space="preserve"> or organised crime </w:t>
      </w:r>
      <w:r w:rsidRPr="00DF3006">
        <w:rPr>
          <w:color w:val="414042" w:themeColor="text1"/>
        </w:rPr>
        <w:br/>
        <w:t xml:space="preserve">that may involve authorised police officers and others engaging in activities that may </w:t>
      </w:r>
      <w:r w:rsidR="006F3054" w:rsidRPr="00DF3006">
        <w:rPr>
          <w:color w:val="414042" w:themeColor="text1"/>
        </w:rPr>
        <w:t xml:space="preserve">otherwise </w:t>
      </w:r>
      <w:r w:rsidRPr="00DF3006">
        <w:rPr>
          <w:color w:val="414042" w:themeColor="text1"/>
        </w:rPr>
        <w:t>be unlawful — for example, buying illicit drugs.</w:t>
      </w:r>
    </w:p>
    <w:p w14:paraId="5BA005DA" w14:textId="77777777" w:rsidR="00561686" w:rsidRPr="00DF3006" w:rsidRDefault="00561686" w:rsidP="00561686">
      <w:pPr>
        <w:rPr>
          <w:color w:val="414042" w:themeColor="text1"/>
        </w:rPr>
      </w:pPr>
      <w:r w:rsidRPr="00DF3006">
        <w:rPr>
          <w:color w:val="414042" w:themeColor="text1"/>
        </w:rPr>
        <w:t>The committee comprises:</w:t>
      </w:r>
    </w:p>
    <w:p w14:paraId="250D682B" w14:textId="77777777" w:rsidR="00561686" w:rsidRPr="00DF3006" w:rsidRDefault="00561686">
      <w:pPr>
        <w:pStyle w:val="Bullets"/>
        <w:rPr>
          <w:color w:val="414042" w:themeColor="text1"/>
        </w:rPr>
      </w:pPr>
      <w:r w:rsidRPr="00DF3006">
        <w:rPr>
          <w:color w:val="414042" w:themeColor="text1"/>
        </w:rPr>
        <w:t>the Commissioner of Police (or a nominee)</w:t>
      </w:r>
    </w:p>
    <w:p w14:paraId="0E6209A6" w14:textId="77777777" w:rsidR="00561686" w:rsidRPr="00DF3006" w:rsidRDefault="00561686">
      <w:pPr>
        <w:pStyle w:val="Bullets"/>
        <w:rPr>
          <w:color w:val="414042" w:themeColor="text1"/>
        </w:rPr>
      </w:pPr>
      <w:r w:rsidRPr="00DF3006">
        <w:rPr>
          <w:color w:val="414042" w:themeColor="text1"/>
        </w:rPr>
        <w:t>the CCC Chairperson, and</w:t>
      </w:r>
    </w:p>
    <w:p w14:paraId="6218D87B" w14:textId="77777777" w:rsidR="00561686" w:rsidRPr="00DF3006" w:rsidRDefault="00561686">
      <w:pPr>
        <w:pStyle w:val="Bullets"/>
        <w:rPr>
          <w:color w:val="414042" w:themeColor="text1"/>
        </w:rPr>
      </w:pPr>
      <w:r w:rsidRPr="00DF3006">
        <w:rPr>
          <w:color w:val="414042" w:themeColor="text1"/>
        </w:rPr>
        <w:t>an independent member, who is the Chair.</w:t>
      </w:r>
    </w:p>
    <w:p w14:paraId="6E35C2D8" w14:textId="77777777" w:rsidR="00561686" w:rsidRPr="00DF3006" w:rsidRDefault="00561686" w:rsidP="00561686">
      <w:pPr>
        <w:rPr>
          <w:color w:val="414042" w:themeColor="text1"/>
        </w:rPr>
      </w:pPr>
      <w:r w:rsidRPr="00DF3006">
        <w:rPr>
          <w:color w:val="414042" w:themeColor="text1"/>
        </w:rPr>
        <w:t>In the case of any controlled operation by the CCC that involves investigating a police officer, the CCC Chairperson may approve the application without referring it to the committee but must first contact the independent member and obtain their agreement.</w:t>
      </w:r>
    </w:p>
    <w:bookmarkEnd w:id="1757"/>
    <w:bookmarkEnd w:id="1758"/>
    <w:p w14:paraId="1F80C258" w14:textId="77777777" w:rsidR="00561686" w:rsidRPr="00DF3006" w:rsidRDefault="00561686" w:rsidP="00463FBB">
      <w:pPr>
        <w:pStyle w:val="Heading4"/>
      </w:pPr>
      <w:r w:rsidRPr="00DF3006">
        <w:br w:type="column"/>
      </w:r>
      <w:bookmarkStart w:id="1759" w:name="_Toc102038082"/>
      <w:bookmarkStart w:id="1760" w:name="_Toc102038443"/>
      <w:bookmarkStart w:id="1761" w:name="_Toc102038804"/>
      <w:bookmarkStart w:id="1762" w:name="_Toc102039156"/>
      <w:bookmarkStart w:id="1763" w:name="_Toc102039505"/>
      <w:bookmarkStart w:id="1764" w:name="_Toc102039867"/>
      <w:bookmarkStart w:id="1765" w:name="_Toc102040224"/>
      <w:bookmarkStart w:id="1766" w:name="_Toc102040552"/>
      <w:bookmarkStart w:id="1767" w:name="_Toc102040886"/>
      <w:bookmarkStart w:id="1768" w:name="_Toc102041214"/>
      <w:bookmarkStart w:id="1769" w:name="_Toc102041543"/>
      <w:bookmarkStart w:id="1770" w:name="_Toc102041875"/>
      <w:bookmarkStart w:id="1771" w:name="_Toc102042202"/>
      <w:bookmarkStart w:id="1772" w:name="_Toc102042532"/>
      <w:bookmarkStart w:id="1773" w:name="_Toc102045662"/>
      <w:r w:rsidRPr="00DF3006">
        <w:t xml:space="preserve">Witness identity protection certificates </w:t>
      </w:r>
      <w:proofErr w:type="gramStart"/>
      <w:r w:rsidRPr="00DF3006">
        <w:t>issued</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roofErr w:type="gramEnd"/>
    </w:p>
    <w:p w14:paraId="29AC76C6" w14:textId="77777777" w:rsidR="00561686" w:rsidRPr="00DF3006" w:rsidRDefault="00561686" w:rsidP="00561686">
      <w:pPr>
        <w:rPr>
          <w:color w:val="414042" w:themeColor="text1"/>
        </w:rPr>
      </w:pPr>
      <w:r w:rsidRPr="00DF3006">
        <w:rPr>
          <w:color w:val="414042" w:themeColor="text1"/>
        </w:rPr>
        <w:t xml:space="preserve">Section 21KG(1) of the </w:t>
      </w:r>
      <w:r w:rsidRPr="00DF3006">
        <w:rPr>
          <w:i/>
          <w:iCs/>
          <w:color w:val="414042" w:themeColor="text1"/>
          <w:spacing w:val="2"/>
        </w:rPr>
        <w:t>Evidence Act 1977</w:t>
      </w:r>
      <w:r w:rsidRPr="00DF3006">
        <w:rPr>
          <w:color w:val="414042" w:themeColor="text1"/>
        </w:rPr>
        <w:t xml:space="preserve"> requires the CCC to include information in our annual report about witness identity protection certificates given by the CCC Chairperson and the Commissioner of Police in Queensland.</w:t>
      </w:r>
    </w:p>
    <w:p w14:paraId="5A2CE46D" w14:textId="262DA894" w:rsidR="00561686" w:rsidRPr="00DF3006" w:rsidRDefault="0066704B" w:rsidP="00267745">
      <w:pPr>
        <w:rPr>
          <w:color w:val="414042" w:themeColor="text1"/>
        </w:rPr>
      </w:pPr>
      <w:bookmarkStart w:id="1774" w:name="_Hlk74319801"/>
      <w:r w:rsidRPr="00DF3006">
        <w:rPr>
          <w:color w:val="414042" w:themeColor="text1"/>
        </w:rPr>
        <w:t>During the reporting period</w:t>
      </w:r>
      <w:r w:rsidR="00561686" w:rsidRPr="00DF3006">
        <w:rPr>
          <w:color w:val="414042" w:themeColor="text1"/>
        </w:rPr>
        <w:t xml:space="preserve">, </w:t>
      </w:r>
      <w:r w:rsidR="004A0A06" w:rsidRPr="00DF3006">
        <w:rPr>
          <w:color w:val="414042" w:themeColor="text1"/>
        </w:rPr>
        <w:t>10</w:t>
      </w:r>
      <w:r w:rsidR="00561686" w:rsidRPr="00DF3006">
        <w:rPr>
          <w:color w:val="414042" w:themeColor="text1"/>
        </w:rPr>
        <w:t xml:space="preserve"> certificates were issued by the Commissioner of Police on the basis that they were satisfied the disclosure of the operative’s identity was likely to endanger the safety of the operative.</w:t>
      </w:r>
      <w:r w:rsidR="00267745" w:rsidRPr="00DF3006">
        <w:rPr>
          <w:color w:val="414042" w:themeColor="text1"/>
        </w:rPr>
        <w:t xml:space="preserve"> </w:t>
      </w:r>
      <w:r w:rsidR="004A0A06" w:rsidRPr="00DF3006">
        <w:rPr>
          <w:color w:val="414042" w:themeColor="text1"/>
        </w:rPr>
        <w:t>One</w:t>
      </w:r>
      <w:r w:rsidR="00561686" w:rsidRPr="00DF3006">
        <w:rPr>
          <w:color w:val="414042" w:themeColor="text1"/>
        </w:rPr>
        <w:t xml:space="preserve"> witness identity protection certificate issued by </w:t>
      </w:r>
      <w:r w:rsidR="00561686" w:rsidRPr="00DF3006">
        <w:rPr>
          <w:color w:val="414042" w:themeColor="text1"/>
        </w:rPr>
        <w:br/>
        <w:t>the Commissioner of Police w</w:t>
      </w:r>
      <w:r w:rsidR="004A0A06" w:rsidRPr="00DF3006">
        <w:rPr>
          <w:color w:val="414042" w:themeColor="text1"/>
        </w:rPr>
        <w:t>as</w:t>
      </w:r>
      <w:r w:rsidR="00561686" w:rsidRPr="00DF3006">
        <w:rPr>
          <w:color w:val="414042" w:themeColor="text1"/>
        </w:rPr>
        <w:t xml:space="preserve"> cancelled</w:t>
      </w:r>
      <w:r w:rsidR="004A0A06" w:rsidRPr="00DF3006">
        <w:rPr>
          <w:color w:val="414042" w:themeColor="text1"/>
        </w:rPr>
        <w:t xml:space="preserve"> due </w:t>
      </w:r>
      <w:r w:rsidR="00561686" w:rsidRPr="00DF3006">
        <w:rPr>
          <w:color w:val="414042" w:themeColor="text1"/>
        </w:rPr>
        <w:t>to no evidence being required by the operative.</w:t>
      </w:r>
    </w:p>
    <w:p w14:paraId="0744035E" w14:textId="3848D078" w:rsidR="00561686" w:rsidRPr="00DF3006" w:rsidRDefault="00AA7A72" w:rsidP="00561686">
      <w:pPr>
        <w:rPr>
          <w:color w:val="414042" w:themeColor="text1"/>
        </w:rPr>
      </w:pPr>
      <w:r w:rsidRPr="00DF3006">
        <w:rPr>
          <w:color w:val="414042" w:themeColor="text1"/>
        </w:rPr>
        <w:t>Thirteen</w:t>
      </w:r>
      <w:r w:rsidR="00561686" w:rsidRPr="00DF3006">
        <w:rPr>
          <w:color w:val="414042" w:themeColor="text1"/>
        </w:rPr>
        <w:t xml:space="preserve"> certificates were issued by the CCC Chairperson</w:t>
      </w:r>
      <w:r w:rsidR="0066704B" w:rsidRPr="00DF3006">
        <w:rPr>
          <w:color w:val="414042" w:themeColor="text1"/>
        </w:rPr>
        <w:t xml:space="preserve"> in 2022–23</w:t>
      </w:r>
      <w:r w:rsidR="00561686" w:rsidRPr="00DF3006">
        <w:rPr>
          <w:color w:val="414042" w:themeColor="text1"/>
        </w:rPr>
        <w:t>.</w:t>
      </w:r>
    </w:p>
    <w:p w14:paraId="5741D17D" w14:textId="77777777" w:rsidR="00561686" w:rsidRPr="00DF3006" w:rsidRDefault="00561686" w:rsidP="00561686">
      <w:pPr>
        <w:rPr>
          <w:color w:val="414042" w:themeColor="text1"/>
          <w:lang w:eastAsia="en-AU"/>
        </w:rPr>
      </w:pPr>
    </w:p>
    <w:p w14:paraId="130E85EC" w14:textId="77777777" w:rsidR="00561686" w:rsidRPr="00DF3006" w:rsidRDefault="00561686" w:rsidP="00561686">
      <w:pPr>
        <w:rPr>
          <w:color w:val="414042" w:themeColor="text1"/>
          <w:lang w:eastAsia="en-AU"/>
        </w:rPr>
        <w:sectPr w:rsidR="00561686" w:rsidRPr="00DF3006" w:rsidSect="00C77834">
          <w:pgSz w:w="11906" w:h="16838" w:code="9"/>
          <w:pgMar w:top="2155" w:right="1134" w:bottom="964" w:left="1134" w:header="720" w:footer="284" w:gutter="0"/>
          <w:cols w:num="2" w:space="567"/>
          <w:noEndnote/>
          <w:docGrid w:linePitch="272"/>
        </w:sectPr>
      </w:pPr>
    </w:p>
    <w:p w14:paraId="2F347C96" w14:textId="77777777" w:rsidR="00561686" w:rsidRPr="00DF3006" w:rsidRDefault="00561686" w:rsidP="00E6066A">
      <w:pPr>
        <w:pStyle w:val="Heading3"/>
      </w:pPr>
      <w:bookmarkStart w:id="1775" w:name="_Toc102038083"/>
      <w:bookmarkStart w:id="1776" w:name="_Toc102038444"/>
      <w:bookmarkStart w:id="1777" w:name="_Toc102038805"/>
      <w:bookmarkStart w:id="1778" w:name="_Toc102039157"/>
      <w:bookmarkStart w:id="1779" w:name="_Toc102039506"/>
      <w:bookmarkStart w:id="1780" w:name="_Toc102039868"/>
      <w:bookmarkStart w:id="1781" w:name="_Toc102040225"/>
      <w:bookmarkStart w:id="1782" w:name="_Toc102040553"/>
      <w:bookmarkStart w:id="1783" w:name="_Toc102040887"/>
      <w:bookmarkStart w:id="1784" w:name="_Toc102041215"/>
      <w:bookmarkStart w:id="1785" w:name="_Toc102041544"/>
      <w:bookmarkStart w:id="1786" w:name="_Toc102041876"/>
      <w:bookmarkStart w:id="1787" w:name="_Toc102042203"/>
      <w:bookmarkStart w:id="1788" w:name="_Toc102042533"/>
      <w:bookmarkStart w:id="1789" w:name="_Toc102045663"/>
      <w:r w:rsidRPr="00DF3006">
        <w:lastRenderedPageBreak/>
        <w:t>Audits of our warrant records</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bookmarkEnd w:id="1774"/>
    <w:p w14:paraId="0B9C55C5" w14:textId="2E341D4B" w:rsidR="00561686" w:rsidRPr="00DF3006" w:rsidRDefault="00561686" w:rsidP="00561686">
      <w:pPr>
        <w:rPr>
          <w:color w:val="414042" w:themeColor="text1"/>
        </w:rPr>
      </w:pPr>
      <w:r w:rsidRPr="00DF3006">
        <w:rPr>
          <w:color w:val="414042" w:themeColor="text1"/>
        </w:rPr>
        <w:t>The Commonwealth Ombudsman conducts inspections of the CCC’s stored communications and telecommunications data records, while Queensland’s Parliamentary Commissioner inspects telecommunications interception records.</w:t>
      </w:r>
    </w:p>
    <w:p w14:paraId="079320CA" w14:textId="0EE46298" w:rsidR="00561686" w:rsidRPr="00DF3006" w:rsidRDefault="00561686" w:rsidP="00561686">
      <w:pPr>
        <w:rPr>
          <w:color w:val="414042" w:themeColor="text1"/>
        </w:rPr>
      </w:pPr>
      <w:r w:rsidRPr="00DF3006">
        <w:rPr>
          <w:color w:val="414042" w:themeColor="text1"/>
        </w:rPr>
        <w:t>The Parliamentary Commissioner continues to report favourably on the CCC’s procedures regarding obtaining telecommunications interception warrants and managing telecommunications interception warrant information. Both the August 2022 and March 2023 reports noted that the CCC was compliant with record keeping obligations under sections 14, 15 and 16 of the TI Act and restricted records obligations under sections 18, 19 and 20 of the Act.</w:t>
      </w:r>
    </w:p>
    <w:p w14:paraId="325D9E08" w14:textId="77777777" w:rsidR="00561686" w:rsidRPr="00DF3006" w:rsidRDefault="00561686" w:rsidP="00561686">
      <w:pPr>
        <w:rPr>
          <w:color w:val="414042" w:themeColor="text1"/>
        </w:rPr>
      </w:pPr>
      <w:r w:rsidRPr="00DF3006">
        <w:rPr>
          <w:color w:val="414042" w:themeColor="text1"/>
        </w:rPr>
        <w:t>The August 2022 report outlined the results of an inspection of records for the 2021–22 financial year.</w:t>
      </w:r>
    </w:p>
    <w:p w14:paraId="4C8458AB" w14:textId="293EBD68" w:rsidR="00561686" w:rsidRPr="00DF3006" w:rsidRDefault="00561686" w:rsidP="0066704B">
      <w:pPr>
        <w:rPr>
          <w:color w:val="414042" w:themeColor="text1"/>
        </w:rPr>
      </w:pPr>
      <w:r w:rsidRPr="00DF3006">
        <w:rPr>
          <w:color w:val="414042" w:themeColor="text1"/>
        </w:rPr>
        <w:t>The CCC self-reported contraventions of the TIA Act to the Parliamentary Commissioner including three occasions where telecommunications interception material had been disseminated without the correct authorisation. There was a further contravention of the TIA Act for unauthorised dealing with telecommunications interception material and another for mistakenly sending a telecommunications interception warrant to the wrong carrier. These matters were dealt with promptly by the CCC by additional training and management action.</w:t>
      </w:r>
    </w:p>
    <w:p w14:paraId="0C4A8811" w14:textId="2034091F" w:rsidR="00561686" w:rsidRPr="00DF3006" w:rsidRDefault="0066704B" w:rsidP="00561686">
      <w:pPr>
        <w:rPr>
          <w:color w:val="414042" w:themeColor="text1"/>
        </w:rPr>
      </w:pPr>
      <w:r w:rsidRPr="00DF3006">
        <w:rPr>
          <w:color w:val="414042" w:themeColor="text1"/>
        </w:rPr>
        <w:br w:type="column"/>
      </w:r>
      <w:r w:rsidR="00561686" w:rsidRPr="00DF3006">
        <w:rPr>
          <w:color w:val="414042" w:themeColor="text1"/>
        </w:rPr>
        <w:t xml:space="preserve">In October 2022, the Commonwealth Ombudsman conducted an inspection of the CCC’s records in relation to stored communications for the period 1 July 2021 to 30 June 2022. As a result of the Commonwealth Ombudsman’s findings, the CCC revised the </w:t>
      </w:r>
      <w:r w:rsidR="00561686" w:rsidRPr="00DF3006">
        <w:rPr>
          <w:i/>
          <w:iCs/>
          <w:color w:val="414042" w:themeColor="text1"/>
        </w:rPr>
        <w:t>Operations Manual</w:t>
      </w:r>
      <w:r w:rsidR="00561686" w:rsidRPr="00DF3006">
        <w:rPr>
          <w:color w:val="414042" w:themeColor="text1"/>
        </w:rPr>
        <w:t xml:space="preserve"> to </w:t>
      </w:r>
      <w:proofErr w:type="gramStart"/>
      <w:r w:rsidR="00561686" w:rsidRPr="00DF3006">
        <w:rPr>
          <w:color w:val="414042" w:themeColor="text1"/>
        </w:rPr>
        <w:t>more clearly differentiate between</w:t>
      </w:r>
      <w:proofErr w:type="gramEnd"/>
      <w:r w:rsidR="00561686" w:rsidRPr="00DF3006">
        <w:rPr>
          <w:color w:val="414042" w:themeColor="text1"/>
        </w:rPr>
        <w:t xml:space="preserve"> when the CCC requires a stored communications warrant and when officers can access information through a notice to produce under the </w:t>
      </w:r>
      <w:r w:rsidR="00561686" w:rsidRPr="00DF3006">
        <w:rPr>
          <w:bCs/>
          <w:i/>
          <w:iCs/>
          <w:color w:val="414042" w:themeColor="text1"/>
          <w:u w:color="E6E7E8" w:themeColor="background2"/>
        </w:rPr>
        <w:t>Crime and Corruption Act 2001</w:t>
      </w:r>
      <w:r w:rsidR="00561686" w:rsidRPr="00DF3006">
        <w:rPr>
          <w:color w:val="414042" w:themeColor="text1"/>
        </w:rPr>
        <w:t>.</w:t>
      </w:r>
    </w:p>
    <w:p w14:paraId="2252B5E4" w14:textId="2054A423" w:rsidR="00561686" w:rsidRPr="00DF3006" w:rsidRDefault="00561686" w:rsidP="00561686">
      <w:pPr>
        <w:rPr>
          <w:color w:val="414042" w:themeColor="text1"/>
        </w:rPr>
      </w:pPr>
      <w:r w:rsidRPr="00DF3006">
        <w:rPr>
          <w:color w:val="414042" w:themeColor="text1"/>
        </w:rPr>
        <w:t>In December 2022, the Commonwealth Ombudsman provided the CCC with a report following an inspection of the CCC’s records, in relation to telecommunications data for the period 1 July 2021 to 30 June 2022. The Commonwealth Ombudsman noted the CCC’s proactive identification of compliance issues and acknowledged the C</w:t>
      </w:r>
      <w:r w:rsidR="002E61F7" w:rsidRPr="00DF3006">
        <w:rPr>
          <w:color w:val="414042" w:themeColor="text1"/>
        </w:rPr>
        <w:t>CC</w:t>
      </w:r>
      <w:r w:rsidRPr="00DF3006">
        <w:rPr>
          <w:color w:val="414042" w:themeColor="text1"/>
        </w:rPr>
        <w:t xml:space="preserve"> continued to develop a strong compliance culture.</w:t>
      </w:r>
    </w:p>
    <w:p w14:paraId="5A18AAC4" w14:textId="6A298DAE" w:rsidR="00561686" w:rsidRPr="00DF3006" w:rsidRDefault="00561686" w:rsidP="00561686">
      <w:pPr>
        <w:rPr>
          <w:color w:val="414042" w:themeColor="text1"/>
        </w:rPr>
      </w:pPr>
      <w:r w:rsidRPr="00DF3006">
        <w:rPr>
          <w:color w:val="414042" w:themeColor="text1"/>
        </w:rPr>
        <w:t>The C</w:t>
      </w:r>
      <w:r w:rsidR="002E61F7" w:rsidRPr="00DF3006">
        <w:rPr>
          <w:color w:val="414042" w:themeColor="text1"/>
        </w:rPr>
        <w:t>CC</w:t>
      </w:r>
      <w:r w:rsidRPr="00DF3006">
        <w:rPr>
          <w:color w:val="414042" w:themeColor="text1"/>
        </w:rPr>
        <w:t xml:space="preserve"> identified an issue where subscriber check authorisations had not specified a carriage service provider. In response, the CCC introduced a revised two-step process and updated authorisation templates to ensure the relevant carriage service information was provided. A revised process was also introduced for the collection of authorisation statistics after discrepancies were identified. An addendum to the CCC’s </w:t>
      </w:r>
      <w:r w:rsidR="00171C5D" w:rsidRPr="00DF3006">
        <w:rPr>
          <w:i/>
          <w:iCs/>
          <w:color w:val="414042" w:themeColor="text1"/>
        </w:rPr>
        <w:t xml:space="preserve">Annual Report </w:t>
      </w:r>
      <w:r w:rsidRPr="00DF3006">
        <w:rPr>
          <w:i/>
          <w:iCs/>
          <w:color w:val="414042" w:themeColor="text1"/>
        </w:rPr>
        <w:t>2021</w:t>
      </w:r>
      <w:r w:rsidRPr="00DF3006">
        <w:rPr>
          <w:i/>
          <w:iCs/>
          <w:color w:val="414042" w:themeColor="text1"/>
          <w:szCs w:val="20"/>
        </w:rPr>
        <w:t>–</w:t>
      </w:r>
      <w:r w:rsidRPr="00DF3006">
        <w:rPr>
          <w:i/>
          <w:iCs/>
          <w:color w:val="414042" w:themeColor="text1"/>
        </w:rPr>
        <w:t>22</w:t>
      </w:r>
      <w:r w:rsidRPr="00DF3006">
        <w:rPr>
          <w:color w:val="414042" w:themeColor="text1"/>
        </w:rPr>
        <w:t xml:space="preserve"> was provided to the Commonwealth Attorney-General on 23 November 2022.</w:t>
      </w:r>
    </w:p>
    <w:p w14:paraId="7F5C1138" w14:textId="405D0817" w:rsidR="00561686" w:rsidRPr="00DF3006" w:rsidRDefault="00561686" w:rsidP="008D1425">
      <w:pPr>
        <w:rPr>
          <w:color w:val="414042" w:themeColor="text1"/>
        </w:rPr>
      </w:pPr>
      <w:r w:rsidRPr="00DF3006">
        <w:rPr>
          <w:color w:val="414042" w:themeColor="text1"/>
        </w:rPr>
        <w:t xml:space="preserve">The CCC adopted the Commonwealth Ombudsman’s suggestions to upgrade processes to ensure authorised officers consistently documented relevant considerations when making a telecommunications data authorisation. These adopted changes included updates to the </w:t>
      </w:r>
      <w:r w:rsidRPr="00DF3006">
        <w:rPr>
          <w:i/>
          <w:iCs/>
          <w:color w:val="414042" w:themeColor="text1"/>
        </w:rPr>
        <w:t>Operations Manual</w:t>
      </w:r>
      <w:r w:rsidRPr="00DF3006">
        <w:rPr>
          <w:color w:val="414042" w:themeColor="text1"/>
        </w:rPr>
        <w:t xml:space="preserve"> and templates to ensure additional background information was provided as part of the reasons for multiple </w:t>
      </w:r>
      <w:r w:rsidR="008D1425" w:rsidRPr="00DF3006">
        <w:rPr>
          <w:color w:val="414042" w:themeColor="text1"/>
        </w:rPr>
        <w:t>Integrated Public Number Database (</w:t>
      </w:r>
      <w:proofErr w:type="spellStart"/>
      <w:r w:rsidRPr="00DF3006">
        <w:rPr>
          <w:color w:val="414042" w:themeColor="text1"/>
        </w:rPr>
        <w:t>IPNDe</w:t>
      </w:r>
      <w:proofErr w:type="spellEnd"/>
      <w:r w:rsidR="008D1425" w:rsidRPr="00DF3006">
        <w:rPr>
          <w:color w:val="414042" w:themeColor="text1"/>
        </w:rPr>
        <w:t>)</w:t>
      </w:r>
      <w:r w:rsidRPr="00DF3006">
        <w:rPr>
          <w:color w:val="414042" w:themeColor="text1"/>
        </w:rPr>
        <w:t xml:space="preserve"> checks and the significance of requested call charge records</w:t>
      </w:r>
      <w:r w:rsidR="00B24744" w:rsidRPr="00DF3006">
        <w:rPr>
          <w:color w:val="414042" w:themeColor="text1"/>
        </w:rPr>
        <w:t>’</w:t>
      </w:r>
      <w:r w:rsidRPr="00DF3006">
        <w:rPr>
          <w:color w:val="414042" w:themeColor="text1"/>
        </w:rPr>
        <w:t xml:space="preserve"> date ranges.</w:t>
      </w:r>
    </w:p>
    <w:p w14:paraId="1C2AC764" w14:textId="77777777" w:rsidR="00561686" w:rsidRPr="00DF3006" w:rsidRDefault="00561686" w:rsidP="00561686">
      <w:pPr>
        <w:ind w:right="-143"/>
        <w:rPr>
          <w:color w:val="414042" w:themeColor="text1"/>
        </w:rPr>
      </w:pPr>
    </w:p>
    <w:p w14:paraId="09B95909" w14:textId="77777777" w:rsidR="000E2408" w:rsidRPr="00DF3006" w:rsidRDefault="000E2408" w:rsidP="00561686">
      <w:pPr>
        <w:ind w:right="-143"/>
        <w:rPr>
          <w:color w:val="414042" w:themeColor="text1"/>
        </w:rPr>
      </w:pPr>
    </w:p>
    <w:p w14:paraId="0A0D8064" w14:textId="3E56243F" w:rsidR="000E2408" w:rsidRPr="00DF3006" w:rsidRDefault="000E2408" w:rsidP="00561686">
      <w:pPr>
        <w:ind w:right="-143"/>
        <w:rPr>
          <w:color w:val="414042" w:themeColor="text1"/>
        </w:rPr>
        <w:sectPr w:rsidR="000E2408" w:rsidRPr="00DF3006" w:rsidSect="00C77834">
          <w:headerReference w:type="even" r:id="rId274"/>
          <w:headerReference w:type="default" r:id="rId275"/>
          <w:headerReference w:type="first" r:id="rId276"/>
          <w:pgSz w:w="11906" w:h="16838" w:code="9"/>
          <w:pgMar w:top="2155" w:right="1134" w:bottom="964" w:left="1134" w:header="720" w:footer="284" w:gutter="0"/>
          <w:cols w:num="2" w:space="567"/>
          <w:noEndnote/>
          <w:docGrid w:linePitch="272"/>
        </w:sectPr>
      </w:pPr>
    </w:p>
    <w:p w14:paraId="4303374C" w14:textId="46B664A7" w:rsidR="00561686" w:rsidRPr="00DF3006" w:rsidRDefault="00561686" w:rsidP="00463FBB">
      <w:pPr>
        <w:pStyle w:val="Heading4b"/>
      </w:pPr>
      <w:bookmarkStart w:id="1790" w:name="_Toc102038084"/>
      <w:bookmarkStart w:id="1791" w:name="_Toc102038445"/>
      <w:bookmarkStart w:id="1792" w:name="_Toc102038806"/>
      <w:bookmarkStart w:id="1793" w:name="_Toc102039158"/>
      <w:bookmarkStart w:id="1794" w:name="_Toc102039507"/>
      <w:bookmarkStart w:id="1795" w:name="_Toc102039869"/>
      <w:bookmarkStart w:id="1796" w:name="_Toc102040226"/>
      <w:bookmarkStart w:id="1797" w:name="_Toc102040554"/>
      <w:bookmarkStart w:id="1798" w:name="_Toc102040888"/>
      <w:bookmarkStart w:id="1799" w:name="_Toc102041216"/>
      <w:bookmarkStart w:id="1800" w:name="_Toc102041545"/>
      <w:bookmarkStart w:id="1801" w:name="_Toc102041877"/>
      <w:bookmarkStart w:id="1802" w:name="_Toc102042204"/>
      <w:bookmarkStart w:id="1803" w:name="_Toc102042534"/>
      <w:bookmarkStart w:id="1804" w:name="_Toc102045664"/>
      <w:bookmarkStart w:id="1805" w:name="_Hlk74319792"/>
      <w:r w:rsidRPr="00DF3006">
        <w:t>Table 1</w:t>
      </w:r>
      <w:r w:rsidR="00A2421F" w:rsidRPr="00DF3006">
        <w:t>2</w:t>
      </w:r>
      <w:r w:rsidRPr="00DF3006">
        <w:t>: Use of powers 2022–23</w:t>
      </w:r>
      <w:r w:rsidRPr="00DF3006">
        <w:rPr>
          <w:vertAlign w:val="superscript"/>
        </w:rPr>
        <w:t>1</w:t>
      </w:r>
    </w:p>
    <w:tbl>
      <w:tblPr>
        <w:tblStyle w:val="Annualreport2020-21"/>
        <w:tblW w:w="9754"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2977"/>
        <w:gridCol w:w="1701"/>
        <w:gridCol w:w="1701"/>
        <w:gridCol w:w="1566"/>
        <w:gridCol w:w="1809"/>
      </w:tblGrid>
      <w:tr w:rsidR="00DF3006" w:rsidRPr="00DF3006" w14:paraId="40A70B40" w14:textId="77777777" w:rsidTr="00270F15">
        <w:trPr>
          <w:cnfStyle w:val="100000000000" w:firstRow="1" w:lastRow="0" w:firstColumn="0" w:lastColumn="0" w:oddVBand="0" w:evenVBand="0" w:oddHBand="0" w:evenHBand="0" w:firstRowFirstColumn="0" w:firstRowLastColumn="0" w:lastRowFirstColumn="0" w:lastRowLastColumn="0"/>
          <w:trHeight w:val="20"/>
        </w:trPr>
        <w:tc>
          <w:tcPr>
            <w:tcW w:w="2977" w:type="dxa"/>
            <w:vMerge w:val="restart"/>
          </w:tcPr>
          <w:p w14:paraId="6D6D3693" w14:textId="77777777" w:rsidR="00561686" w:rsidRPr="00DF3006" w:rsidRDefault="00561686" w:rsidP="00270F15">
            <w:pPr>
              <w:spacing w:after="0"/>
              <w:jc w:val="left"/>
              <w:rPr>
                <w:rFonts w:asciiTheme="minorHAnsi" w:hAnsiTheme="minorHAnsi" w:cstheme="minorHAnsi"/>
                <w:color w:val="414042" w:themeColor="text1"/>
              </w:rPr>
            </w:pPr>
            <w:r w:rsidRPr="00DF3006">
              <w:rPr>
                <w:rFonts w:asciiTheme="minorHAnsi" w:hAnsiTheme="minorHAnsi" w:cstheme="minorHAnsi"/>
                <w:color w:val="414042" w:themeColor="text1"/>
              </w:rPr>
              <w:t>Description</w:t>
            </w:r>
          </w:p>
        </w:tc>
        <w:tc>
          <w:tcPr>
            <w:tcW w:w="3402" w:type="dxa"/>
            <w:gridSpan w:val="2"/>
          </w:tcPr>
          <w:p w14:paraId="11D388AF" w14:textId="77777777" w:rsidR="00561686" w:rsidRPr="00DF3006" w:rsidRDefault="00561686" w:rsidP="00270F15">
            <w:pPr>
              <w:spacing w:after="0"/>
              <w:rPr>
                <w:rFonts w:asciiTheme="minorHAnsi" w:hAnsiTheme="minorHAnsi" w:cstheme="minorHAnsi"/>
                <w:color w:val="414042" w:themeColor="text1"/>
              </w:rPr>
            </w:pPr>
            <w:r w:rsidRPr="00DF3006">
              <w:rPr>
                <w:rFonts w:asciiTheme="minorHAnsi" w:hAnsiTheme="minorHAnsi" w:cstheme="minorHAnsi"/>
                <w:color w:val="414042" w:themeColor="text1"/>
              </w:rPr>
              <w:t>Crime</w:t>
            </w:r>
          </w:p>
        </w:tc>
        <w:tc>
          <w:tcPr>
            <w:tcW w:w="1566" w:type="dxa"/>
            <w:vMerge w:val="restart"/>
          </w:tcPr>
          <w:p w14:paraId="7B2F6EF9" w14:textId="77777777" w:rsidR="00561686" w:rsidRPr="00DF3006" w:rsidRDefault="00561686" w:rsidP="00270F15">
            <w:pPr>
              <w:spacing w:after="0"/>
              <w:rPr>
                <w:rFonts w:asciiTheme="minorHAnsi" w:hAnsiTheme="minorHAnsi" w:cstheme="minorHAnsi"/>
                <w:color w:val="414042" w:themeColor="text1"/>
              </w:rPr>
            </w:pPr>
            <w:r w:rsidRPr="00DF3006">
              <w:rPr>
                <w:rFonts w:asciiTheme="minorHAnsi" w:hAnsiTheme="minorHAnsi" w:cstheme="minorHAnsi"/>
                <w:color w:val="414042" w:themeColor="text1"/>
              </w:rPr>
              <w:t>Corruption</w:t>
            </w:r>
          </w:p>
        </w:tc>
        <w:tc>
          <w:tcPr>
            <w:tcW w:w="1809" w:type="dxa"/>
            <w:vMerge w:val="restart"/>
          </w:tcPr>
          <w:p w14:paraId="65C138A5" w14:textId="77777777" w:rsidR="00561686" w:rsidRPr="00DF3006" w:rsidRDefault="00561686" w:rsidP="00270F15">
            <w:pPr>
              <w:spacing w:after="0"/>
              <w:rPr>
                <w:rFonts w:asciiTheme="minorHAnsi" w:hAnsiTheme="minorHAnsi" w:cstheme="minorHAnsi"/>
                <w:color w:val="414042" w:themeColor="text1"/>
              </w:rPr>
            </w:pPr>
            <w:r w:rsidRPr="00DF3006">
              <w:rPr>
                <w:rFonts w:asciiTheme="minorHAnsi" w:hAnsiTheme="minorHAnsi" w:cstheme="minorHAnsi"/>
                <w:color w:val="414042" w:themeColor="text1"/>
              </w:rPr>
              <w:t>Proceeds of crime</w:t>
            </w:r>
          </w:p>
        </w:tc>
      </w:tr>
      <w:tr w:rsidR="00DF3006" w:rsidRPr="00DF3006" w14:paraId="68A5CFA6" w14:textId="77777777" w:rsidTr="00270F15">
        <w:trPr>
          <w:trHeight w:val="20"/>
        </w:trPr>
        <w:tc>
          <w:tcPr>
            <w:tcW w:w="2977" w:type="dxa"/>
            <w:vMerge/>
          </w:tcPr>
          <w:p w14:paraId="63677302" w14:textId="77777777" w:rsidR="00561686" w:rsidRPr="00DF3006" w:rsidRDefault="00561686" w:rsidP="00270F15">
            <w:pPr>
              <w:spacing w:after="0"/>
              <w:rPr>
                <w:color w:val="414042" w:themeColor="text1"/>
              </w:rPr>
            </w:pPr>
          </w:p>
        </w:tc>
        <w:tc>
          <w:tcPr>
            <w:tcW w:w="1701" w:type="dxa"/>
            <w:shd w:val="clear" w:color="auto" w:fill="E6E7E8" w:themeFill="accent6"/>
          </w:tcPr>
          <w:p w14:paraId="12B40EFD" w14:textId="77777777" w:rsidR="00561686" w:rsidRPr="00DF3006" w:rsidRDefault="00561686" w:rsidP="00270F15">
            <w:pPr>
              <w:spacing w:after="0"/>
              <w:rPr>
                <w:rFonts w:asciiTheme="minorHAnsi" w:hAnsiTheme="minorHAnsi" w:cstheme="minorHAnsi"/>
                <w:b/>
                <w:bCs/>
                <w:color w:val="414042" w:themeColor="text1"/>
              </w:rPr>
            </w:pPr>
            <w:r w:rsidRPr="00DF3006">
              <w:rPr>
                <w:rFonts w:asciiTheme="minorHAnsi" w:hAnsiTheme="minorHAnsi" w:cstheme="minorHAnsi"/>
                <w:b/>
                <w:bCs/>
                <w:color w:val="414042" w:themeColor="text1"/>
              </w:rPr>
              <w:t>Investigation</w:t>
            </w:r>
          </w:p>
        </w:tc>
        <w:tc>
          <w:tcPr>
            <w:tcW w:w="1701" w:type="dxa"/>
            <w:shd w:val="clear" w:color="auto" w:fill="E6E7E8" w:themeFill="accent6"/>
          </w:tcPr>
          <w:p w14:paraId="20AFABAC" w14:textId="77777777" w:rsidR="00561686" w:rsidRPr="00DF3006" w:rsidRDefault="00561686" w:rsidP="00270F15">
            <w:pPr>
              <w:spacing w:after="0"/>
              <w:rPr>
                <w:rFonts w:asciiTheme="minorHAnsi" w:hAnsiTheme="minorHAnsi" w:cstheme="minorHAnsi"/>
                <w:b/>
                <w:bCs/>
                <w:color w:val="414042" w:themeColor="text1"/>
              </w:rPr>
            </w:pPr>
            <w:r w:rsidRPr="00DF3006">
              <w:rPr>
                <w:rFonts w:asciiTheme="minorHAnsi" w:hAnsiTheme="minorHAnsi" w:cstheme="minorHAnsi"/>
                <w:b/>
                <w:bCs/>
                <w:color w:val="414042" w:themeColor="text1"/>
              </w:rPr>
              <w:t>Intelligence</w:t>
            </w:r>
          </w:p>
        </w:tc>
        <w:tc>
          <w:tcPr>
            <w:tcW w:w="1566" w:type="dxa"/>
            <w:vMerge/>
          </w:tcPr>
          <w:p w14:paraId="0E599BF6" w14:textId="77777777" w:rsidR="00561686" w:rsidRPr="00DF3006" w:rsidRDefault="00561686" w:rsidP="00270F15">
            <w:pPr>
              <w:spacing w:after="0"/>
              <w:rPr>
                <w:color w:val="414042" w:themeColor="text1"/>
              </w:rPr>
            </w:pPr>
          </w:p>
        </w:tc>
        <w:tc>
          <w:tcPr>
            <w:tcW w:w="1809" w:type="dxa"/>
            <w:vMerge/>
          </w:tcPr>
          <w:p w14:paraId="1EC0E1DE" w14:textId="77777777" w:rsidR="00561686" w:rsidRPr="00DF3006" w:rsidRDefault="00561686" w:rsidP="00270F15">
            <w:pPr>
              <w:spacing w:after="0"/>
              <w:rPr>
                <w:color w:val="414042" w:themeColor="text1"/>
              </w:rPr>
            </w:pPr>
          </w:p>
        </w:tc>
      </w:tr>
      <w:tr w:rsidR="00DF3006" w:rsidRPr="00DF3006" w14:paraId="537D6F0C" w14:textId="77777777" w:rsidTr="00270F15">
        <w:trPr>
          <w:trHeight w:val="20"/>
        </w:trPr>
        <w:tc>
          <w:tcPr>
            <w:tcW w:w="2977" w:type="dxa"/>
            <w:shd w:val="clear" w:color="auto" w:fill="auto"/>
          </w:tcPr>
          <w:p w14:paraId="3C1BF084" w14:textId="77777777" w:rsidR="00561686" w:rsidRPr="00DF3006" w:rsidRDefault="00561686" w:rsidP="00270F15">
            <w:pPr>
              <w:spacing w:after="0"/>
              <w:rPr>
                <w:color w:val="414042" w:themeColor="text1"/>
              </w:rPr>
            </w:pPr>
            <w:r w:rsidRPr="00DF3006">
              <w:rPr>
                <w:color w:val="414042" w:themeColor="text1"/>
              </w:rPr>
              <w:t>Notices issued to attend hearing</w:t>
            </w:r>
          </w:p>
        </w:tc>
        <w:tc>
          <w:tcPr>
            <w:tcW w:w="1701" w:type="dxa"/>
            <w:shd w:val="clear" w:color="auto" w:fill="auto"/>
            <w:vAlign w:val="top"/>
          </w:tcPr>
          <w:p w14:paraId="16E6D04C" w14:textId="77777777" w:rsidR="00561686" w:rsidRPr="00DF3006" w:rsidRDefault="00561686" w:rsidP="00270F15">
            <w:pPr>
              <w:spacing w:after="0"/>
              <w:rPr>
                <w:color w:val="414042" w:themeColor="text1"/>
                <w:highlight w:val="darkCyan"/>
              </w:rPr>
            </w:pPr>
            <w:r w:rsidRPr="00DF3006">
              <w:rPr>
                <w:color w:val="414042" w:themeColor="text1"/>
              </w:rPr>
              <w:t>154</w:t>
            </w:r>
          </w:p>
        </w:tc>
        <w:tc>
          <w:tcPr>
            <w:tcW w:w="1701" w:type="dxa"/>
            <w:shd w:val="clear" w:color="auto" w:fill="auto"/>
            <w:vAlign w:val="top"/>
          </w:tcPr>
          <w:p w14:paraId="2FD1AD01" w14:textId="77777777" w:rsidR="00561686" w:rsidRPr="00DF3006" w:rsidRDefault="00561686" w:rsidP="00270F15">
            <w:pPr>
              <w:spacing w:after="0"/>
              <w:rPr>
                <w:color w:val="414042" w:themeColor="text1"/>
                <w:highlight w:val="darkCyan"/>
              </w:rPr>
            </w:pPr>
            <w:r w:rsidRPr="00DF3006">
              <w:rPr>
                <w:color w:val="414042" w:themeColor="text1"/>
              </w:rPr>
              <w:t>0</w:t>
            </w:r>
          </w:p>
        </w:tc>
        <w:tc>
          <w:tcPr>
            <w:tcW w:w="1566" w:type="dxa"/>
            <w:shd w:val="clear" w:color="auto" w:fill="auto"/>
            <w:vAlign w:val="top"/>
          </w:tcPr>
          <w:p w14:paraId="19E6DE73" w14:textId="77777777" w:rsidR="00561686" w:rsidRPr="00DF3006" w:rsidRDefault="00561686" w:rsidP="00270F15">
            <w:pPr>
              <w:spacing w:after="0"/>
              <w:rPr>
                <w:color w:val="414042" w:themeColor="text1"/>
                <w:highlight w:val="darkCyan"/>
              </w:rPr>
            </w:pPr>
            <w:r w:rsidRPr="00DF3006">
              <w:rPr>
                <w:color w:val="414042" w:themeColor="text1"/>
              </w:rPr>
              <w:t>21</w:t>
            </w:r>
          </w:p>
        </w:tc>
        <w:tc>
          <w:tcPr>
            <w:tcW w:w="1809" w:type="dxa"/>
            <w:shd w:val="clear" w:color="auto" w:fill="auto"/>
            <w:vAlign w:val="top"/>
          </w:tcPr>
          <w:p w14:paraId="48F0A882" w14:textId="77777777" w:rsidR="00561686" w:rsidRPr="00DF3006" w:rsidRDefault="00561686" w:rsidP="00270F15">
            <w:pPr>
              <w:spacing w:after="0"/>
              <w:rPr>
                <w:color w:val="414042" w:themeColor="text1"/>
                <w:highlight w:val="darkCyan"/>
              </w:rPr>
            </w:pPr>
            <w:r w:rsidRPr="00DF3006">
              <w:rPr>
                <w:color w:val="414042" w:themeColor="text1"/>
              </w:rPr>
              <w:t>N/A</w:t>
            </w:r>
          </w:p>
        </w:tc>
      </w:tr>
      <w:tr w:rsidR="00DF3006" w:rsidRPr="00DF3006" w14:paraId="77F81F79" w14:textId="77777777" w:rsidTr="00270F15">
        <w:trPr>
          <w:trHeight w:val="20"/>
        </w:trPr>
        <w:tc>
          <w:tcPr>
            <w:tcW w:w="2977" w:type="dxa"/>
            <w:shd w:val="clear" w:color="auto" w:fill="auto"/>
          </w:tcPr>
          <w:p w14:paraId="0E1A07D0" w14:textId="77777777" w:rsidR="00561686" w:rsidRPr="00DF3006" w:rsidRDefault="00561686" w:rsidP="00270F15">
            <w:pPr>
              <w:spacing w:after="0"/>
              <w:rPr>
                <w:color w:val="414042" w:themeColor="text1"/>
              </w:rPr>
            </w:pPr>
            <w:r w:rsidRPr="00DF3006">
              <w:rPr>
                <w:color w:val="414042" w:themeColor="text1"/>
              </w:rPr>
              <w:t>Notices to produce</w:t>
            </w:r>
          </w:p>
        </w:tc>
        <w:tc>
          <w:tcPr>
            <w:tcW w:w="1701" w:type="dxa"/>
            <w:shd w:val="clear" w:color="auto" w:fill="auto"/>
            <w:vAlign w:val="top"/>
          </w:tcPr>
          <w:p w14:paraId="17AA71FC" w14:textId="77777777" w:rsidR="00561686" w:rsidRPr="00DF3006" w:rsidRDefault="00561686" w:rsidP="00270F15">
            <w:pPr>
              <w:spacing w:after="0"/>
              <w:rPr>
                <w:color w:val="414042" w:themeColor="text1"/>
                <w:highlight w:val="darkCyan"/>
              </w:rPr>
            </w:pPr>
            <w:r w:rsidRPr="00DF3006">
              <w:rPr>
                <w:color w:val="414042" w:themeColor="text1"/>
              </w:rPr>
              <w:t>89</w:t>
            </w:r>
          </w:p>
        </w:tc>
        <w:tc>
          <w:tcPr>
            <w:tcW w:w="1701" w:type="dxa"/>
            <w:shd w:val="clear" w:color="auto" w:fill="auto"/>
            <w:vAlign w:val="top"/>
          </w:tcPr>
          <w:p w14:paraId="00E3859A" w14:textId="77777777" w:rsidR="00561686" w:rsidRPr="00DF3006" w:rsidRDefault="00561686" w:rsidP="00270F15">
            <w:pPr>
              <w:spacing w:after="0"/>
              <w:rPr>
                <w:color w:val="414042" w:themeColor="text1"/>
                <w:highlight w:val="darkCyan"/>
              </w:rPr>
            </w:pPr>
            <w:r w:rsidRPr="00DF3006">
              <w:rPr>
                <w:color w:val="414042" w:themeColor="text1"/>
              </w:rPr>
              <w:t>0</w:t>
            </w:r>
          </w:p>
        </w:tc>
        <w:tc>
          <w:tcPr>
            <w:tcW w:w="1566" w:type="dxa"/>
            <w:shd w:val="clear" w:color="auto" w:fill="auto"/>
            <w:vAlign w:val="top"/>
          </w:tcPr>
          <w:p w14:paraId="33890923" w14:textId="77777777" w:rsidR="00561686" w:rsidRPr="00DF3006" w:rsidRDefault="00561686" w:rsidP="00270F15">
            <w:pPr>
              <w:spacing w:after="0"/>
              <w:rPr>
                <w:color w:val="414042" w:themeColor="text1"/>
                <w:highlight w:val="darkCyan"/>
              </w:rPr>
            </w:pPr>
            <w:r w:rsidRPr="00DF3006">
              <w:rPr>
                <w:color w:val="414042" w:themeColor="text1"/>
              </w:rPr>
              <w:t>N/A</w:t>
            </w:r>
          </w:p>
        </w:tc>
        <w:tc>
          <w:tcPr>
            <w:tcW w:w="1809" w:type="dxa"/>
            <w:shd w:val="clear" w:color="auto" w:fill="auto"/>
            <w:vAlign w:val="top"/>
          </w:tcPr>
          <w:p w14:paraId="2B30534B" w14:textId="77777777" w:rsidR="00561686" w:rsidRPr="00DF3006" w:rsidRDefault="00561686" w:rsidP="00270F15">
            <w:pPr>
              <w:spacing w:after="0"/>
              <w:rPr>
                <w:color w:val="414042" w:themeColor="text1"/>
                <w:highlight w:val="darkCyan"/>
              </w:rPr>
            </w:pPr>
            <w:r w:rsidRPr="00DF3006">
              <w:rPr>
                <w:color w:val="414042" w:themeColor="text1"/>
              </w:rPr>
              <w:t>205</w:t>
            </w:r>
          </w:p>
        </w:tc>
      </w:tr>
      <w:tr w:rsidR="00DF3006" w:rsidRPr="00DF3006" w14:paraId="7BA4C521" w14:textId="77777777" w:rsidTr="00270F15">
        <w:trPr>
          <w:trHeight w:val="20"/>
        </w:trPr>
        <w:tc>
          <w:tcPr>
            <w:tcW w:w="2977" w:type="dxa"/>
            <w:shd w:val="clear" w:color="auto" w:fill="auto"/>
          </w:tcPr>
          <w:p w14:paraId="04DC687F" w14:textId="77777777" w:rsidR="00561686" w:rsidRPr="00DF3006" w:rsidRDefault="00561686" w:rsidP="00270F15">
            <w:pPr>
              <w:spacing w:after="0"/>
              <w:rPr>
                <w:color w:val="414042" w:themeColor="text1"/>
              </w:rPr>
            </w:pPr>
            <w:r w:rsidRPr="00DF3006">
              <w:rPr>
                <w:color w:val="414042" w:themeColor="text1"/>
              </w:rPr>
              <w:t>Search warrants</w:t>
            </w:r>
          </w:p>
        </w:tc>
        <w:tc>
          <w:tcPr>
            <w:tcW w:w="1701" w:type="dxa"/>
            <w:shd w:val="clear" w:color="auto" w:fill="auto"/>
            <w:vAlign w:val="top"/>
          </w:tcPr>
          <w:p w14:paraId="16A191DA" w14:textId="77777777" w:rsidR="00561686" w:rsidRPr="00DF3006" w:rsidRDefault="00561686" w:rsidP="00270F15">
            <w:pPr>
              <w:spacing w:after="0"/>
              <w:rPr>
                <w:color w:val="414042" w:themeColor="text1"/>
                <w:highlight w:val="darkCyan"/>
              </w:rPr>
            </w:pPr>
            <w:r w:rsidRPr="00DF3006">
              <w:rPr>
                <w:color w:val="414042" w:themeColor="text1"/>
              </w:rPr>
              <w:t>7</w:t>
            </w:r>
          </w:p>
        </w:tc>
        <w:tc>
          <w:tcPr>
            <w:tcW w:w="1701" w:type="dxa"/>
            <w:shd w:val="clear" w:color="auto" w:fill="auto"/>
            <w:vAlign w:val="top"/>
          </w:tcPr>
          <w:p w14:paraId="4F651722" w14:textId="77777777" w:rsidR="00561686" w:rsidRPr="00DF3006" w:rsidRDefault="00561686" w:rsidP="00270F15">
            <w:pPr>
              <w:spacing w:after="0"/>
              <w:rPr>
                <w:color w:val="414042" w:themeColor="text1"/>
                <w:highlight w:val="darkCyan"/>
              </w:rPr>
            </w:pPr>
            <w:r w:rsidRPr="00DF3006">
              <w:rPr>
                <w:color w:val="414042" w:themeColor="text1"/>
              </w:rPr>
              <w:t>0</w:t>
            </w:r>
          </w:p>
        </w:tc>
        <w:tc>
          <w:tcPr>
            <w:tcW w:w="1566" w:type="dxa"/>
            <w:shd w:val="clear" w:color="auto" w:fill="auto"/>
            <w:vAlign w:val="top"/>
          </w:tcPr>
          <w:p w14:paraId="7435635E" w14:textId="77777777" w:rsidR="00561686" w:rsidRPr="00DF3006" w:rsidRDefault="00561686" w:rsidP="00270F15">
            <w:pPr>
              <w:spacing w:after="0"/>
              <w:rPr>
                <w:color w:val="414042" w:themeColor="text1"/>
                <w:highlight w:val="darkCyan"/>
              </w:rPr>
            </w:pPr>
            <w:r w:rsidRPr="00DF3006">
              <w:rPr>
                <w:color w:val="414042" w:themeColor="text1"/>
              </w:rPr>
              <w:t>5</w:t>
            </w:r>
          </w:p>
        </w:tc>
        <w:tc>
          <w:tcPr>
            <w:tcW w:w="1809" w:type="dxa"/>
            <w:shd w:val="clear" w:color="auto" w:fill="auto"/>
            <w:vAlign w:val="top"/>
          </w:tcPr>
          <w:p w14:paraId="3F31FC31" w14:textId="77777777" w:rsidR="00561686" w:rsidRPr="00DF3006" w:rsidRDefault="00561686" w:rsidP="00270F15">
            <w:pPr>
              <w:spacing w:after="0"/>
              <w:rPr>
                <w:color w:val="414042" w:themeColor="text1"/>
                <w:highlight w:val="darkCyan"/>
              </w:rPr>
            </w:pPr>
            <w:r w:rsidRPr="00DF3006">
              <w:rPr>
                <w:color w:val="414042" w:themeColor="text1"/>
              </w:rPr>
              <w:t>N/A</w:t>
            </w:r>
          </w:p>
        </w:tc>
      </w:tr>
      <w:tr w:rsidR="00DF3006" w:rsidRPr="00DF3006" w14:paraId="73DBDBA5" w14:textId="77777777" w:rsidTr="00270F15">
        <w:trPr>
          <w:trHeight w:val="20"/>
        </w:trPr>
        <w:tc>
          <w:tcPr>
            <w:tcW w:w="2977" w:type="dxa"/>
            <w:shd w:val="clear" w:color="auto" w:fill="auto"/>
          </w:tcPr>
          <w:p w14:paraId="7B2B8150" w14:textId="77777777" w:rsidR="00561686" w:rsidRPr="00DF3006" w:rsidRDefault="00561686" w:rsidP="00270F15">
            <w:pPr>
              <w:spacing w:after="0"/>
              <w:rPr>
                <w:color w:val="414042" w:themeColor="text1"/>
              </w:rPr>
            </w:pPr>
            <w:r w:rsidRPr="00DF3006">
              <w:rPr>
                <w:color w:val="414042" w:themeColor="text1"/>
              </w:rPr>
              <w:t>Notices to discover information</w:t>
            </w:r>
          </w:p>
        </w:tc>
        <w:tc>
          <w:tcPr>
            <w:tcW w:w="1701" w:type="dxa"/>
            <w:shd w:val="clear" w:color="auto" w:fill="auto"/>
            <w:vAlign w:val="top"/>
          </w:tcPr>
          <w:p w14:paraId="4F0CE3DB" w14:textId="77777777" w:rsidR="00561686" w:rsidRPr="00DF3006" w:rsidRDefault="00561686" w:rsidP="00270F15">
            <w:pPr>
              <w:spacing w:after="0"/>
              <w:rPr>
                <w:color w:val="414042" w:themeColor="text1"/>
                <w:highlight w:val="darkCyan"/>
              </w:rPr>
            </w:pPr>
            <w:r w:rsidRPr="00DF3006">
              <w:rPr>
                <w:color w:val="414042" w:themeColor="text1"/>
              </w:rPr>
              <w:t>N/A</w:t>
            </w:r>
          </w:p>
        </w:tc>
        <w:tc>
          <w:tcPr>
            <w:tcW w:w="1701" w:type="dxa"/>
            <w:shd w:val="clear" w:color="auto" w:fill="auto"/>
            <w:vAlign w:val="top"/>
          </w:tcPr>
          <w:p w14:paraId="3C8E23E6" w14:textId="77777777" w:rsidR="00561686" w:rsidRPr="00DF3006" w:rsidRDefault="00561686" w:rsidP="00270F15">
            <w:pPr>
              <w:spacing w:after="0"/>
              <w:rPr>
                <w:color w:val="414042" w:themeColor="text1"/>
                <w:highlight w:val="darkCyan"/>
              </w:rPr>
            </w:pPr>
            <w:r w:rsidRPr="00DF3006">
              <w:rPr>
                <w:color w:val="414042" w:themeColor="text1"/>
              </w:rPr>
              <w:t>N/A</w:t>
            </w:r>
          </w:p>
        </w:tc>
        <w:tc>
          <w:tcPr>
            <w:tcW w:w="1566" w:type="dxa"/>
            <w:shd w:val="clear" w:color="auto" w:fill="auto"/>
            <w:vAlign w:val="top"/>
          </w:tcPr>
          <w:p w14:paraId="3403F224" w14:textId="77777777" w:rsidR="00561686" w:rsidRPr="00DF3006" w:rsidRDefault="00561686" w:rsidP="00270F15">
            <w:pPr>
              <w:spacing w:after="0"/>
              <w:rPr>
                <w:color w:val="414042" w:themeColor="text1"/>
                <w:highlight w:val="darkCyan"/>
              </w:rPr>
            </w:pPr>
            <w:r w:rsidRPr="00DF3006">
              <w:rPr>
                <w:color w:val="414042" w:themeColor="text1"/>
              </w:rPr>
              <w:t>67</w:t>
            </w:r>
          </w:p>
        </w:tc>
        <w:tc>
          <w:tcPr>
            <w:tcW w:w="1809" w:type="dxa"/>
            <w:shd w:val="clear" w:color="auto" w:fill="auto"/>
            <w:vAlign w:val="top"/>
          </w:tcPr>
          <w:p w14:paraId="166D22C7" w14:textId="77777777" w:rsidR="00561686" w:rsidRPr="00DF3006" w:rsidRDefault="00561686" w:rsidP="00270F15">
            <w:pPr>
              <w:spacing w:after="0"/>
              <w:rPr>
                <w:color w:val="414042" w:themeColor="text1"/>
                <w:highlight w:val="darkCyan"/>
              </w:rPr>
            </w:pPr>
            <w:r w:rsidRPr="00DF3006">
              <w:rPr>
                <w:color w:val="414042" w:themeColor="text1"/>
              </w:rPr>
              <w:t>N/A</w:t>
            </w:r>
          </w:p>
        </w:tc>
      </w:tr>
    </w:tbl>
    <w:p w14:paraId="5486415A" w14:textId="77777777" w:rsidR="00561686" w:rsidRPr="00DF3006" w:rsidRDefault="00561686" w:rsidP="00561686">
      <w:pPr>
        <w:pStyle w:val="Notes"/>
        <w:spacing w:before="120"/>
        <w:ind w:left="360" w:hanging="360"/>
        <w:rPr>
          <w:lang w:val="en-AU"/>
        </w:rPr>
      </w:pPr>
      <w:r w:rsidRPr="00DF3006">
        <w:rPr>
          <w:lang w:val="en-AU"/>
        </w:rPr>
        <w:t>Note:</w:t>
      </w:r>
    </w:p>
    <w:p w14:paraId="3D85EFA3" w14:textId="155D721C" w:rsidR="00561686" w:rsidRPr="00DF3006" w:rsidRDefault="00561686" w:rsidP="00561686">
      <w:pPr>
        <w:pStyle w:val="Notes"/>
        <w:numPr>
          <w:ilvl w:val="0"/>
          <w:numId w:val="43"/>
        </w:numPr>
        <w:ind w:left="284" w:hanging="284"/>
        <w:rPr>
          <w:rFonts w:asciiTheme="minorHAnsi" w:hAnsiTheme="minorHAnsi" w:cstheme="minorHAnsi"/>
        </w:rPr>
      </w:pPr>
      <w:r w:rsidRPr="00DF3006">
        <w:rPr>
          <w:lang w:val="en-AU"/>
        </w:rPr>
        <w:t xml:space="preserve">This table refers to notices and warrants authorised by </w:t>
      </w:r>
      <w:r w:rsidR="0066704B" w:rsidRPr="00DF3006">
        <w:rPr>
          <w:lang w:val="en-AU"/>
        </w:rPr>
        <w:t xml:space="preserve">our </w:t>
      </w:r>
      <w:r w:rsidRPr="00DF3006">
        <w:rPr>
          <w:lang w:val="en-AU"/>
        </w:rPr>
        <w:t>Chairperson or delegate.</w:t>
      </w:r>
    </w:p>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14:paraId="5647272A" w14:textId="77777777" w:rsidR="00561686" w:rsidRPr="00DF3006" w:rsidRDefault="00561686" w:rsidP="00E6066A">
      <w:pPr>
        <w:pStyle w:val="Heading3"/>
        <w:sectPr w:rsidR="00561686" w:rsidRPr="00DF3006" w:rsidSect="00C77834">
          <w:type w:val="continuous"/>
          <w:pgSz w:w="11906" w:h="16838" w:code="9"/>
          <w:pgMar w:top="2155" w:right="1134" w:bottom="964" w:left="1134" w:header="720" w:footer="284" w:gutter="0"/>
          <w:cols w:space="567"/>
          <w:noEndnote/>
          <w:docGrid w:linePitch="272"/>
        </w:sectPr>
      </w:pPr>
    </w:p>
    <w:p w14:paraId="02B66621" w14:textId="77777777" w:rsidR="00561686" w:rsidRPr="00DF3006" w:rsidRDefault="00561686" w:rsidP="00E6066A">
      <w:pPr>
        <w:pStyle w:val="Heading3"/>
        <w:sectPr w:rsidR="00561686" w:rsidRPr="00DF3006" w:rsidSect="00C77834">
          <w:type w:val="continuous"/>
          <w:pgSz w:w="11906" w:h="16838" w:code="9"/>
          <w:pgMar w:top="2155" w:right="1134" w:bottom="964" w:left="1134" w:header="720" w:footer="284" w:gutter="0"/>
          <w:cols w:num="2" w:space="567"/>
          <w:noEndnote/>
          <w:docGrid w:linePitch="272"/>
        </w:sectPr>
      </w:pPr>
      <w:bookmarkStart w:id="1806" w:name="_Toc102038085"/>
      <w:bookmarkStart w:id="1807" w:name="_Toc102038446"/>
      <w:bookmarkStart w:id="1808" w:name="_Toc102038807"/>
      <w:bookmarkStart w:id="1809" w:name="_Toc102039159"/>
      <w:bookmarkStart w:id="1810" w:name="_Toc102039508"/>
      <w:bookmarkStart w:id="1811" w:name="_Toc102039870"/>
      <w:bookmarkStart w:id="1812" w:name="_Toc102040227"/>
      <w:bookmarkStart w:id="1813" w:name="_Toc102040555"/>
      <w:bookmarkStart w:id="1814" w:name="_Toc102040889"/>
      <w:bookmarkStart w:id="1815" w:name="_Toc102041217"/>
      <w:bookmarkStart w:id="1816" w:name="_Toc102041546"/>
      <w:bookmarkStart w:id="1817" w:name="_Toc102041878"/>
      <w:bookmarkStart w:id="1818" w:name="_Toc102042205"/>
      <w:bookmarkStart w:id="1819" w:name="_Toc102042535"/>
      <w:bookmarkStart w:id="1820" w:name="_Toc102045665"/>
    </w:p>
    <w:p w14:paraId="2A78BABC" w14:textId="77777777" w:rsidR="00561686" w:rsidRPr="00DF3006" w:rsidRDefault="00561686" w:rsidP="00E6066A">
      <w:pPr>
        <w:pStyle w:val="Heading3"/>
      </w:pPr>
      <w:r w:rsidRPr="00DF3006">
        <w:lastRenderedPageBreak/>
        <w:t>Securing and managing our information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74A0815B" w14:textId="77777777" w:rsidR="00561686" w:rsidRPr="00DF3006" w:rsidRDefault="00561686" w:rsidP="00463FBB">
      <w:pPr>
        <w:pStyle w:val="Heading4"/>
      </w:pPr>
      <w:r w:rsidRPr="00DF3006">
        <w:t>Information Security attestation</w:t>
      </w:r>
    </w:p>
    <w:p w14:paraId="4C8F86B4" w14:textId="77777777" w:rsidR="00561686" w:rsidRPr="00DF3006" w:rsidRDefault="00561686" w:rsidP="00561686">
      <w:pPr>
        <w:rPr>
          <w:color w:val="414042" w:themeColor="text1"/>
        </w:rPr>
      </w:pPr>
      <w:bookmarkStart w:id="1821" w:name="_Toc102038087"/>
      <w:bookmarkStart w:id="1822" w:name="_Toc102038448"/>
      <w:bookmarkStart w:id="1823" w:name="_Toc102038809"/>
      <w:bookmarkStart w:id="1824" w:name="_Toc102039161"/>
      <w:bookmarkStart w:id="1825" w:name="_Toc102039510"/>
      <w:bookmarkStart w:id="1826" w:name="_Toc102039872"/>
      <w:bookmarkStart w:id="1827" w:name="_Toc102040229"/>
      <w:bookmarkStart w:id="1828" w:name="_Toc102040557"/>
      <w:bookmarkStart w:id="1829" w:name="_Toc102040891"/>
      <w:bookmarkStart w:id="1830" w:name="_Toc102041219"/>
      <w:bookmarkStart w:id="1831" w:name="_Toc102041548"/>
      <w:bookmarkStart w:id="1832" w:name="_Toc102041880"/>
      <w:bookmarkStart w:id="1833" w:name="_Toc102042207"/>
      <w:bookmarkStart w:id="1834" w:name="_Toc102042537"/>
      <w:bookmarkStart w:id="1835" w:name="_Toc102045667"/>
      <w:r w:rsidRPr="00DF3006">
        <w:rPr>
          <w:color w:val="414042" w:themeColor="text1"/>
        </w:rPr>
        <w:t xml:space="preserve">Departments and other State bodies are required to submit an Information Security Annual Return which includes attestation of their information security posture and compliance with the </w:t>
      </w:r>
      <w:r w:rsidRPr="00DF3006">
        <w:rPr>
          <w:i/>
          <w:iCs/>
          <w:color w:val="414042" w:themeColor="text1"/>
        </w:rPr>
        <w:t>Queensland Government Enterprise Architecture Information Security Policy (IS18:2018)</w:t>
      </w:r>
      <w:r w:rsidRPr="00DF3006">
        <w:rPr>
          <w:color w:val="414042" w:themeColor="text1"/>
        </w:rPr>
        <w:t xml:space="preserve">. Our </w:t>
      </w:r>
      <w:r w:rsidRPr="00DF3006">
        <w:rPr>
          <w:i/>
          <w:iCs/>
          <w:color w:val="414042" w:themeColor="text1"/>
        </w:rPr>
        <w:t>Information Security Management Framework</w:t>
      </w:r>
      <w:r w:rsidRPr="00DF3006">
        <w:rPr>
          <w:color w:val="414042" w:themeColor="text1"/>
        </w:rPr>
        <w:t xml:space="preserve"> and underlying security controls meet the requirements of IS18:2018.</w:t>
      </w:r>
    </w:p>
    <w:p w14:paraId="392F90F7" w14:textId="3A6A5267" w:rsidR="00561686" w:rsidRPr="00DF3006" w:rsidRDefault="00561686" w:rsidP="00561686">
      <w:pPr>
        <w:rPr>
          <w:color w:val="414042" w:themeColor="text1"/>
        </w:rPr>
      </w:pPr>
      <w:r w:rsidRPr="00DF3006">
        <w:rPr>
          <w:color w:val="414042" w:themeColor="text1"/>
        </w:rPr>
        <w:t xml:space="preserve">During the mandatory annual Information Security reporting process, the </w:t>
      </w:r>
      <w:r w:rsidR="00171C5D" w:rsidRPr="00DF3006">
        <w:rPr>
          <w:color w:val="414042" w:themeColor="text1"/>
        </w:rPr>
        <w:t>CEO</w:t>
      </w:r>
      <w:r w:rsidRPr="00DF3006">
        <w:rPr>
          <w:color w:val="414042" w:themeColor="text1"/>
        </w:rPr>
        <w:t xml:space="preserve"> attested to the appropriateness of the information security risk management within </w:t>
      </w:r>
      <w:r w:rsidR="00A85F66" w:rsidRPr="00DF3006">
        <w:rPr>
          <w:color w:val="414042" w:themeColor="text1"/>
        </w:rPr>
        <w:t>our</w:t>
      </w:r>
      <w:r w:rsidRPr="00DF3006">
        <w:rPr>
          <w:color w:val="414042" w:themeColor="text1"/>
        </w:rPr>
        <w:t xml:space="preserve"> agency to the Queensland Government Chief Information Security Officer, noting that appropriate assurance activities have been undertaken to inform this opinion and </w:t>
      </w:r>
      <w:r w:rsidR="00A85F66" w:rsidRPr="00DF3006">
        <w:rPr>
          <w:color w:val="414042" w:themeColor="text1"/>
        </w:rPr>
        <w:t>our</w:t>
      </w:r>
      <w:r w:rsidRPr="00DF3006">
        <w:rPr>
          <w:color w:val="414042" w:themeColor="text1"/>
        </w:rPr>
        <w:t xml:space="preserve"> agency’s information security risk position.</w:t>
      </w:r>
    </w:p>
    <w:p w14:paraId="5651703C" w14:textId="49B825BE" w:rsidR="00561686" w:rsidRPr="00DF3006" w:rsidRDefault="00C34045" w:rsidP="00561686">
      <w:pPr>
        <w:rPr>
          <w:color w:val="414042" w:themeColor="text1"/>
          <w:szCs w:val="20"/>
        </w:rPr>
      </w:pPr>
      <w:r w:rsidRPr="00DF3006">
        <w:rPr>
          <w:color w:val="414042" w:themeColor="text1"/>
          <w:szCs w:val="20"/>
        </w:rPr>
        <w:t xml:space="preserve">There were no information security issues of material concern </w:t>
      </w:r>
      <w:r w:rsidR="00561686" w:rsidRPr="00DF3006">
        <w:rPr>
          <w:color w:val="414042" w:themeColor="text1"/>
          <w:szCs w:val="20"/>
        </w:rPr>
        <w:t>in 2022–23.</w:t>
      </w:r>
    </w:p>
    <w:p w14:paraId="548138DE" w14:textId="2F110A9A" w:rsidR="00561686" w:rsidRPr="00DF3006" w:rsidRDefault="00561686" w:rsidP="00463FBB">
      <w:pPr>
        <w:pStyle w:val="Heading4"/>
      </w:pPr>
      <w:r w:rsidRPr="00DF3006">
        <w:rPr>
          <w:szCs w:val="20"/>
        </w:rPr>
        <w:br w:type="column"/>
      </w:r>
      <w:r w:rsidRPr="00DF3006">
        <w:t>Managing our records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7C6F87A5" w14:textId="0379C854" w:rsidR="00561686" w:rsidRPr="00DF3006" w:rsidRDefault="00561686" w:rsidP="00561686">
      <w:pPr>
        <w:rPr>
          <w:color w:val="414042" w:themeColor="text1"/>
        </w:rPr>
      </w:pPr>
      <w:r w:rsidRPr="00DF3006">
        <w:rPr>
          <w:color w:val="414042" w:themeColor="text1"/>
        </w:rPr>
        <w:t xml:space="preserve">We are committed to the responsible management of records in line with the requirements of the </w:t>
      </w:r>
      <w:r w:rsidRPr="00DF3006">
        <w:rPr>
          <w:i/>
          <w:iCs/>
          <w:color w:val="414042" w:themeColor="text1"/>
        </w:rPr>
        <w:t>Public Records Act 2002</w:t>
      </w:r>
      <w:r w:rsidRPr="00DF3006">
        <w:rPr>
          <w:color w:val="414042" w:themeColor="text1"/>
        </w:rPr>
        <w:t xml:space="preserve">, the </w:t>
      </w:r>
      <w:proofErr w:type="spellStart"/>
      <w:r w:rsidRPr="00DF3006">
        <w:rPr>
          <w:color w:val="414042" w:themeColor="text1"/>
        </w:rPr>
        <w:t>QSA</w:t>
      </w:r>
      <w:proofErr w:type="spellEnd"/>
      <w:r w:rsidRPr="00DF3006">
        <w:rPr>
          <w:color w:val="414042" w:themeColor="text1"/>
        </w:rPr>
        <w:t xml:space="preserve"> </w:t>
      </w:r>
      <w:r w:rsidRPr="00DF3006">
        <w:rPr>
          <w:i/>
          <w:iCs/>
          <w:color w:val="414042" w:themeColor="text1"/>
        </w:rPr>
        <w:t>Records Governance Policy and approved Retention and Disposal Schedules</w:t>
      </w:r>
      <w:r w:rsidRPr="00DF3006">
        <w:rPr>
          <w:color w:val="414042" w:themeColor="text1"/>
        </w:rPr>
        <w:t xml:space="preserve">. Our </w:t>
      </w:r>
      <w:r w:rsidR="00076199" w:rsidRPr="00DF3006">
        <w:rPr>
          <w:color w:val="414042" w:themeColor="text1"/>
        </w:rPr>
        <w:t>g</w:t>
      </w:r>
      <w:r w:rsidRPr="00DF3006">
        <w:rPr>
          <w:color w:val="414042" w:themeColor="text1"/>
        </w:rPr>
        <w:t xml:space="preserve">eneral </w:t>
      </w:r>
      <w:r w:rsidRPr="00DF3006">
        <w:rPr>
          <w:i/>
          <w:iCs/>
          <w:color w:val="414042" w:themeColor="text1"/>
        </w:rPr>
        <w:t xml:space="preserve">Recordkeeping </w:t>
      </w:r>
      <w:r w:rsidR="00076199" w:rsidRPr="00DF3006">
        <w:rPr>
          <w:i/>
          <w:iCs/>
          <w:color w:val="414042" w:themeColor="text1"/>
        </w:rPr>
        <w:t>P</w:t>
      </w:r>
      <w:r w:rsidRPr="00DF3006">
        <w:rPr>
          <w:i/>
          <w:iCs/>
          <w:color w:val="414042" w:themeColor="text1"/>
        </w:rPr>
        <w:t>olicy</w:t>
      </w:r>
      <w:r w:rsidRPr="00DF3006">
        <w:rPr>
          <w:color w:val="414042" w:themeColor="text1"/>
        </w:rPr>
        <w:t xml:space="preserve"> details the roles and responsibilities for creating, </w:t>
      </w:r>
      <w:proofErr w:type="gramStart"/>
      <w:r w:rsidRPr="00DF3006">
        <w:rPr>
          <w:color w:val="414042" w:themeColor="text1"/>
        </w:rPr>
        <w:t>managing</w:t>
      </w:r>
      <w:proofErr w:type="gramEnd"/>
      <w:r w:rsidRPr="00DF3006">
        <w:rPr>
          <w:color w:val="414042" w:themeColor="text1"/>
        </w:rPr>
        <w:t xml:space="preserve"> and disposing of public records in line with the approved records retention and disposal schedule.</w:t>
      </w:r>
    </w:p>
    <w:p w14:paraId="5DB3AD77" w14:textId="1E79027B" w:rsidR="00561686" w:rsidRPr="00DF3006" w:rsidRDefault="00561686" w:rsidP="00561686">
      <w:pPr>
        <w:rPr>
          <w:color w:val="414042" w:themeColor="text1"/>
        </w:rPr>
      </w:pPr>
      <w:r w:rsidRPr="00DF3006">
        <w:rPr>
          <w:color w:val="414042" w:themeColor="text1"/>
        </w:rPr>
        <w:t xml:space="preserve">Our employees are advised of their recordkeeping responsibilities during our mandatory induction program, with training refreshed annually. New </w:t>
      </w:r>
      <w:r w:rsidR="002E61F7" w:rsidRPr="00DF3006">
        <w:rPr>
          <w:color w:val="414042" w:themeColor="text1"/>
        </w:rPr>
        <w:t>employees</w:t>
      </w:r>
      <w:r w:rsidRPr="00DF3006">
        <w:rPr>
          <w:color w:val="414042" w:themeColor="text1"/>
        </w:rPr>
        <w:t xml:space="preserve"> are provided copies of the CCC </w:t>
      </w:r>
      <w:r w:rsidRPr="00DF3006">
        <w:rPr>
          <w:i/>
          <w:iCs/>
          <w:color w:val="414042" w:themeColor="text1"/>
        </w:rPr>
        <w:t xml:space="preserve">Recordkeeping </w:t>
      </w:r>
      <w:r w:rsidR="00A93559" w:rsidRPr="00DF3006">
        <w:rPr>
          <w:i/>
          <w:iCs/>
          <w:color w:val="414042" w:themeColor="text1"/>
        </w:rPr>
        <w:t>P</w:t>
      </w:r>
      <w:r w:rsidRPr="00DF3006">
        <w:rPr>
          <w:i/>
          <w:iCs/>
          <w:color w:val="414042" w:themeColor="text1"/>
        </w:rPr>
        <w:t>olicy</w:t>
      </w:r>
      <w:r w:rsidRPr="00DF3006">
        <w:rPr>
          <w:color w:val="414042" w:themeColor="text1"/>
        </w:rPr>
        <w:t xml:space="preserve"> and the </w:t>
      </w:r>
      <w:r w:rsidRPr="00DF3006">
        <w:rPr>
          <w:i/>
          <w:iCs/>
          <w:color w:val="414042" w:themeColor="text1"/>
        </w:rPr>
        <w:t xml:space="preserve">Information Security Classification </w:t>
      </w:r>
      <w:r w:rsidR="00A93559" w:rsidRPr="00DF3006">
        <w:rPr>
          <w:i/>
          <w:iCs/>
          <w:color w:val="414042" w:themeColor="text1"/>
        </w:rPr>
        <w:t>P</w:t>
      </w:r>
      <w:r w:rsidRPr="00DF3006">
        <w:rPr>
          <w:i/>
          <w:iCs/>
          <w:color w:val="414042" w:themeColor="text1"/>
        </w:rPr>
        <w:t xml:space="preserve">olicy and </w:t>
      </w:r>
      <w:r w:rsidR="00A93559" w:rsidRPr="00DF3006">
        <w:rPr>
          <w:i/>
          <w:iCs/>
          <w:color w:val="414042" w:themeColor="text1"/>
        </w:rPr>
        <w:t>P</w:t>
      </w:r>
      <w:r w:rsidRPr="00DF3006">
        <w:rPr>
          <w:i/>
          <w:iCs/>
          <w:color w:val="414042" w:themeColor="text1"/>
        </w:rPr>
        <w:t>rocedure</w:t>
      </w:r>
      <w:r w:rsidRPr="00DF3006">
        <w:rPr>
          <w:color w:val="414042" w:themeColor="text1"/>
        </w:rPr>
        <w:t xml:space="preserve"> to help them understand how records are securely managed within the CCC. All </w:t>
      </w:r>
      <w:r w:rsidR="002E61F7" w:rsidRPr="00DF3006">
        <w:rPr>
          <w:color w:val="414042" w:themeColor="text1"/>
        </w:rPr>
        <w:t xml:space="preserve">employees </w:t>
      </w:r>
      <w:r w:rsidRPr="00DF3006">
        <w:rPr>
          <w:color w:val="414042" w:themeColor="text1"/>
        </w:rPr>
        <w:t xml:space="preserve">of the </w:t>
      </w:r>
      <w:r w:rsidR="002E61F7" w:rsidRPr="00DF3006">
        <w:rPr>
          <w:color w:val="414042" w:themeColor="text1"/>
        </w:rPr>
        <w:t xml:space="preserve">CCC </w:t>
      </w:r>
      <w:r w:rsidRPr="00DF3006">
        <w:rPr>
          <w:color w:val="414042" w:themeColor="text1"/>
        </w:rPr>
        <w:t>who utilise the electronic document and records management system (</w:t>
      </w:r>
      <w:proofErr w:type="spellStart"/>
      <w:r w:rsidRPr="00DF3006">
        <w:rPr>
          <w:color w:val="414042" w:themeColor="text1"/>
        </w:rPr>
        <w:t>eDRMS</w:t>
      </w:r>
      <w:proofErr w:type="spellEnd"/>
      <w:r w:rsidRPr="00DF3006">
        <w:rPr>
          <w:color w:val="414042" w:themeColor="text1"/>
        </w:rPr>
        <w:t>) are also subject to regular auditing to ensure compliance with both CCC and legislative guidelines.</w:t>
      </w:r>
    </w:p>
    <w:p w14:paraId="5112970E" w14:textId="77777777" w:rsidR="00561686" w:rsidRPr="00DF3006" w:rsidRDefault="00561686" w:rsidP="00561686">
      <w:pPr>
        <w:rPr>
          <w:color w:val="414042" w:themeColor="text1"/>
        </w:rPr>
      </w:pPr>
      <w:r w:rsidRPr="00DF3006">
        <w:rPr>
          <w:color w:val="414042" w:themeColor="text1"/>
        </w:rPr>
        <w:t>We regularly review our whole-of-organisation records management systems and processes to ensure they are secure, compliant, and contemporary.</w:t>
      </w:r>
    </w:p>
    <w:p w14:paraId="5139D258" w14:textId="27E22053" w:rsidR="00561686" w:rsidRPr="00DF3006" w:rsidRDefault="006924CD" w:rsidP="00561686">
      <w:pPr>
        <w:rPr>
          <w:color w:val="414042" w:themeColor="text1"/>
          <w:spacing w:val="-4"/>
        </w:rPr>
      </w:pPr>
      <w:r w:rsidRPr="00DF3006">
        <w:rPr>
          <w:color w:val="414042" w:themeColor="text1"/>
          <w:spacing w:val="-4"/>
        </w:rPr>
        <w:t>Throughout the reporting period, t</w:t>
      </w:r>
      <w:r w:rsidR="00561686" w:rsidRPr="00DF3006">
        <w:rPr>
          <w:color w:val="414042" w:themeColor="text1"/>
          <w:spacing w:val="-4"/>
        </w:rPr>
        <w:t xml:space="preserve">he management and handling of sensitive information across the CCC </w:t>
      </w:r>
      <w:r w:rsidR="00A85F66" w:rsidRPr="00DF3006">
        <w:rPr>
          <w:color w:val="414042" w:themeColor="text1"/>
          <w:spacing w:val="-4"/>
        </w:rPr>
        <w:t>was</w:t>
      </w:r>
      <w:r w:rsidR="00561686" w:rsidRPr="00DF3006">
        <w:rPr>
          <w:color w:val="414042" w:themeColor="text1"/>
          <w:spacing w:val="-4"/>
        </w:rPr>
        <w:t xml:space="preserve"> strengthened through the review and reworking of document filing structures to ensure that they continue to meet the requirements of operational areas</w:t>
      </w:r>
      <w:r w:rsidR="00561686" w:rsidRPr="00DF3006" w:rsidDel="00E656F6">
        <w:rPr>
          <w:color w:val="414042" w:themeColor="text1"/>
          <w:spacing w:val="-4"/>
        </w:rPr>
        <w:t xml:space="preserve"> </w:t>
      </w:r>
      <w:r w:rsidR="00561686" w:rsidRPr="00DF3006">
        <w:rPr>
          <w:color w:val="414042" w:themeColor="text1"/>
          <w:spacing w:val="-4"/>
        </w:rPr>
        <w:t>whilst remaining compliant with our legal recordkeeping obligations.</w:t>
      </w:r>
    </w:p>
    <w:p w14:paraId="32476724" w14:textId="77777777" w:rsidR="00561686" w:rsidRPr="00DF3006" w:rsidRDefault="00561686" w:rsidP="00561686">
      <w:pPr>
        <w:rPr>
          <w:color w:val="414042" w:themeColor="text1"/>
          <w:szCs w:val="20"/>
        </w:rPr>
      </w:pPr>
      <w:r w:rsidRPr="00DF3006">
        <w:rPr>
          <w:color w:val="414042" w:themeColor="text1"/>
          <w:szCs w:val="20"/>
        </w:rPr>
        <w:t xml:space="preserve">We have continued reviewing the electronic storage and management of lawfully obtained Telecommunication Interceptions to ensure that our processes remain consistent with the </w:t>
      </w:r>
      <w:r w:rsidRPr="00DF3006">
        <w:rPr>
          <w:i/>
          <w:iCs/>
          <w:color w:val="414042" w:themeColor="text1"/>
          <w:szCs w:val="20"/>
        </w:rPr>
        <w:t xml:space="preserve">TI Act 1979 </w:t>
      </w:r>
      <w:r w:rsidRPr="00DF3006">
        <w:rPr>
          <w:color w:val="414042" w:themeColor="text1"/>
          <w:szCs w:val="20"/>
        </w:rPr>
        <w:t xml:space="preserve">and the </w:t>
      </w:r>
      <w:r w:rsidRPr="00DF3006">
        <w:rPr>
          <w:i/>
          <w:iCs/>
          <w:color w:val="414042" w:themeColor="text1"/>
          <w:szCs w:val="20"/>
        </w:rPr>
        <w:t xml:space="preserve">TIA 2009 </w:t>
      </w:r>
      <w:r w:rsidRPr="00DF3006">
        <w:rPr>
          <w:color w:val="414042" w:themeColor="text1"/>
          <w:szCs w:val="20"/>
        </w:rPr>
        <w:t>and continue to be appropriate.</w:t>
      </w:r>
    </w:p>
    <w:p w14:paraId="784C9C80" w14:textId="77777777" w:rsidR="00561686" w:rsidRPr="00DF3006" w:rsidRDefault="00561686" w:rsidP="00561686">
      <w:pPr>
        <w:spacing w:before="120" w:after="0" w:line="260" w:lineRule="exact"/>
        <w:rPr>
          <w:color w:val="414042" w:themeColor="text1"/>
          <w:szCs w:val="20"/>
        </w:rPr>
      </w:pPr>
      <w:r w:rsidRPr="00DF3006">
        <w:rPr>
          <w:color w:val="414042" w:themeColor="text1"/>
          <w:szCs w:val="20"/>
        </w:rPr>
        <w:br w:type="page"/>
      </w:r>
    </w:p>
    <w:p w14:paraId="2E1CE532" w14:textId="77777777" w:rsidR="00561686" w:rsidRPr="00DF3006" w:rsidRDefault="00561686" w:rsidP="00463FBB">
      <w:pPr>
        <w:pStyle w:val="Heading4"/>
      </w:pPr>
      <w:bookmarkStart w:id="1836" w:name="_Toc102038088"/>
      <w:bookmarkStart w:id="1837" w:name="_Toc102038449"/>
      <w:bookmarkStart w:id="1838" w:name="_Toc102038810"/>
      <w:bookmarkStart w:id="1839" w:name="_Toc102039162"/>
      <w:bookmarkStart w:id="1840" w:name="_Toc102039511"/>
      <w:bookmarkStart w:id="1841" w:name="_Toc102039873"/>
      <w:bookmarkStart w:id="1842" w:name="_Toc102040230"/>
      <w:bookmarkStart w:id="1843" w:name="_Toc102040558"/>
      <w:bookmarkStart w:id="1844" w:name="_Toc102040892"/>
      <w:bookmarkStart w:id="1845" w:name="_Toc102041220"/>
      <w:bookmarkStart w:id="1846" w:name="_Toc102041549"/>
      <w:bookmarkStart w:id="1847" w:name="_Toc102041881"/>
      <w:bookmarkStart w:id="1848" w:name="_Toc102042208"/>
      <w:bookmarkStart w:id="1849" w:name="_Toc102042538"/>
      <w:bookmarkStart w:id="1850" w:name="_Toc102045668"/>
      <w:r w:rsidRPr="00DF3006">
        <w:lastRenderedPageBreak/>
        <w:t>Transitioning to digital recordkeeping</w:t>
      </w:r>
    </w:p>
    <w:p w14:paraId="25916B09" w14:textId="77777777" w:rsidR="00561686" w:rsidRPr="00DF3006" w:rsidRDefault="00561686" w:rsidP="00561686">
      <w:pPr>
        <w:rPr>
          <w:color w:val="414042" w:themeColor="text1"/>
          <w:spacing w:val="-2"/>
        </w:rPr>
      </w:pPr>
      <w:r w:rsidRPr="00DF3006">
        <w:rPr>
          <w:color w:val="414042" w:themeColor="text1"/>
          <w:spacing w:val="-2"/>
        </w:rPr>
        <w:t xml:space="preserve">We have continued to implement system enhancements and move towards a paper-lite workplace. We are currently upgrading our </w:t>
      </w:r>
      <w:proofErr w:type="spellStart"/>
      <w:r w:rsidRPr="00DF3006">
        <w:rPr>
          <w:color w:val="414042" w:themeColor="text1"/>
          <w:spacing w:val="-2"/>
        </w:rPr>
        <w:t>eDRMS</w:t>
      </w:r>
      <w:proofErr w:type="spellEnd"/>
      <w:r w:rsidRPr="00DF3006">
        <w:rPr>
          <w:color w:val="414042" w:themeColor="text1"/>
          <w:spacing w:val="-2"/>
        </w:rPr>
        <w:t xml:space="preserve"> to include functionality around saving files, conversations, and collaborations from our organisation’s instant messaging platform as appropriate records within the approved systems.</w:t>
      </w:r>
    </w:p>
    <w:p w14:paraId="56C3F0C4" w14:textId="77777777" w:rsidR="00561686" w:rsidRPr="00DF3006" w:rsidRDefault="00561686" w:rsidP="00561686">
      <w:pPr>
        <w:rPr>
          <w:color w:val="414042" w:themeColor="text1"/>
          <w:spacing w:val="-2"/>
        </w:rPr>
      </w:pPr>
      <w:r w:rsidRPr="00DF3006">
        <w:rPr>
          <w:color w:val="414042" w:themeColor="text1"/>
          <w:spacing w:val="-2"/>
        </w:rPr>
        <w:t xml:space="preserve">To ensure the ongoing growth of a paper-lite workplace we have conducted multiple reviews of the </w:t>
      </w:r>
      <w:proofErr w:type="spellStart"/>
      <w:r w:rsidRPr="00DF3006">
        <w:rPr>
          <w:color w:val="414042" w:themeColor="text1"/>
          <w:spacing w:val="-2"/>
        </w:rPr>
        <w:t>eDRMS</w:t>
      </w:r>
      <w:proofErr w:type="spellEnd"/>
      <w:r w:rsidRPr="00DF3006">
        <w:rPr>
          <w:color w:val="414042" w:themeColor="text1"/>
          <w:spacing w:val="-2"/>
        </w:rPr>
        <w:t xml:space="preserve"> file structures available for divisional areas to utilise in their work. In consultation with the areas, we have created numerous new file structure standards that aid in usability and timely completion of all work.</w:t>
      </w:r>
    </w:p>
    <w:p w14:paraId="35F86765" w14:textId="21F61D0D" w:rsidR="00561686" w:rsidRPr="00DF3006" w:rsidRDefault="00561686" w:rsidP="00561686">
      <w:pPr>
        <w:rPr>
          <w:color w:val="414042" w:themeColor="text1"/>
          <w:spacing w:val="-2"/>
        </w:rPr>
      </w:pPr>
      <w:r w:rsidRPr="00DF3006">
        <w:rPr>
          <w:color w:val="414042" w:themeColor="text1"/>
          <w:spacing w:val="-2"/>
        </w:rPr>
        <w:t xml:space="preserve">We also completed a business case for a secure file sharing platform and commenced a market-based procurement exercise to obtain a suitable solution with the expectation of implementation in </w:t>
      </w:r>
      <w:r w:rsidR="002E61F7" w:rsidRPr="00DF3006">
        <w:rPr>
          <w:color w:val="414042" w:themeColor="text1"/>
          <w:spacing w:val="-2"/>
        </w:rPr>
        <w:t>2023</w:t>
      </w:r>
      <w:r w:rsidR="003D5FB8" w:rsidRPr="00DF3006">
        <w:rPr>
          <w:color w:val="414042" w:themeColor="text1"/>
          <w:spacing w:val="-2"/>
        </w:rPr>
        <w:t>–</w:t>
      </w:r>
      <w:r w:rsidR="002E61F7" w:rsidRPr="00DF3006">
        <w:rPr>
          <w:color w:val="414042" w:themeColor="text1"/>
          <w:spacing w:val="-2"/>
        </w:rPr>
        <w:t>24</w:t>
      </w:r>
      <w:r w:rsidRPr="00DF3006">
        <w:rPr>
          <w:color w:val="414042" w:themeColor="text1"/>
          <w:spacing w:val="-2"/>
        </w:rPr>
        <w:t>.  This solution will greatly assist in interagency information sharing in a secure electronic way. This will service the expanding need to exchange large and voluminous amounts of files in a timely and efficiency way. It will facilitate a significant reduction in the physical exchanges of information.</w:t>
      </w:r>
    </w:p>
    <w:p w14:paraId="15A35F84" w14:textId="77777777" w:rsidR="00561686" w:rsidRPr="00DF3006" w:rsidRDefault="00561686" w:rsidP="00561686">
      <w:pPr>
        <w:rPr>
          <w:color w:val="414042" w:themeColor="text1"/>
          <w:spacing w:val="-2"/>
        </w:rPr>
      </w:pPr>
      <w:bookmarkStart w:id="1851" w:name="_Toc102038089"/>
      <w:bookmarkStart w:id="1852" w:name="_Toc102038450"/>
      <w:bookmarkStart w:id="1853" w:name="_Toc102038811"/>
      <w:bookmarkStart w:id="1854" w:name="_Toc102039163"/>
      <w:bookmarkStart w:id="1855" w:name="_Toc102039512"/>
      <w:bookmarkStart w:id="1856" w:name="_Toc102039874"/>
      <w:bookmarkStart w:id="1857" w:name="_Toc102040231"/>
      <w:bookmarkStart w:id="1858" w:name="_Toc102040559"/>
      <w:bookmarkStart w:id="1859" w:name="_Toc102040893"/>
      <w:bookmarkStart w:id="1860" w:name="_Toc102041221"/>
      <w:bookmarkStart w:id="1861" w:name="_Toc102041550"/>
      <w:bookmarkStart w:id="1862" w:name="_Toc102041882"/>
      <w:bookmarkStart w:id="1863" w:name="_Toc102042209"/>
      <w:bookmarkStart w:id="1864" w:name="_Toc102042539"/>
      <w:bookmarkStart w:id="1865" w:name="_Toc102045669"/>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sidRPr="00DF3006">
        <w:rPr>
          <w:rFonts w:ascii="Calibri" w:hAnsi="Calibri" w:cs="Calibri"/>
          <w:b/>
          <w:bCs/>
          <w:color w:val="414042" w:themeColor="text1"/>
          <w:szCs w:val="20"/>
        </w:rPr>
        <w:t>Retention and disposal of records</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37940BEB" w14:textId="71919A84" w:rsidR="00561686" w:rsidRPr="00DF3006" w:rsidRDefault="00561686" w:rsidP="00561686">
      <w:pPr>
        <w:rPr>
          <w:color w:val="414042" w:themeColor="text1"/>
        </w:rPr>
      </w:pPr>
      <w:r w:rsidRPr="00DF3006">
        <w:rPr>
          <w:color w:val="414042" w:themeColor="text1"/>
        </w:rPr>
        <w:t xml:space="preserve">We retain our records in accordance with retention and disposal schedules approved by </w:t>
      </w:r>
      <w:r w:rsidR="007C7F53" w:rsidRPr="00DF3006">
        <w:rPr>
          <w:color w:val="414042" w:themeColor="text1"/>
        </w:rPr>
        <w:t xml:space="preserve">the </w:t>
      </w:r>
      <w:proofErr w:type="spellStart"/>
      <w:r w:rsidRPr="00DF3006">
        <w:rPr>
          <w:color w:val="414042" w:themeColor="text1"/>
        </w:rPr>
        <w:t>QSA</w:t>
      </w:r>
      <w:proofErr w:type="spellEnd"/>
      <w:r w:rsidRPr="00DF3006">
        <w:rPr>
          <w:color w:val="414042" w:themeColor="text1"/>
        </w:rPr>
        <w:t>.</w:t>
      </w:r>
    </w:p>
    <w:p w14:paraId="4599FC5B" w14:textId="296125D1" w:rsidR="00561686" w:rsidRPr="00DF3006" w:rsidRDefault="00561686" w:rsidP="00561686">
      <w:pPr>
        <w:rPr>
          <w:color w:val="414042" w:themeColor="text1"/>
        </w:rPr>
      </w:pPr>
      <w:r w:rsidRPr="00DF3006">
        <w:rPr>
          <w:color w:val="414042" w:themeColor="text1"/>
        </w:rPr>
        <w:t xml:space="preserve">In June 2018, </w:t>
      </w:r>
      <w:r w:rsidR="007C7F53" w:rsidRPr="00DF3006">
        <w:rPr>
          <w:color w:val="414042" w:themeColor="text1"/>
        </w:rPr>
        <w:t xml:space="preserve">the </w:t>
      </w:r>
      <w:proofErr w:type="spellStart"/>
      <w:r w:rsidRPr="00DF3006">
        <w:rPr>
          <w:color w:val="414042" w:themeColor="text1"/>
        </w:rPr>
        <w:t>QSA</w:t>
      </w:r>
      <w:proofErr w:type="spellEnd"/>
      <w:r w:rsidRPr="00DF3006">
        <w:rPr>
          <w:color w:val="414042" w:themeColor="text1"/>
        </w:rPr>
        <w:t xml:space="preserve"> issued a disposal freeze for all records which are relevant to, or may become relevant to, an allegation of child sexual abuse which was subsequently broadened to cover all vulnerable persons and all forms of abuse. This freeze was lifted in March 2020 with the release of a revised General Retention and Disposal Schedule and Guideline for creating and keeping records for the proactive protection of vulnerable persons. We worked with </w:t>
      </w:r>
      <w:r w:rsidR="007C7F53" w:rsidRPr="00DF3006">
        <w:rPr>
          <w:color w:val="414042" w:themeColor="text1"/>
        </w:rPr>
        <w:t xml:space="preserve">the </w:t>
      </w:r>
      <w:proofErr w:type="spellStart"/>
      <w:r w:rsidRPr="00DF3006">
        <w:rPr>
          <w:color w:val="414042" w:themeColor="text1"/>
        </w:rPr>
        <w:t>QSA</w:t>
      </w:r>
      <w:proofErr w:type="spellEnd"/>
      <w:r w:rsidRPr="00DF3006">
        <w:rPr>
          <w:color w:val="414042" w:themeColor="text1"/>
        </w:rPr>
        <w:t xml:space="preserve"> to create the </w:t>
      </w:r>
      <w:r w:rsidR="007C7F53" w:rsidRPr="00DF3006">
        <w:rPr>
          <w:color w:val="414042" w:themeColor="text1"/>
        </w:rPr>
        <w:t xml:space="preserve">CCC </w:t>
      </w:r>
      <w:r w:rsidRPr="00DF3006">
        <w:rPr>
          <w:i/>
          <w:iCs/>
          <w:color w:val="414042" w:themeColor="text1"/>
        </w:rPr>
        <w:t>Retention of Records Relating to Vulnerable Persons Policy and Procedure</w:t>
      </w:r>
      <w:r w:rsidRPr="00DF3006">
        <w:rPr>
          <w:color w:val="414042" w:themeColor="text1"/>
        </w:rPr>
        <w:t>. The CCC developed new work instructions and implemented training to support the implementation of the new policy</w:t>
      </w:r>
      <w:r w:rsidR="007C7F53" w:rsidRPr="00DF3006">
        <w:rPr>
          <w:color w:val="414042" w:themeColor="text1"/>
        </w:rPr>
        <w:t xml:space="preserve"> and procedure</w:t>
      </w:r>
      <w:r w:rsidRPr="00DF3006">
        <w:rPr>
          <w:color w:val="414042" w:themeColor="text1"/>
        </w:rPr>
        <w:t>.</w:t>
      </w:r>
    </w:p>
    <w:p w14:paraId="3F72FB90" w14:textId="6B736277" w:rsidR="00561686" w:rsidRPr="00DF3006" w:rsidRDefault="00561686" w:rsidP="00561686">
      <w:pPr>
        <w:rPr>
          <w:color w:val="414042" w:themeColor="text1"/>
        </w:rPr>
      </w:pPr>
      <w:r w:rsidRPr="00DF3006">
        <w:rPr>
          <w:color w:val="414042" w:themeColor="text1"/>
        </w:rPr>
        <w:t>In line with our digital information management practices, we decommission</w:t>
      </w:r>
      <w:r w:rsidR="00B24744" w:rsidRPr="00DF3006">
        <w:rPr>
          <w:color w:val="414042" w:themeColor="text1"/>
        </w:rPr>
        <w:t>ed</w:t>
      </w:r>
      <w:r w:rsidRPr="00DF3006">
        <w:rPr>
          <w:color w:val="414042" w:themeColor="text1"/>
        </w:rPr>
        <w:t xml:space="preserve"> our physical library holdings</w:t>
      </w:r>
      <w:r w:rsidR="002E61F7" w:rsidRPr="00DF3006">
        <w:rPr>
          <w:color w:val="414042" w:themeColor="text1"/>
        </w:rPr>
        <w:t xml:space="preserve"> in 2022</w:t>
      </w:r>
      <w:r w:rsidR="0013317A" w:rsidRPr="00DF3006">
        <w:rPr>
          <w:color w:val="414042" w:themeColor="text1"/>
        </w:rPr>
        <w:t>–</w:t>
      </w:r>
      <w:r w:rsidR="002E61F7" w:rsidRPr="00DF3006">
        <w:rPr>
          <w:color w:val="414042" w:themeColor="text1"/>
        </w:rPr>
        <w:t>23</w:t>
      </w:r>
      <w:r w:rsidRPr="00DF3006">
        <w:rPr>
          <w:color w:val="414042" w:themeColor="text1"/>
        </w:rPr>
        <w:t>.</w:t>
      </w:r>
    </w:p>
    <w:p w14:paraId="3929883F" w14:textId="77777777" w:rsidR="00561686" w:rsidRPr="00DF3006" w:rsidRDefault="00561686" w:rsidP="00561686">
      <w:pPr>
        <w:rPr>
          <w:color w:val="414042" w:themeColor="text1"/>
        </w:rPr>
      </w:pPr>
      <w:r w:rsidRPr="00DF3006">
        <w:rPr>
          <w:color w:val="414042" w:themeColor="text1"/>
        </w:rPr>
        <w:br w:type="column"/>
      </w:r>
      <w:r w:rsidRPr="00DF3006">
        <w:rPr>
          <w:rFonts w:ascii="Calibri" w:hAnsi="Calibri" w:cs="Calibri"/>
          <w:b/>
          <w:bCs/>
          <w:color w:val="414042" w:themeColor="text1"/>
          <w:szCs w:val="20"/>
        </w:rPr>
        <w:t>Aligning our services</w:t>
      </w:r>
    </w:p>
    <w:p w14:paraId="095CB6ED" w14:textId="0B5628B2" w:rsidR="00561686" w:rsidRPr="00DF3006" w:rsidRDefault="00561686" w:rsidP="00561686">
      <w:pPr>
        <w:rPr>
          <w:color w:val="414042" w:themeColor="text1"/>
        </w:rPr>
      </w:pPr>
      <w:proofErr w:type="gramStart"/>
      <w:r w:rsidRPr="00DF3006">
        <w:rPr>
          <w:color w:val="414042" w:themeColor="text1"/>
        </w:rPr>
        <w:t>In order to</w:t>
      </w:r>
      <w:proofErr w:type="gramEnd"/>
      <w:r w:rsidRPr="00DF3006">
        <w:rPr>
          <w:color w:val="414042" w:themeColor="text1"/>
        </w:rPr>
        <w:t xml:space="preserve"> improve our maturity and ensure continued alignment with changing and growing business expectations, we have embarked on the formation of a new operating model for the Information Services </w:t>
      </w:r>
      <w:r w:rsidR="007C7F53" w:rsidRPr="00DF3006">
        <w:rPr>
          <w:color w:val="414042" w:themeColor="text1"/>
        </w:rPr>
        <w:t>division</w:t>
      </w:r>
      <w:r w:rsidRPr="00DF3006">
        <w:rPr>
          <w:color w:val="414042" w:themeColor="text1"/>
        </w:rPr>
        <w:t>, which seeks to expand the records management function with the broader aim of encompassing management of a larger component of the organisation’s information holdings.</w:t>
      </w:r>
    </w:p>
    <w:p w14:paraId="44E25400" w14:textId="77777777" w:rsidR="00561686" w:rsidRPr="00DF3006" w:rsidRDefault="00561686" w:rsidP="00463FBB">
      <w:pPr>
        <w:pStyle w:val="Heading4"/>
      </w:pPr>
      <w:bookmarkStart w:id="1866" w:name="_Toc102038090"/>
      <w:bookmarkStart w:id="1867" w:name="_Toc102038451"/>
      <w:bookmarkStart w:id="1868" w:name="_Toc102038812"/>
      <w:bookmarkStart w:id="1869" w:name="_Toc102039164"/>
      <w:bookmarkStart w:id="1870" w:name="_Toc102039513"/>
      <w:bookmarkStart w:id="1871" w:name="_Toc102039875"/>
      <w:bookmarkStart w:id="1872" w:name="_Toc102040232"/>
      <w:bookmarkStart w:id="1873" w:name="_Toc102040560"/>
      <w:bookmarkStart w:id="1874" w:name="_Toc102040894"/>
      <w:bookmarkStart w:id="1875" w:name="_Toc102041222"/>
      <w:bookmarkStart w:id="1876" w:name="_Toc102041551"/>
      <w:bookmarkStart w:id="1877" w:name="_Toc102041883"/>
      <w:bookmarkStart w:id="1878" w:name="_Toc102042210"/>
      <w:bookmarkStart w:id="1879" w:name="_Toc102042540"/>
      <w:bookmarkStart w:id="1880" w:name="_Toc102045670"/>
      <w:r w:rsidRPr="00DF3006">
        <w:t>Open Data</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39BD5CCA" w14:textId="77777777" w:rsidR="00561686" w:rsidRPr="00DF3006" w:rsidRDefault="00561686" w:rsidP="00561686">
      <w:pPr>
        <w:rPr>
          <w:color w:val="414042" w:themeColor="text1"/>
        </w:rPr>
      </w:pPr>
      <w:r w:rsidRPr="00DF3006">
        <w:rPr>
          <w:color w:val="414042" w:themeColor="text1"/>
        </w:rPr>
        <w:t>The following data sets are published on the Open Data website at</w:t>
      </w:r>
      <w:r w:rsidRPr="00DF3006">
        <w:rPr>
          <w:rStyle w:val="Hyperlink"/>
          <w:color w:val="414042" w:themeColor="text1"/>
          <w:u w:color="BCBEC0" w:themeColor="accent5"/>
        </w:rPr>
        <w:t xml:space="preserve"> </w:t>
      </w:r>
      <w:hyperlink r:id="rId277" w:history="1">
        <w:r w:rsidRPr="00DF3006">
          <w:rPr>
            <w:rStyle w:val="Hyperlink"/>
            <w:color w:val="414042" w:themeColor="text1"/>
            <w:u w:color="BCBEC0" w:themeColor="accent5"/>
          </w:rPr>
          <w:t>www.data.qld.gov.au</w:t>
        </w:r>
      </w:hyperlink>
      <w:r w:rsidRPr="00DF3006">
        <w:rPr>
          <w:rStyle w:val="Hyperlink"/>
          <w:color w:val="414042" w:themeColor="text1"/>
          <w:u w:color="BCBEC0" w:themeColor="accent5"/>
        </w:rPr>
        <w:t>:</w:t>
      </w:r>
    </w:p>
    <w:p w14:paraId="309D9497" w14:textId="77777777" w:rsidR="00561686" w:rsidRPr="00DF3006" w:rsidRDefault="00561686">
      <w:pPr>
        <w:pStyle w:val="Bullets"/>
        <w:rPr>
          <w:color w:val="414042" w:themeColor="text1"/>
        </w:rPr>
      </w:pPr>
      <w:r w:rsidRPr="00DF3006">
        <w:rPr>
          <w:color w:val="414042" w:themeColor="text1"/>
        </w:rPr>
        <w:t>Consultancies</w:t>
      </w:r>
    </w:p>
    <w:p w14:paraId="285A2B37" w14:textId="77777777" w:rsidR="00561686" w:rsidRPr="00DF3006" w:rsidRDefault="00561686">
      <w:pPr>
        <w:pStyle w:val="Bullets"/>
        <w:rPr>
          <w:color w:val="414042" w:themeColor="text1"/>
        </w:rPr>
      </w:pPr>
      <w:r w:rsidRPr="00DF3006">
        <w:rPr>
          <w:color w:val="414042" w:themeColor="text1"/>
        </w:rPr>
        <w:t>Overseas travel</w:t>
      </w:r>
    </w:p>
    <w:p w14:paraId="2638A5F6" w14:textId="77777777" w:rsidR="00561686" w:rsidRPr="00DF3006" w:rsidRDefault="00561686">
      <w:pPr>
        <w:pStyle w:val="Bullets"/>
        <w:rPr>
          <w:color w:val="414042" w:themeColor="text1"/>
        </w:rPr>
      </w:pPr>
      <w:r w:rsidRPr="00DF3006">
        <w:rPr>
          <w:color w:val="414042" w:themeColor="text1"/>
        </w:rPr>
        <w:t>Language services.</w:t>
      </w:r>
    </w:p>
    <w:p w14:paraId="6643A50F" w14:textId="77777777" w:rsidR="00561686" w:rsidRPr="00DF3006" w:rsidRDefault="00561686" w:rsidP="00561686">
      <w:pPr>
        <w:rPr>
          <w:color w:val="414042" w:themeColor="text1"/>
        </w:rPr>
      </w:pPr>
      <w:r w:rsidRPr="00DF3006">
        <w:rPr>
          <w:color w:val="414042" w:themeColor="text1"/>
        </w:rPr>
        <w:t>We have also published information on our website regarding the remuneration of members of government bodies relevant to our agency.</w:t>
      </w:r>
    </w:p>
    <w:p w14:paraId="4C20105B" w14:textId="77777777" w:rsidR="00561686" w:rsidRPr="00DF3006" w:rsidRDefault="00561686" w:rsidP="00561686">
      <w:pPr>
        <w:rPr>
          <w:color w:val="414042" w:themeColor="text1"/>
        </w:rPr>
      </w:pPr>
    </w:p>
    <w:p w14:paraId="05206015" w14:textId="77777777" w:rsidR="00561686" w:rsidRPr="00DF3006" w:rsidRDefault="00561686" w:rsidP="00474C48">
      <w:pPr>
        <w:rPr>
          <w:color w:val="414042" w:themeColor="text1"/>
        </w:rPr>
        <w:sectPr w:rsidR="00561686" w:rsidRPr="00DF3006" w:rsidSect="00C77834">
          <w:pgSz w:w="11906" w:h="16838" w:code="9"/>
          <w:pgMar w:top="2155" w:right="1134" w:bottom="964" w:left="1134" w:header="720" w:footer="284" w:gutter="0"/>
          <w:cols w:num="2" w:space="567"/>
          <w:noEndnote/>
          <w:docGrid w:linePitch="272"/>
        </w:sectPr>
      </w:pPr>
    </w:p>
    <w:p w14:paraId="0613B039" w14:textId="1DEACAD0" w:rsidR="00561686" w:rsidRPr="00DF3006" w:rsidRDefault="002A4273" w:rsidP="00561686">
      <w:pPr>
        <w:pStyle w:val="Heading1"/>
        <w:sectPr w:rsidR="00561686" w:rsidRPr="00DF3006" w:rsidSect="00C77834">
          <w:headerReference w:type="even" r:id="rId278"/>
          <w:headerReference w:type="default" r:id="rId279"/>
          <w:headerReference w:type="first" r:id="rId280"/>
          <w:pgSz w:w="11906" w:h="16838" w:code="9"/>
          <w:pgMar w:top="2155" w:right="1134" w:bottom="964" w:left="1134" w:header="720" w:footer="284" w:gutter="0"/>
          <w:cols w:space="567"/>
          <w:noEndnote/>
          <w:docGrid w:linePitch="272"/>
        </w:sectPr>
      </w:pPr>
      <w:bookmarkStart w:id="1881" w:name="financialinformation"/>
      <w:bookmarkStart w:id="1882" w:name="_Setting_our_strategic"/>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881"/>
      <w:bookmarkEnd w:id="1882"/>
      <w:r w:rsidRPr="00DF3006">
        <w:lastRenderedPageBreak/>
        <w:t xml:space="preserve">Setting </w:t>
      </w:r>
      <w:r w:rsidR="007758F0" w:rsidRPr="00DF3006">
        <w:t>our</w:t>
      </w:r>
      <w:r w:rsidR="00561686" w:rsidRPr="00DF3006">
        <w:t xml:space="preserve"> strategic direction</w:t>
      </w:r>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DF3006" w:rsidRPr="00DF3006" w14:paraId="72D46920" w14:textId="77777777" w:rsidTr="00D925EA">
        <w:trPr>
          <w:trHeight w:val="737"/>
        </w:trPr>
        <w:tc>
          <w:tcPr>
            <w:tcW w:w="4193" w:type="pct"/>
            <w:tcBorders>
              <w:bottom w:val="single" w:sz="12" w:space="0" w:color="FFFFFF" w:themeColor="background1"/>
            </w:tcBorders>
            <w:shd w:val="clear" w:color="auto" w:fill="auto"/>
            <w:vAlign w:val="center"/>
          </w:tcPr>
          <w:p w14:paraId="3C5C3D05" w14:textId="37E89A1C" w:rsidR="00D925EA" w:rsidRPr="00F021C6" w:rsidRDefault="00086D38" w:rsidP="00D925EA">
            <w:pPr>
              <w:spacing w:before="120" w:after="120"/>
              <w:rPr>
                <w:bCs/>
                <w:color w:val="414042" w:themeColor="text1"/>
              </w:rPr>
            </w:pPr>
            <w:hyperlink w:anchor="_Our_transformation_journey" w:history="1">
              <w:r w:rsidR="00D925EA" w:rsidRPr="00F021C6">
                <w:rPr>
                  <w:rStyle w:val="Hyperlink"/>
                  <w:bCs/>
                  <w:color w:val="414042" w:themeColor="text1"/>
                  <w:u w:val="none"/>
                </w:rPr>
                <w:t>Our transformation journey</w:t>
              </w:r>
            </w:hyperlink>
            <w:r w:rsidR="00D925EA" w:rsidRPr="00F021C6">
              <w:rPr>
                <w:bCs/>
                <w:color w:val="414042" w:themeColor="text1"/>
              </w:rPr>
              <w:t xml:space="preserve"> </w:t>
            </w:r>
          </w:p>
        </w:tc>
        <w:tc>
          <w:tcPr>
            <w:tcW w:w="807" w:type="pct"/>
            <w:tcBorders>
              <w:bottom w:val="single" w:sz="12" w:space="0" w:color="FFFFFF" w:themeColor="background1"/>
            </w:tcBorders>
            <w:shd w:val="clear" w:color="auto" w:fill="auto"/>
            <w:vAlign w:val="center"/>
          </w:tcPr>
          <w:p w14:paraId="399DB924" w14:textId="0F781F7C" w:rsidR="00D925EA" w:rsidRPr="00DF3006" w:rsidRDefault="004779C7" w:rsidP="00D925EA">
            <w:pPr>
              <w:spacing w:before="120" w:after="120"/>
              <w:jc w:val="center"/>
              <w:rPr>
                <w:color w:val="414042" w:themeColor="text1"/>
              </w:rPr>
            </w:pPr>
            <w:r w:rsidRPr="00DF3006">
              <w:rPr>
                <w:color w:val="414042" w:themeColor="text1"/>
              </w:rPr>
              <w:t>75</w:t>
            </w:r>
          </w:p>
        </w:tc>
      </w:tr>
      <w:tr w:rsidR="00DF3006" w:rsidRPr="00DF3006" w14:paraId="42ACB9BC" w14:textId="77777777" w:rsidTr="00D925EA">
        <w:trPr>
          <w:trHeight w:val="737"/>
        </w:trPr>
        <w:tc>
          <w:tcPr>
            <w:tcW w:w="4193" w:type="pct"/>
            <w:tcBorders>
              <w:bottom w:val="single" w:sz="12" w:space="0" w:color="FFFFFF" w:themeColor="background1"/>
            </w:tcBorders>
            <w:shd w:val="clear" w:color="auto" w:fill="auto"/>
            <w:vAlign w:val="center"/>
          </w:tcPr>
          <w:p w14:paraId="59D1E2AA" w14:textId="06AF95A3" w:rsidR="00D925EA" w:rsidRPr="00F021C6" w:rsidRDefault="00086D38" w:rsidP="00D925EA">
            <w:pPr>
              <w:spacing w:before="120" w:after="120"/>
              <w:rPr>
                <w:bCs/>
                <w:color w:val="414042" w:themeColor="text1"/>
              </w:rPr>
            </w:pPr>
            <w:hyperlink w:anchor="_Our_Strategic_Plan" w:history="1">
              <w:r w:rsidR="00D925EA" w:rsidRPr="00F021C6">
                <w:rPr>
                  <w:rStyle w:val="Hyperlink"/>
                  <w:bCs/>
                  <w:color w:val="414042" w:themeColor="text1"/>
                  <w:u w:val="none"/>
                </w:rPr>
                <w:t>Our</w:t>
              </w:r>
              <w:r w:rsidR="002B0185" w:rsidRPr="00F021C6">
                <w:rPr>
                  <w:rStyle w:val="Hyperlink"/>
                  <w:bCs/>
                  <w:color w:val="414042" w:themeColor="text1"/>
                  <w:u w:val="none"/>
                </w:rPr>
                <w:t xml:space="preserve"> </w:t>
              </w:r>
              <w:r w:rsidR="00D925EA" w:rsidRPr="00F021C6">
                <w:rPr>
                  <w:rStyle w:val="Hyperlink"/>
                  <w:bCs/>
                  <w:color w:val="414042" w:themeColor="text1"/>
                  <w:u w:val="none"/>
                </w:rPr>
                <w:t>Strategic Plan 2023–27</w:t>
              </w:r>
            </w:hyperlink>
          </w:p>
        </w:tc>
        <w:tc>
          <w:tcPr>
            <w:tcW w:w="807" w:type="pct"/>
            <w:tcBorders>
              <w:bottom w:val="single" w:sz="12" w:space="0" w:color="FFFFFF" w:themeColor="background1"/>
            </w:tcBorders>
            <w:shd w:val="clear" w:color="auto" w:fill="auto"/>
            <w:vAlign w:val="center"/>
          </w:tcPr>
          <w:p w14:paraId="63F17F47" w14:textId="4104F13A" w:rsidR="00D925EA" w:rsidRPr="00DF3006" w:rsidRDefault="004779C7" w:rsidP="00D925EA">
            <w:pPr>
              <w:spacing w:before="120" w:after="120"/>
              <w:jc w:val="center"/>
              <w:rPr>
                <w:color w:val="414042" w:themeColor="text1"/>
              </w:rPr>
            </w:pPr>
            <w:r w:rsidRPr="00DF3006">
              <w:rPr>
                <w:color w:val="414042" w:themeColor="text1"/>
              </w:rPr>
              <w:t>76</w:t>
            </w:r>
          </w:p>
        </w:tc>
      </w:tr>
      <w:tr w:rsidR="00DF3006" w:rsidRPr="00DF3006" w14:paraId="04C24DB5" w14:textId="77777777" w:rsidTr="00D925EA">
        <w:trPr>
          <w:trHeight w:val="737"/>
        </w:trPr>
        <w:tc>
          <w:tcPr>
            <w:tcW w:w="4193" w:type="pct"/>
            <w:tcBorders>
              <w:bottom w:val="single" w:sz="12" w:space="0" w:color="FFFFFF" w:themeColor="background1"/>
            </w:tcBorders>
            <w:shd w:val="clear" w:color="auto" w:fill="auto"/>
            <w:vAlign w:val="center"/>
          </w:tcPr>
          <w:p w14:paraId="0147D000" w14:textId="5A40A7B0" w:rsidR="007758F0" w:rsidRPr="00F021C6" w:rsidRDefault="00086D38" w:rsidP="00D925EA">
            <w:pPr>
              <w:spacing w:before="120" w:after="120"/>
              <w:rPr>
                <w:bCs/>
                <w:color w:val="414042" w:themeColor="text1"/>
              </w:rPr>
            </w:pPr>
            <w:hyperlink w:anchor="_Our_Crime_Position" w:history="1">
              <w:r w:rsidR="007758F0" w:rsidRPr="00F021C6">
                <w:rPr>
                  <w:rStyle w:val="Hyperlink"/>
                  <w:bCs/>
                  <w:color w:val="414042" w:themeColor="text1"/>
                  <w:u w:val="none"/>
                </w:rPr>
                <w:t>Our Crime Position Statement 2023–24</w:t>
              </w:r>
            </w:hyperlink>
          </w:p>
        </w:tc>
        <w:tc>
          <w:tcPr>
            <w:tcW w:w="807" w:type="pct"/>
            <w:tcBorders>
              <w:bottom w:val="single" w:sz="12" w:space="0" w:color="FFFFFF" w:themeColor="background1"/>
            </w:tcBorders>
            <w:shd w:val="clear" w:color="auto" w:fill="auto"/>
            <w:vAlign w:val="center"/>
          </w:tcPr>
          <w:p w14:paraId="3B0332D8" w14:textId="7B708B63" w:rsidR="007758F0" w:rsidRPr="00DF3006" w:rsidRDefault="004779C7" w:rsidP="00D925EA">
            <w:pPr>
              <w:spacing w:before="120" w:after="120"/>
              <w:jc w:val="center"/>
              <w:rPr>
                <w:color w:val="414042" w:themeColor="text1"/>
              </w:rPr>
            </w:pPr>
            <w:r w:rsidRPr="00DF3006">
              <w:rPr>
                <w:color w:val="414042" w:themeColor="text1"/>
              </w:rPr>
              <w:t>78</w:t>
            </w:r>
          </w:p>
        </w:tc>
      </w:tr>
      <w:tr w:rsidR="00DF3006" w:rsidRPr="00DF3006" w14:paraId="4F6DE2B1" w14:textId="77777777" w:rsidTr="00D925EA">
        <w:trPr>
          <w:trHeight w:val="737"/>
        </w:trPr>
        <w:tc>
          <w:tcPr>
            <w:tcW w:w="4193" w:type="pct"/>
            <w:tcBorders>
              <w:bottom w:val="single" w:sz="12" w:space="0" w:color="FFFFFF" w:themeColor="background1"/>
            </w:tcBorders>
            <w:shd w:val="clear" w:color="auto" w:fill="auto"/>
            <w:vAlign w:val="center"/>
          </w:tcPr>
          <w:p w14:paraId="775E2D32" w14:textId="752C73AB" w:rsidR="00D925EA" w:rsidRPr="00F021C6" w:rsidRDefault="00086D38" w:rsidP="00D925EA">
            <w:pPr>
              <w:spacing w:before="120" w:after="120"/>
              <w:rPr>
                <w:bCs/>
                <w:color w:val="414042" w:themeColor="text1"/>
              </w:rPr>
            </w:pPr>
            <w:hyperlink w:anchor="_Our_new_Corruption" w:history="1">
              <w:r w:rsidR="00D925EA" w:rsidRPr="00F021C6">
                <w:rPr>
                  <w:rStyle w:val="Hyperlink"/>
                  <w:bCs/>
                  <w:color w:val="414042" w:themeColor="text1"/>
                  <w:u w:val="none"/>
                </w:rPr>
                <w:t>Our new Corruption Strategy 2023–27</w:t>
              </w:r>
            </w:hyperlink>
          </w:p>
        </w:tc>
        <w:tc>
          <w:tcPr>
            <w:tcW w:w="807" w:type="pct"/>
            <w:tcBorders>
              <w:bottom w:val="single" w:sz="12" w:space="0" w:color="FFFFFF" w:themeColor="background1"/>
            </w:tcBorders>
            <w:shd w:val="clear" w:color="auto" w:fill="auto"/>
            <w:vAlign w:val="center"/>
          </w:tcPr>
          <w:p w14:paraId="72F8D770" w14:textId="41C8DD34" w:rsidR="00D925EA" w:rsidRPr="00DF3006" w:rsidRDefault="004779C7" w:rsidP="00D925EA">
            <w:pPr>
              <w:spacing w:before="120" w:after="120"/>
              <w:jc w:val="center"/>
              <w:rPr>
                <w:color w:val="414042" w:themeColor="text1"/>
              </w:rPr>
            </w:pPr>
            <w:r w:rsidRPr="00DF3006">
              <w:rPr>
                <w:color w:val="414042" w:themeColor="text1"/>
              </w:rPr>
              <w:t>79</w:t>
            </w:r>
          </w:p>
        </w:tc>
      </w:tr>
      <w:tr w:rsidR="00DF3006" w:rsidRPr="00DF3006" w14:paraId="7BCA35B2" w14:textId="77777777" w:rsidTr="00D925EA">
        <w:trPr>
          <w:trHeight w:val="737"/>
        </w:trPr>
        <w:tc>
          <w:tcPr>
            <w:tcW w:w="4193" w:type="pct"/>
            <w:tcBorders>
              <w:bottom w:val="single" w:sz="12" w:space="0" w:color="FFFFFF" w:themeColor="background1"/>
            </w:tcBorders>
            <w:shd w:val="clear" w:color="auto" w:fill="auto"/>
            <w:vAlign w:val="center"/>
          </w:tcPr>
          <w:p w14:paraId="459E75A5" w14:textId="753C4C3F" w:rsidR="00D925EA" w:rsidRPr="00F021C6" w:rsidRDefault="00086D38" w:rsidP="00D925EA">
            <w:pPr>
              <w:spacing w:before="120" w:after="120"/>
              <w:rPr>
                <w:bCs/>
                <w:color w:val="414042" w:themeColor="text1"/>
              </w:rPr>
            </w:pPr>
            <w:hyperlink w:anchor="_Our_revised_enabling" w:history="1">
              <w:r w:rsidR="00D925EA" w:rsidRPr="00F021C6">
                <w:rPr>
                  <w:rStyle w:val="Hyperlink"/>
                  <w:bCs/>
                  <w:color w:val="414042" w:themeColor="text1"/>
                  <w:u w:val="none"/>
                </w:rPr>
                <w:t>Our revised enabling strategies</w:t>
              </w:r>
            </w:hyperlink>
          </w:p>
        </w:tc>
        <w:tc>
          <w:tcPr>
            <w:tcW w:w="807" w:type="pct"/>
            <w:tcBorders>
              <w:bottom w:val="single" w:sz="12" w:space="0" w:color="FFFFFF" w:themeColor="background1"/>
            </w:tcBorders>
            <w:shd w:val="clear" w:color="auto" w:fill="auto"/>
            <w:vAlign w:val="center"/>
          </w:tcPr>
          <w:p w14:paraId="6B141082" w14:textId="2ED6B153" w:rsidR="00D925EA" w:rsidRPr="00DF3006" w:rsidRDefault="004779C7" w:rsidP="00D925EA">
            <w:pPr>
              <w:spacing w:before="120" w:after="120"/>
              <w:jc w:val="center"/>
              <w:rPr>
                <w:color w:val="414042" w:themeColor="text1"/>
              </w:rPr>
            </w:pPr>
            <w:r w:rsidRPr="00DF3006">
              <w:rPr>
                <w:color w:val="414042" w:themeColor="text1"/>
              </w:rPr>
              <w:t>80</w:t>
            </w:r>
          </w:p>
        </w:tc>
      </w:tr>
    </w:tbl>
    <w:p w14:paraId="76DC57D2" w14:textId="77777777" w:rsidR="00D925EA" w:rsidRPr="00DF3006" w:rsidRDefault="00D925EA" w:rsidP="00E6066A">
      <w:pPr>
        <w:pStyle w:val="Heading3"/>
        <w:sectPr w:rsidR="00D925EA" w:rsidRPr="00DF3006" w:rsidSect="00C77834">
          <w:headerReference w:type="even" r:id="rId281"/>
          <w:headerReference w:type="default" r:id="rId282"/>
          <w:headerReference w:type="first" r:id="rId283"/>
          <w:type w:val="continuous"/>
          <w:pgSz w:w="11906" w:h="16838" w:code="9"/>
          <w:pgMar w:top="2155" w:right="1134" w:bottom="964" w:left="1134" w:header="720" w:footer="284" w:gutter="0"/>
          <w:cols w:space="567"/>
          <w:noEndnote/>
          <w:docGrid w:linePitch="272"/>
        </w:sectPr>
      </w:pPr>
    </w:p>
    <w:p w14:paraId="3FE1EE8B" w14:textId="77777777" w:rsidR="00561686" w:rsidRPr="00DF3006" w:rsidRDefault="00561686" w:rsidP="00561686">
      <w:pPr>
        <w:pStyle w:val="Heading2"/>
        <w:sectPr w:rsidR="00561686" w:rsidRPr="00DF3006" w:rsidSect="00C77834">
          <w:headerReference w:type="even" r:id="rId284"/>
          <w:headerReference w:type="default" r:id="rId285"/>
          <w:headerReference w:type="first" r:id="rId286"/>
          <w:pgSz w:w="11906" w:h="16838" w:code="9"/>
          <w:pgMar w:top="2155" w:right="1134" w:bottom="964" w:left="1134" w:header="720" w:footer="284" w:gutter="0"/>
          <w:cols w:space="567"/>
          <w:noEndnote/>
          <w:docGrid w:linePitch="272"/>
        </w:sectPr>
      </w:pPr>
      <w:bookmarkStart w:id="1883" w:name="govandpeople"/>
      <w:bookmarkStart w:id="1884" w:name="_Our_transformation_journey"/>
      <w:bookmarkEnd w:id="1883"/>
      <w:bookmarkEnd w:id="1884"/>
      <w:r w:rsidRPr="00DF3006">
        <w:lastRenderedPageBreak/>
        <w:t>Our transformation journey</w:t>
      </w:r>
    </w:p>
    <w:p w14:paraId="3B40C53F" w14:textId="3F8B61F9" w:rsidR="0025004A" w:rsidRPr="00DF3006" w:rsidRDefault="005E0200" w:rsidP="007E56FB">
      <w:pPr>
        <w:pStyle w:val="Openingparagraph"/>
      </w:pPr>
      <w:r w:rsidRPr="00DF3006">
        <w:t xml:space="preserve">This year, we conducted a </w:t>
      </w:r>
      <w:r w:rsidR="007E56FB" w:rsidRPr="00DF3006">
        <w:t xml:space="preserve">complete refresh </w:t>
      </w:r>
      <w:r w:rsidRPr="00DF3006">
        <w:t>of our strategic direction</w:t>
      </w:r>
      <w:r w:rsidR="007E56FB" w:rsidRPr="00DF3006">
        <w:t xml:space="preserve"> </w:t>
      </w:r>
      <w:r w:rsidR="00B629FD" w:rsidRPr="00DF3006">
        <w:t>to ensure we remain responsive to emerging issues and challenges</w:t>
      </w:r>
      <w:r w:rsidRPr="00DF3006">
        <w:t xml:space="preserve">. </w:t>
      </w:r>
      <w:r w:rsidR="00D85887" w:rsidRPr="00DF3006">
        <w:t xml:space="preserve">This strategic review enabled us to build on the strong foundations created through </w:t>
      </w:r>
      <w:r w:rsidR="004D0706" w:rsidRPr="00DF3006">
        <w:t xml:space="preserve">our over 30 years of history, our </w:t>
      </w:r>
      <w:r w:rsidR="004C13EB" w:rsidRPr="00DF3006">
        <w:t>transformation journey</w:t>
      </w:r>
      <w:r w:rsidR="004D0706" w:rsidRPr="00DF3006">
        <w:t xml:space="preserve"> to date</w:t>
      </w:r>
      <w:r w:rsidR="00D85887" w:rsidRPr="00DF3006">
        <w:t xml:space="preserve">, while </w:t>
      </w:r>
      <w:r w:rsidR="004D0706" w:rsidRPr="00DF3006">
        <w:t xml:space="preserve">also </w:t>
      </w:r>
      <w:r w:rsidR="00D85887" w:rsidRPr="00DF3006">
        <w:t xml:space="preserve">responding to the potential impact of megatrends, </w:t>
      </w:r>
      <w:r w:rsidR="004D0706" w:rsidRPr="00DF3006">
        <w:t xml:space="preserve">and </w:t>
      </w:r>
      <w:r w:rsidR="00D85887" w:rsidRPr="00DF3006">
        <w:t xml:space="preserve">the many </w:t>
      </w:r>
      <w:r w:rsidR="004C13EB" w:rsidRPr="00DF3006">
        <w:t xml:space="preserve">external inquiries and </w:t>
      </w:r>
      <w:r w:rsidR="00D85887" w:rsidRPr="00DF3006">
        <w:t xml:space="preserve">reviews that impact us, and our </w:t>
      </w:r>
      <w:r w:rsidR="004D0706" w:rsidRPr="00DF3006">
        <w:t xml:space="preserve">objective </w:t>
      </w:r>
      <w:r w:rsidR="00D85887" w:rsidRPr="00DF3006">
        <w:t>to keep improving how we deliver our services for Queenslanders.</w:t>
      </w:r>
    </w:p>
    <w:p w14:paraId="0C9BF419" w14:textId="77777777" w:rsidR="00561686" w:rsidRPr="00DF3006" w:rsidRDefault="00561686" w:rsidP="00561686">
      <w:pPr>
        <w:rPr>
          <w:color w:val="414042" w:themeColor="text1"/>
        </w:rPr>
      </w:pPr>
    </w:p>
    <w:p w14:paraId="55F00AB8" w14:textId="77777777" w:rsidR="00561686" w:rsidRPr="00DF3006" w:rsidRDefault="00561686" w:rsidP="00561686">
      <w:pPr>
        <w:rPr>
          <w:color w:val="414042" w:themeColor="text1"/>
        </w:rPr>
        <w:sectPr w:rsidR="00561686" w:rsidRPr="00DF3006" w:rsidSect="00C77834">
          <w:headerReference w:type="even" r:id="rId287"/>
          <w:headerReference w:type="default" r:id="rId288"/>
          <w:headerReference w:type="first" r:id="rId289"/>
          <w:type w:val="continuous"/>
          <w:pgSz w:w="11906" w:h="16838" w:code="9"/>
          <w:pgMar w:top="2155" w:right="1134" w:bottom="964" w:left="1134" w:header="720" w:footer="284" w:gutter="0"/>
          <w:cols w:space="567"/>
          <w:noEndnote/>
          <w:docGrid w:linePitch="272"/>
        </w:sectPr>
      </w:pPr>
    </w:p>
    <w:p w14:paraId="1ABC76F7" w14:textId="3940DED6" w:rsidR="00D221F6" w:rsidRPr="00DF3006" w:rsidRDefault="008566EE" w:rsidP="00D221F6">
      <w:pPr>
        <w:rPr>
          <w:color w:val="414042" w:themeColor="text1"/>
        </w:rPr>
      </w:pPr>
      <w:r w:rsidRPr="00DF3006">
        <w:rPr>
          <w:color w:val="414042" w:themeColor="text1"/>
        </w:rPr>
        <w:t>The CCC has a rich history developed over the last three decades of being a strong, independent agency dedicated to comba</w:t>
      </w:r>
      <w:r w:rsidR="00AF3176" w:rsidRPr="00DF3006">
        <w:rPr>
          <w:color w:val="414042" w:themeColor="text1"/>
        </w:rPr>
        <w:t>t</w:t>
      </w:r>
      <w:r w:rsidRPr="00DF3006">
        <w:rPr>
          <w:color w:val="414042" w:themeColor="text1"/>
        </w:rPr>
        <w:t xml:space="preserve">ing major crime and reducing corruption in Queensland. </w:t>
      </w:r>
      <w:r w:rsidR="00D221F6" w:rsidRPr="00DF3006">
        <w:rPr>
          <w:color w:val="414042" w:themeColor="text1"/>
        </w:rPr>
        <w:t xml:space="preserve">This major strategy review </w:t>
      </w:r>
      <w:r w:rsidR="0095713D" w:rsidRPr="00DF3006">
        <w:rPr>
          <w:color w:val="414042" w:themeColor="text1"/>
        </w:rPr>
        <w:t xml:space="preserve">seeks to build on this history and foundations with the support of our </w:t>
      </w:r>
      <w:r w:rsidR="00D221F6" w:rsidRPr="00DF3006">
        <w:rPr>
          <w:color w:val="414042" w:themeColor="text1"/>
        </w:rPr>
        <w:t>enabling strategies to keep pace with the ongoing and rapid innovation in technology.</w:t>
      </w:r>
    </w:p>
    <w:p w14:paraId="74D90B34" w14:textId="6B457EB1" w:rsidR="00561686" w:rsidRPr="00DF3006" w:rsidRDefault="00120B70" w:rsidP="00E6066A">
      <w:pPr>
        <w:pStyle w:val="Heading3"/>
      </w:pPr>
      <w:r w:rsidRPr="00DF3006">
        <w:t>Global and national trends and influences</w:t>
      </w:r>
    </w:p>
    <w:p w14:paraId="458FCD8A" w14:textId="2F89900E" w:rsidR="00561686" w:rsidRPr="00DF3006" w:rsidRDefault="00561686" w:rsidP="00561686">
      <w:pPr>
        <w:rPr>
          <w:color w:val="414042" w:themeColor="text1"/>
        </w:rPr>
      </w:pPr>
      <w:r w:rsidRPr="00DF3006">
        <w:rPr>
          <w:color w:val="414042" w:themeColor="text1"/>
        </w:rPr>
        <w:t xml:space="preserve">In March 2023, </w:t>
      </w:r>
      <w:r w:rsidR="0032647B" w:rsidRPr="00DF3006">
        <w:rPr>
          <w:color w:val="414042" w:themeColor="text1"/>
        </w:rPr>
        <w:t>we examined the impact of global megatrends on our operating environment and identified four megatrends that are particularly relevant to the CCC. These megatrends are the rise of technology, the human factor, geopolitical disruption, and climate change and sustainability.</w:t>
      </w:r>
    </w:p>
    <w:p w14:paraId="2C7FD88F" w14:textId="77777777" w:rsidR="00561686" w:rsidRPr="00DF3006" w:rsidRDefault="00561686" w:rsidP="00561686">
      <w:pPr>
        <w:rPr>
          <w:color w:val="414042" w:themeColor="text1"/>
        </w:rPr>
      </w:pPr>
      <w:r w:rsidRPr="00DF3006">
        <w:rPr>
          <w:color w:val="414042" w:themeColor="text1"/>
        </w:rPr>
        <w:t>We recognise:</w:t>
      </w:r>
    </w:p>
    <w:p w14:paraId="19AA6BA1" w14:textId="77777777" w:rsidR="003D50FF" w:rsidRPr="00DF3006" w:rsidRDefault="003D50FF" w:rsidP="000E2408">
      <w:pPr>
        <w:pStyle w:val="Bullets"/>
        <w:rPr>
          <w:color w:val="414042" w:themeColor="text1"/>
        </w:rPr>
      </w:pPr>
      <w:r w:rsidRPr="00DF3006">
        <w:rPr>
          <w:color w:val="414042" w:themeColor="text1"/>
        </w:rPr>
        <w:t xml:space="preserve">The </w:t>
      </w:r>
      <w:r w:rsidRPr="00DF3006">
        <w:rPr>
          <w:b/>
          <w:bCs/>
          <w:color w:val="414042" w:themeColor="text1"/>
        </w:rPr>
        <w:t>rise of technology</w:t>
      </w:r>
      <w:r w:rsidRPr="00DF3006">
        <w:rPr>
          <w:color w:val="414042" w:themeColor="text1"/>
        </w:rPr>
        <w:t xml:space="preserve"> will have a pervasive impact on the CCC. Rapid technological acceleration will continue to improve access to systems and information and enhance our ability to both gather and analyse data in real time. Increased automation, data analytics, and digitalisation will be key to both the prevention and detection of crime and corruption.</w:t>
      </w:r>
    </w:p>
    <w:p w14:paraId="2D14275D" w14:textId="77777777" w:rsidR="003D50FF" w:rsidRPr="00DF3006" w:rsidRDefault="003D50FF" w:rsidP="000E2408">
      <w:pPr>
        <w:pStyle w:val="Bullets"/>
        <w:rPr>
          <w:color w:val="414042" w:themeColor="text1"/>
        </w:rPr>
      </w:pPr>
      <w:r w:rsidRPr="00DF3006">
        <w:rPr>
          <w:color w:val="414042" w:themeColor="text1"/>
        </w:rPr>
        <w:t xml:space="preserve">The </w:t>
      </w:r>
      <w:r w:rsidRPr="00DF3006">
        <w:rPr>
          <w:b/>
          <w:bCs/>
          <w:color w:val="414042" w:themeColor="text1"/>
        </w:rPr>
        <w:t>human factor</w:t>
      </w:r>
      <w:r w:rsidRPr="00DF3006">
        <w:rPr>
          <w:color w:val="414042" w:themeColor="text1"/>
        </w:rPr>
        <w:t xml:space="preserve"> is a broad and multifaceted concept that relates to the demographics in society as well as our shifting societal attitudes and expectations of government and business. The CCC must build a workforce that is digitally and technologically competent, thinks critically and understands how societal beliefs systems are changing the way we work with our community.</w:t>
      </w:r>
    </w:p>
    <w:p w14:paraId="59348A4A" w14:textId="77777777" w:rsidR="00561686" w:rsidRPr="00DF3006" w:rsidRDefault="00561686" w:rsidP="000E2408">
      <w:pPr>
        <w:pStyle w:val="Bullets"/>
        <w:rPr>
          <w:color w:val="414042" w:themeColor="text1"/>
        </w:rPr>
      </w:pPr>
      <w:r w:rsidRPr="00DF3006">
        <w:rPr>
          <w:color w:val="414042" w:themeColor="text1"/>
        </w:rPr>
        <w:t xml:space="preserve">Understanding and proactively preparing for the impact of </w:t>
      </w:r>
      <w:r w:rsidRPr="00DF3006">
        <w:rPr>
          <w:b/>
          <w:bCs/>
          <w:color w:val="414042" w:themeColor="text1"/>
        </w:rPr>
        <w:t>geo-political disruption</w:t>
      </w:r>
      <w:r w:rsidRPr="00DF3006">
        <w:rPr>
          <w:color w:val="414042" w:themeColor="text1"/>
        </w:rPr>
        <w:t xml:space="preserve"> is essential as we see global tensions rise and international markets shift. Potential economic instability with the diversion of funds to meet international </w:t>
      </w:r>
      <w:r w:rsidRPr="00DF3006">
        <w:rPr>
          <w:color w:val="414042" w:themeColor="text1"/>
        </w:rPr>
        <w:t>commitments to defence, trade and environmental agreements necessitates the CCC to see all threats as opportunities. Furthermore, forces us to consider how we approach borderless crimes, terrorism, technological disruptions, supply chain disruptions and potential future pandemics with renewed interest on how we can rapidly shift and transform our current services.</w:t>
      </w:r>
    </w:p>
    <w:p w14:paraId="4FAA0E9A" w14:textId="77777777" w:rsidR="00561686" w:rsidRPr="00DF3006" w:rsidRDefault="00561686" w:rsidP="000E2408">
      <w:pPr>
        <w:pStyle w:val="Bullets"/>
        <w:rPr>
          <w:color w:val="414042" w:themeColor="text1"/>
        </w:rPr>
      </w:pPr>
      <w:r w:rsidRPr="00DF3006">
        <w:rPr>
          <w:b/>
          <w:bCs/>
          <w:color w:val="414042" w:themeColor="text1"/>
        </w:rPr>
        <w:t>Climate change and sustainability</w:t>
      </w:r>
      <w:r w:rsidRPr="00DF3006">
        <w:rPr>
          <w:color w:val="414042" w:themeColor="text1"/>
        </w:rPr>
        <w:t xml:space="preserve"> is a generational imperative requiring governments to embrace sustainable practices. In addition, opportunistic crime and the increased potential for corruption activities may emerge through resource scarcity and exploitation of climate disruption and sustainability initiatives so the CCC is proactively monitoring efforts of organised crime groups.</w:t>
      </w:r>
    </w:p>
    <w:p w14:paraId="2835E610" w14:textId="77777777" w:rsidR="00561686" w:rsidRPr="00DF3006" w:rsidRDefault="00561686" w:rsidP="00E6066A">
      <w:pPr>
        <w:pStyle w:val="Heading3"/>
      </w:pPr>
      <w:r w:rsidRPr="00DF3006">
        <w:t>Enabling our transformation</w:t>
      </w:r>
    </w:p>
    <w:p w14:paraId="36C7C170" w14:textId="559B4263" w:rsidR="00561686" w:rsidRPr="00DF3006" w:rsidRDefault="00561686" w:rsidP="00561686">
      <w:pPr>
        <w:rPr>
          <w:color w:val="414042" w:themeColor="text1"/>
        </w:rPr>
      </w:pPr>
      <w:r w:rsidRPr="00DF3006">
        <w:rPr>
          <w:color w:val="414042" w:themeColor="text1"/>
        </w:rPr>
        <w:t>Successful transformation is challenging. In addition to a clear strategic direction, it requires a strong delivery and governance capability. The CCC has enhanced its project management and governance capabilities to support the delivery of our complex transformation program.</w:t>
      </w:r>
    </w:p>
    <w:p w14:paraId="404EAB4E" w14:textId="250E92EC" w:rsidR="00EF7FB7" w:rsidRPr="00DF3006" w:rsidRDefault="00EF7FB7" w:rsidP="00561686">
      <w:pPr>
        <w:rPr>
          <w:color w:val="414042" w:themeColor="text1"/>
        </w:rPr>
      </w:pPr>
    </w:p>
    <w:p w14:paraId="3B273B6E" w14:textId="6B1FC0AD" w:rsidR="00EF7FB7" w:rsidRPr="00DF3006" w:rsidRDefault="00EF7FB7" w:rsidP="00561686">
      <w:pPr>
        <w:rPr>
          <w:color w:val="414042" w:themeColor="text1"/>
        </w:rPr>
      </w:pPr>
    </w:p>
    <w:p w14:paraId="3C2FA542" w14:textId="0AE3AAEC" w:rsidR="00EF7FB7" w:rsidRPr="00DF3006" w:rsidRDefault="00EF7FB7" w:rsidP="00561686">
      <w:pPr>
        <w:rPr>
          <w:color w:val="414042" w:themeColor="text1"/>
        </w:rPr>
      </w:pPr>
    </w:p>
    <w:p w14:paraId="5B20E052" w14:textId="174A99A9" w:rsidR="00EF7FB7" w:rsidRPr="00DF3006" w:rsidRDefault="00EF7FB7" w:rsidP="00561686">
      <w:pPr>
        <w:rPr>
          <w:color w:val="414042" w:themeColor="text1"/>
        </w:rPr>
      </w:pPr>
    </w:p>
    <w:p w14:paraId="23F5A324" w14:textId="21805F24" w:rsidR="00EF7FB7" w:rsidRPr="00DF3006" w:rsidRDefault="00EF7FB7" w:rsidP="00561686">
      <w:pPr>
        <w:rPr>
          <w:color w:val="414042" w:themeColor="text1"/>
        </w:rPr>
      </w:pPr>
    </w:p>
    <w:p w14:paraId="54CEB15B" w14:textId="1876E2A0" w:rsidR="00EF7FB7" w:rsidRPr="00DF3006" w:rsidRDefault="00EF7FB7" w:rsidP="00561686">
      <w:pPr>
        <w:rPr>
          <w:color w:val="414042" w:themeColor="text1"/>
        </w:rPr>
      </w:pPr>
    </w:p>
    <w:p w14:paraId="23E0E38D" w14:textId="05866062" w:rsidR="00EF7FB7" w:rsidRPr="00DF3006" w:rsidRDefault="00EF7FB7" w:rsidP="00561686">
      <w:pPr>
        <w:rPr>
          <w:color w:val="414042" w:themeColor="text1"/>
        </w:rPr>
      </w:pPr>
    </w:p>
    <w:p w14:paraId="33C00610" w14:textId="77777777" w:rsidR="00EF7FB7" w:rsidRPr="00DF3006" w:rsidRDefault="00EF7FB7" w:rsidP="00561686">
      <w:pPr>
        <w:rPr>
          <w:color w:val="414042" w:themeColor="text1"/>
        </w:rPr>
      </w:pPr>
    </w:p>
    <w:p w14:paraId="574CE3D1" w14:textId="77777777" w:rsidR="00561686" w:rsidRPr="00DF3006" w:rsidRDefault="00561686" w:rsidP="00561686">
      <w:pPr>
        <w:rPr>
          <w:color w:val="414042" w:themeColor="text1"/>
        </w:rPr>
        <w:sectPr w:rsidR="00561686" w:rsidRPr="00DF3006" w:rsidSect="00C77834">
          <w:type w:val="continuous"/>
          <w:pgSz w:w="11906" w:h="16838" w:code="9"/>
          <w:pgMar w:top="2155" w:right="1134" w:bottom="964" w:left="1134" w:header="720" w:footer="284" w:gutter="0"/>
          <w:cols w:num="2" w:space="567"/>
          <w:noEndnote/>
          <w:docGrid w:linePitch="272"/>
        </w:sectPr>
      </w:pPr>
    </w:p>
    <w:p w14:paraId="3BCCA6D0" w14:textId="1661FC24" w:rsidR="00561686" w:rsidRPr="00DF3006" w:rsidRDefault="00561686" w:rsidP="00561686">
      <w:pPr>
        <w:pStyle w:val="Heading2"/>
      </w:pPr>
      <w:bookmarkStart w:id="1885" w:name="_Our_Strategic_Plan"/>
      <w:bookmarkEnd w:id="1885"/>
      <w:r w:rsidRPr="00DF3006">
        <w:lastRenderedPageBreak/>
        <w:t>Our Strategic Plan 2023–27</w:t>
      </w:r>
    </w:p>
    <w:p w14:paraId="352843E4" w14:textId="4812B9D5" w:rsidR="00561686" w:rsidRPr="00DF3006" w:rsidRDefault="00FB20FD" w:rsidP="00FB20FD">
      <w:pPr>
        <w:pStyle w:val="Openingparagraph"/>
      </w:pPr>
      <w:r w:rsidRPr="00DF3006">
        <w:t xml:space="preserve">Our </w:t>
      </w:r>
      <w:r w:rsidRPr="00DF3006">
        <w:rPr>
          <w:i/>
          <w:iCs/>
        </w:rPr>
        <w:t>Strategic Plan</w:t>
      </w:r>
      <w:r w:rsidRPr="00DF3006">
        <w:t xml:space="preserve"> </w:t>
      </w:r>
      <w:r w:rsidR="0046383E" w:rsidRPr="00DF3006">
        <w:t>outlines the ambitious body of work we have set ourselves this financial year and beyond</w:t>
      </w:r>
      <w:r w:rsidR="008E5ABF" w:rsidRPr="00DF3006">
        <w:t>.</w:t>
      </w:r>
      <w:r w:rsidR="0046383E" w:rsidRPr="00DF3006">
        <w:t xml:space="preserve"> It </w:t>
      </w:r>
      <w:r w:rsidRPr="00DF3006">
        <w:t xml:space="preserve">articulates what we do, how we do it and, importantly, why we do it. Together with our vision and values, it keeps us focused on serving the people of Queensland. </w:t>
      </w:r>
      <w:r w:rsidR="0046383E" w:rsidRPr="00DF3006">
        <w:t>I</w:t>
      </w:r>
      <w:r w:rsidR="00930FDE" w:rsidRPr="00DF3006">
        <w:t>n 2023–24</w:t>
      </w:r>
      <w:r w:rsidRPr="00DF3006">
        <w:t xml:space="preserve">, </w:t>
      </w:r>
      <w:r w:rsidR="00930FDE" w:rsidRPr="00DF3006">
        <w:t>we intend to deliver the activities detailed below</w:t>
      </w:r>
      <w:r w:rsidRPr="00DF3006">
        <w:t>.</w:t>
      </w:r>
    </w:p>
    <w:p w14:paraId="47FE13AD" w14:textId="77777777" w:rsidR="00561686" w:rsidRPr="00DF3006" w:rsidRDefault="00561686" w:rsidP="00561686">
      <w:pPr>
        <w:rPr>
          <w:color w:val="414042" w:themeColor="text1"/>
          <w:lang w:val="en-US"/>
        </w:rPr>
      </w:pPr>
    </w:p>
    <w:p w14:paraId="64C162DC" w14:textId="65429FEC" w:rsidR="00FB20FD" w:rsidRPr="00DF3006" w:rsidRDefault="00FB20FD" w:rsidP="00561686">
      <w:pPr>
        <w:rPr>
          <w:color w:val="414042" w:themeColor="text1"/>
          <w:lang w:val="en-US"/>
        </w:rPr>
        <w:sectPr w:rsidR="00FB20FD" w:rsidRPr="00DF3006" w:rsidSect="00C77834">
          <w:headerReference w:type="even" r:id="rId290"/>
          <w:headerReference w:type="default" r:id="rId291"/>
          <w:headerReference w:type="first" r:id="rId292"/>
          <w:type w:val="continuous"/>
          <w:pgSz w:w="11906" w:h="16838" w:code="9"/>
          <w:pgMar w:top="2155" w:right="1134" w:bottom="964" w:left="1134" w:header="720" w:footer="284" w:gutter="0"/>
          <w:cols w:space="567"/>
          <w:noEndnote/>
          <w:docGrid w:linePitch="272"/>
        </w:sectPr>
      </w:pPr>
    </w:p>
    <w:p w14:paraId="484F7AA4" w14:textId="77777777" w:rsidR="00561686" w:rsidRPr="00DF3006" w:rsidRDefault="00561686" w:rsidP="00E6066A">
      <w:pPr>
        <w:pStyle w:val="Heading3"/>
        <w:sectPr w:rsidR="00561686" w:rsidRPr="00DF3006" w:rsidSect="00C77834">
          <w:type w:val="continuous"/>
          <w:pgSz w:w="11906" w:h="16838" w:code="9"/>
          <w:pgMar w:top="2155" w:right="1134" w:bottom="964" w:left="1134" w:header="720" w:footer="284" w:gutter="0"/>
          <w:cols w:space="567"/>
          <w:noEndnote/>
          <w:docGrid w:linePitch="272"/>
        </w:sectPr>
      </w:pPr>
      <w:r w:rsidRPr="00DF3006">
        <w:t xml:space="preserve">OBJECTIVE: </w:t>
      </w:r>
      <w:r w:rsidRPr="00DF3006">
        <w:rPr>
          <w:i/>
          <w:iCs/>
        </w:rPr>
        <w:t>Efficient and Effective</w:t>
      </w:r>
      <w:r w:rsidRPr="00DF3006">
        <w:t xml:space="preserve"> – Delivering efficient and effective outcomes to reduce the incidence of major crime and corruption, and improve the integrity of the public sector in Queensland</w:t>
      </w:r>
    </w:p>
    <w:p w14:paraId="2C20B168" w14:textId="77777777" w:rsidR="00561686" w:rsidRPr="00DF3006" w:rsidRDefault="00561686" w:rsidP="00561686">
      <w:pPr>
        <w:rPr>
          <w:color w:val="414042" w:themeColor="text1"/>
        </w:rPr>
      </w:pPr>
      <w:r w:rsidRPr="00DF3006">
        <w:rPr>
          <w:color w:val="414042" w:themeColor="text1"/>
        </w:rPr>
        <w:t>Our key strategies are to:</w:t>
      </w:r>
    </w:p>
    <w:p w14:paraId="7D42B5B9" w14:textId="77777777" w:rsidR="00561686" w:rsidRPr="00DF3006" w:rsidRDefault="00561686">
      <w:pPr>
        <w:pStyle w:val="Bullets"/>
        <w:rPr>
          <w:color w:val="414042" w:themeColor="text1"/>
        </w:rPr>
      </w:pPr>
      <w:r w:rsidRPr="00DF3006">
        <w:rPr>
          <w:color w:val="414042" w:themeColor="text1"/>
        </w:rPr>
        <w:t>Improve productivity and outcomes to maximise impact.</w:t>
      </w:r>
    </w:p>
    <w:p w14:paraId="03427D56" w14:textId="77777777" w:rsidR="00561686" w:rsidRPr="00DF3006" w:rsidRDefault="00561686">
      <w:pPr>
        <w:pStyle w:val="Bullets"/>
        <w:rPr>
          <w:color w:val="414042" w:themeColor="text1"/>
        </w:rPr>
      </w:pPr>
      <w:r w:rsidRPr="00DF3006">
        <w:rPr>
          <w:color w:val="414042" w:themeColor="text1"/>
        </w:rPr>
        <w:t>Enhance governance, risk and compliance processes and culture to mitigate risk.</w:t>
      </w:r>
    </w:p>
    <w:p w14:paraId="28CEFAED" w14:textId="77777777" w:rsidR="00561686" w:rsidRPr="00DF3006" w:rsidRDefault="00561686">
      <w:pPr>
        <w:pStyle w:val="Bullets"/>
        <w:rPr>
          <w:color w:val="414042" w:themeColor="text1"/>
        </w:rPr>
      </w:pPr>
      <w:r w:rsidRPr="00DF3006">
        <w:rPr>
          <w:color w:val="414042" w:themeColor="text1"/>
        </w:rPr>
        <w:t>Advocate for legislative reform to improve our ability to anticipate and respond to the changing nature of our operating environment.</w:t>
      </w:r>
    </w:p>
    <w:p w14:paraId="277D0FCC" w14:textId="77777777" w:rsidR="00561686" w:rsidRPr="00DF3006" w:rsidRDefault="00561686">
      <w:pPr>
        <w:pStyle w:val="Bullets"/>
        <w:rPr>
          <w:color w:val="414042" w:themeColor="text1"/>
        </w:rPr>
      </w:pPr>
      <w:r w:rsidRPr="00DF3006">
        <w:rPr>
          <w:color w:val="414042" w:themeColor="text1"/>
        </w:rPr>
        <w:t xml:space="preserve">Innovate, </w:t>
      </w:r>
      <w:proofErr w:type="gramStart"/>
      <w:r w:rsidRPr="00DF3006">
        <w:rPr>
          <w:color w:val="414042" w:themeColor="text1"/>
        </w:rPr>
        <w:t>digitalise</w:t>
      </w:r>
      <w:proofErr w:type="gramEnd"/>
      <w:r w:rsidRPr="00DF3006">
        <w:rPr>
          <w:color w:val="414042" w:themeColor="text1"/>
        </w:rPr>
        <w:t xml:space="preserve"> and automate service delivery to maximise operational efficiency and effectiveness.</w:t>
      </w:r>
    </w:p>
    <w:p w14:paraId="03D3CA59" w14:textId="77777777" w:rsidR="00561686" w:rsidRPr="00DF3006" w:rsidRDefault="00561686">
      <w:pPr>
        <w:pStyle w:val="Bullets"/>
        <w:rPr>
          <w:color w:val="414042" w:themeColor="text1"/>
        </w:rPr>
      </w:pPr>
      <w:r w:rsidRPr="00DF3006">
        <w:rPr>
          <w:color w:val="414042" w:themeColor="text1"/>
        </w:rPr>
        <w:t>Build and use data to inform effective decision making.</w:t>
      </w:r>
    </w:p>
    <w:p w14:paraId="6F066583" w14:textId="77777777" w:rsidR="00561686" w:rsidRPr="00DF3006" w:rsidRDefault="00561686">
      <w:pPr>
        <w:pStyle w:val="Bullets"/>
        <w:rPr>
          <w:color w:val="414042" w:themeColor="text1"/>
        </w:rPr>
      </w:pPr>
      <w:r w:rsidRPr="00DF3006">
        <w:rPr>
          <w:color w:val="414042" w:themeColor="text1"/>
        </w:rPr>
        <w:t>Enable a person-centred approach that reflects the perspectives of our diverse community, including First Nations peoples.</w:t>
      </w:r>
    </w:p>
    <w:p w14:paraId="637140BC" w14:textId="77777777" w:rsidR="00561686" w:rsidRPr="00DF3006" w:rsidRDefault="00561686" w:rsidP="00561686">
      <w:pPr>
        <w:rPr>
          <w:color w:val="414042" w:themeColor="text1"/>
        </w:rPr>
      </w:pPr>
    </w:p>
    <w:p w14:paraId="0ACD46BD" w14:textId="77777777" w:rsidR="00561686" w:rsidRPr="00DF3006" w:rsidRDefault="00561686" w:rsidP="00463FBB">
      <w:pPr>
        <w:pStyle w:val="Bulletpoints"/>
        <w:rPr>
          <w:color w:val="414042" w:themeColor="text1"/>
        </w:rPr>
        <w:sectPr w:rsidR="00561686" w:rsidRPr="00DF3006" w:rsidSect="00C77834">
          <w:type w:val="continuous"/>
          <w:pgSz w:w="11906" w:h="16838" w:code="9"/>
          <w:pgMar w:top="2155" w:right="1134" w:bottom="964" w:left="1134" w:header="720" w:footer="284" w:gutter="0"/>
          <w:cols w:num="2" w:space="567"/>
          <w:noEndnote/>
          <w:docGrid w:linePitch="272"/>
        </w:sectPr>
      </w:pPr>
    </w:p>
    <w:p w14:paraId="001F7D5B" w14:textId="349D64D9" w:rsidR="00561686" w:rsidRPr="00DF3006" w:rsidRDefault="00A368B5" w:rsidP="00561686">
      <w:pPr>
        <w:rPr>
          <w:color w:val="414042" w:themeColor="text1"/>
        </w:rPr>
      </w:pPr>
      <w:r w:rsidRPr="00DF3006">
        <w:rPr>
          <w:noProof/>
          <w:color w:val="414042" w:themeColor="text1"/>
        </w:rPr>
        <mc:AlternateContent>
          <mc:Choice Requires="wps">
            <w:drawing>
              <wp:anchor distT="0" distB="0" distL="114300" distR="114300" simplePos="0" relativeHeight="252376064" behindDoc="0" locked="0" layoutInCell="1" allowOverlap="1" wp14:anchorId="15329753" wp14:editId="50E4115C">
                <wp:simplePos x="0" y="0"/>
                <wp:positionH relativeFrom="column">
                  <wp:posOffset>0</wp:posOffset>
                </wp:positionH>
                <wp:positionV relativeFrom="paragraph">
                  <wp:posOffset>0</wp:posOffset>
                </wp:positionV>
                <wp:extent cx="6172200" cy="0"/>
                <wp:effectExtent l="0" t="0" r="0" b="0"/>
                <wp:wrapNone/>
                <wp:docPr id="1756631125" name="Straight Connector 1756631125"/>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8BEBA" id="Straight Connector 1756631125" o:spid="_x0000_s1026" style="position:absolute;z-index:252376064;visibility:visible;mso-wrap-style:square;mso-wrap-distance-left:9pt;mso-wrap-distance-top:0;mso-wrap-distance-right:9pt;mso-wrap-distance-bottom:0;mso-position-horizontal:absolute;mso-position-horizontal-relative:text;mso-position-vertical:absolute;mso-position-vertical-relative:text" from="0,0" to="4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" strokecolor="black [3204]" strokeweight=".5pt">
                <v:stroke joinstyle="miter"/>
              </v:line>
            </w:pict>
          </mc:Fallback>
        </mc:AlternateContent>
      </w:r>
    </w:p>
    <w:p w14:paraId="5318C47B" w14:textId="77777777" w:rsidR="00561686" w:rsidRPr="00DF3006" w:rsidRDefault="00561686" w:rsidP="00E6066A">
      <w:pPr>
        <w:pStyle w:val="Heading3"/>
        <w:rPr>
          <w:highlight w:val="magenta"/>
        </w:rPr>
        <w:sectPr w:rsidR="00561686" w:rsidRPr="00DF3006" w:rsidSect="00C77834">
          <w:type w:val="continuous"/>
          <w:pgSz w:w="11906" w:h="16838" w:code="9"/>
          <w:pgMar w:top="2155" w:right="1134" w:bottom="964" w:left="1134" w:header="720" w:footer="284" w:gutter="0"/>
          <w:cols w:space="567"/>
          <w:noEndnote/>
          <w:docGrid w:linePitch="272"/>
        </w:sectPr>
      </w:pPr>
      <w:r w:rsidRPr="00DF3006">
        <w:t xml:space="preserve">OBJECTIVE: </w:t>
      </w:r>
      <w:r w:rsidRPr="00DF3006">
        <w:rPr>
          <w:i/>
          <w:iCs/>
        </w:rPr>
        <w:t>Safe and Capable</w:t>
      </w:r>
      <w:r w:rsidRPr="00DF3006">
        <w:t xml:space="preserve"> – Developing the capability and managing the wellbeing of our people and enabling their performance through access to high-quality information and fit-for-purpose systems</w:t>
      </w:r>
    </w:p>
    <w:p w14:paraId="783673E7" w14:textId="77777777" w:rsidR="00561686" w:rsidRPr="00DF3006" w:rsidRDefault="00561686" w:rsidP="00561686">
      <w:pPr>
        <w:rPr>
          <w:color w:val="414042" w:themeColor="text1"/>
        </w:rPr>
      </w:pPr>
      <w:r w:rsidRPr="00DF3006">
        <w:rPr>
          <w:color w:val="414042" w:themeColor="text1"/>
        </w:rPr>
        <w:t>Our key strategies are to:</w:t>
      </w:r>
    </w:p>
    <w:p w14:paraId="5C096F9C" w14:textId="77777777" w:rsidR="00561686" w:rsidRPr="00DF3006" w:rsidRDefault="00561686">
      <w:pPr>
        <w:pStyle w:val="Bullets"/>
        <w:rPr>
          <w:color w:val="414042" w:themeColor="text1"/>
        </w:rPr>
      </w:pPr>
      <w:r w:rsidRPr="00DF3006">
        <w:rPr>
          <w:color w:val="414042" w:themeColor="text1"/>
        </w:rPr>
        <w:t>Develop leadership and management capability to lead change, achieve high performance, and influence connection to agency purpose.</w:t>
      </w:r>
    </w:p>
    <w:p w14:paraId="710B95E6" w14:textId="77777777" w:rsidR="00561686" w:rsidRPr="00DF3006" w:rsidRDefault="00561686">
      <w:pPr>
        <w:pStyle w:val="Bullets"/>
        <w:rPr>
          <w:color w:val="414042" w:themeColor="text1"/>
        </w:rPr>
      </w:pPr>
      <w:r w:rsidRPr="00DF3006">
        <w:rPr>
          <w:color w:val="414042" w:themeColor="text1"/>
        </w:rPr>
        <w:t xml:space="preserve">Nurture a safe and healthy workplace embedding a shared responsibility for the physical, </w:t>
      </w:r>
      <w:proofErr w:type="gramStart"/>
      <w:r w:rsidRPr="00DF3006">
        <w:rPr>
          <w:color w:val="414042" w:themeColor="text1"/>
        </w:rPr>
        <w:t>psychological</w:t>
      </w:r>
      <w:proofErr w:type="gramEnd"/>
      <w:r w:rsidRPr="00DF3006">
        <w:rPr>
          <w:color w:val="414042" w:themeColor="text1"/>
        </w:rPr>
        <w:t xml:space="preserve"> and cultural wellbeing of our workforce.</w:t>
      </w:r>
    </w:p>
    <w:p w14:paraId="64829DC6" w14:textId="77777777" w:rsidR="00561686" w:rsidRPr="00DF3006" w:rsidRDefault="00561686">
      <w:pPr>
        <w:pStyle w:val="Bullets"/>
        <w:rPr>
          <w:color w:val="414042" w:themeColor="text1"/>
        </w:rPr>
      </w:pPr>
      <w:r w:rsidRPr="00DF3006">
        <w:rPr>
          <w:color w:val="414042" w:themeColor="text1"/>
        </w:rPr>
        <w:t>Continue to enhance diversity and inclusion initiatives to harness different perspectives and build on our collective strengths.</w:t>
      </w:r>
    </w:p>
    <w:p w14:paraId="01EBB3A3" w14:textId="77777777" w:rsidR="00561686" w:rsidRPr="00DF3006" w:rsidRDefault="00561686">
      <w:pPr>
        <w:pStyle w:val="Bullets"/>
        <w:rPr>
          <w:color w:val="414042" w:themeColor="text1"/>
        </w:rPr>
      </w:pPr>
      <w:r w:rsidRPr="00DF3006">
        <w:rPr>
          <w:color w:val="414042" w:themeColor="text1"/>
        </w:rPr>
        <w:t>Deliver talent attraction and retention initiatives that reflect the changing needs of the workforce and societal expectations.</w:t>
      </w:r>
    </w:p>
    <w:p w14:paraId="4A572D9C" w14:textId="77777777" w:rsidR="00561686" w:rsidRPr="00DF3006" w:rsidRDefault="00561686">
      <w:pPr>
        <w:pStyle w:val="Bullets"/>
        <w:rPr>
          <w:color w:val="414042" w:themeColor="text1"/>
        </w:rPr>
      </w:pPr>
      <w:r w:rsidRPr="00DF3006">
        <w:rPr>
          <w:color w:val="414042" w:themeColor="text1"/>
        </w:rPr>
        <w:br w:type="column"/>
      </w:r>
      <w:r w:rsidRPr="00DF3006">
        <w:rPr>
          <w:color w:val="414042" w:themeColor="text1"/>
        </w:rPr>
        <w:t>Develop workforce capability to meet the operating needs within a complex and evolving working environment.</w:t>
      </w:r>
    </w:p>
    <w:p w14:paraId="0D7D98C3" w14:textId="77777777" w:rsidR="00561686" w:rsidRPr="00DF3006" w:rsidRDefault="00561686">
      <w:pPr>
        <w:pStyle w:val="Bullets"/>
        <w:rPr>
          <w:color w:val="414042" w:themeColor="text1"/>
        </w:rPr>
      </w:pPr>
      <w:r w:rsidRPr="00DF3006">
        <w:rPr>
          <w:color w:val="414042" w:themeColor="text1"/>
        </w:rPr>
        <w:t>Leverage and invest in technology to enhance digital capability and improve system cross-functionality.</w:t>
      </w:r>
    </w:p>
    <w:p w14:paraId="265A2837" w14:textId="77777777" w:rsidR="00561686" w:rsidRPr="00DF3006" w:rsidRDefault="00561686">
      <w:pPr>
        <w:pStyle w:val="Bullets"/>
        <w:rPr>
          <w:color w:val="414042" w:themeColor="text1"/>
        </w:rPr>
      </w:pPr>
      <w:r w:rsidRPr="00DF3006">
        <w:rPr>
          <w:color w:val="414042" w:themeColor="text1"/>
        </w:rPr>
        <w:t>Invest wisely in robust information security measures to stay ahead of potential threats.</w:t>
      </w:r>
    </w:p>
    <w:p w14:paraId="6BC5825F" w14:textId="77777777" w:rsidR="00561686" w:rsidRPr="00DF3006" w:rsidRDefault="00561686" w:rsidP="00561686">
      <w:pPr>
        <w:rPr>
          <w:rFonts w:cs="Calibri"/>
          <w:bCs/>
          <w:color w:val="414042" w:themeColor="text1"/>
          <w:szCs w:val="20"/>
        </w:rPr>
      </w:pPr>
      <w:r w:rsidRPr="00DF3006">
        <w:rPr>
          <w:color w:val="414042" w:themeColor="text1"/>
        </w:rPr>
        <w:br w:type="page"/>
      </w:r>
    </w:p>
    <w:p w14:paraId="13275FCA" w14:textId="77777777" w:rsidR="00561686" w:rsidRPr="00DF3006" w:rsidRDefault="00561686" w:rsidP="00463FBB">
      <w:pPr>
        <w:pStyle w:val="Bulletpoints"/>
        <w:rPr>
          <w:color w:val="414042" w:themeColor="text1"/>
        </w:rPr>
        <w:sectPr w:rsidR="00561686" w:rsidRPr="00DF3006" w:rsidSect="00C77834">
          <w:headerReference w:type="even" r:id="rId293"/>
          <w:headerReference w:type="default" r:id="rId294"/>
          <w:headerReference w:type="first" r:id="rId295"/>
          <w:type w:val="continuous"/>
          <w:pgSz w:w="11906" w:h="16838" w:code="9"/>
          <w:pgMar w:top="2155" w:right="1134" w:bottom="964" w:left="1134" w:header="720" w:footer="284" w:gutter="0"/>
          <w:cols w:num="2" w:space="567"/>
          <w:noEndnote/>
          <w:docGrid w:linePitch="272"/>
        </w:sectPr>
      </w:pPr>
    </w:p>
    <w:p w14:paraId="689283CC" w14:textId="77777777" w:rsidR="00561686" w:rsidRPr="00DF3006" w:rsidRDefault="00561686" w:rsidP="00E6066A">
      <w:pPr>
        <w:pStyle w:val="Heading3"/>
        <w:sectPr w:rsidR="00561686" w:rsidRPr="00DF3006" w:rsidSect="00C77834">
          <w:type w:val="continuous"/>
          <w:pgSz w:w="11906" w:h="16838" w:code="9"/>
          <w:pgMar w:top="2155" w:right="1134" w:bottom="964" w:left="1134" w:header="720" w:footer="284" w:gutter="0"/>
          <w:cols w:space="567"/>
          <w:noEndnote/>
          <w:docGrid w:linePitch="272"/>
        </w:sectPr>
      </w:pPr>
      <w:r w:rsidRPr="00DF3006">
        <w:rPr>
          <w:rFonts w:cstheme="minorHAnsi"/>
        </w:rPr>
        <w:lastRenderedPageBreak/>
        <w:t xml:space="preserve">OBJECTIVE: </w:t>
      </w:r>
      <w:r w:rsidRPr="00DF3006">
        <w:rPr>
          <w:i/>
          <w:iCs/>
        </w:rPr>
        <w:t>Accessible, Accountable and Collaborative</w:t>
      </w:r>
      <w:r w:rsidRPr="00DF3006">
        <w:t xml:space="preserve"> – Being accessible and engaging with our community in a meaningful way that demonstrates our accountability and promotes confidence in our functions and the services we provide.</w:t>
      </w:r>
    </w:p>
    <w:p w14:paraId="57D72AE2" w14:textId="77777777" w:rsidR="00561686" w:rsidRPr="00DF3006" w:rsidRDefault="00561686" w:rsidP="00561686">
      <w:pPr>
        <w:rPr>
          <w:color w:val="414042" w:themeColor="text1"/>
        </w:rPr>
      </w:pPr>
      <w:r w:rsidRPr="00DF3006">
        <w:rPr>
          <w:color w:val="414042" w:themeColor="text1"/>
        </w:rPr>
        <w:t>Our key strategies are to:</w:t>
      </w:r>
    </w:p>
    <w:p w14:paraId="74951104" w14:textId="77777777" w:rsidR="00561686" w:rsidRPr="00DF3006" w:rsidRDefault="00561686">
      <w:pPr>
        <w:pStyle w:val="Bullets"/>
        <w:rPr>
          <w:color w:val="414042" w:themeColor="text1"/>
        </w:rPr>
      </w:pPr>
      <w:r w:rsidRPr="00DF3006">
        <w:rPr>
          <w:color w:val="414042" w:themeColor="text1"/>
        </w:rPr>
        <w:t>Strengthen partnerships to facilitate coordination and information sharing across agencies and jurisdictions for mutual benefit.</w:t>
      </w:r>
    </w:p>
    <w:p w14:paraId="15BABC65" w14:textId="77777777" w:rsidR="00561686" w:rsidRPr="00DF3006" w:rsidRDefault="00561686">
      <w:pPr>
        <w:pStyle w:val="Bullets"/>
        <w:rPr>
          <w:color w:val="414042" w:themeColor="text1"/>
        </w:rPr>
      </w:pPr>
      <w:r w:rsidRPr="00DF3006">
        <w:rPr>
          <w:color w:val="414042" w:themeColor="text1"/>
        </w:rPr>
        <w:t xml:space="preserve">Ensure effective communication and timely dissemination of information to promote transparency, </w:t>
      </w:r>
      <w:proofErr w:type="gramStart"/>
      <w:r w:rsidRPr="00DF3006">
        <w:rPr>
          <w:color w:val="414042" w:themeColor="text1"/>
        </w:rPr>
        <w:t>accountability</w:t>
      </w:r>
      <w:proofErr w:type="gramEnd"/>
      <w:r w:rsidRPr="00DF3006">
        <w:rPr>
          <w:color w:val="414042" w:themeColor="text1"/>
        </w:rPr>
        <w:t xml:space="preserve"> and confidence.</w:t>
      </w:r>
    </w:p>
    <w:p w14:paraId="37DA1E92" w14:textId="77777777" w:rsidR="00561686" w:rsidRPr="00DF3006" w:rsidRDefault="00561686">
      <w:pPr>
        <w:pStyle w:val="Bullets"/>
        <w:rPr>
          <w:color w:val="414042" w:themeColor="text1"/>
        </w:rPr>
      </w:pPr>
      <w:r w:rsidRPr="00DF3006">
        <w:rPr>
          <w:color w:val="414042" w:themeColor="text1"/>
        </w:rPr>
        <w:br w:type="column"/>
      </w:r>
      <w:r w:rsidRPr="00DF3006">
        <w:rPr>
          <w:color w:val="414042" w:themeColor="text1"/>
        </w:rPr>
        <w:t xml:space="preserve">Establish greater connection and new operating models with government, non-government organisations, private </w:t>
      </w:r>
      <w:proofErr w:type="gramStart"/>
      <w:r w:rsidRPr="00DF3006">
        <w:rPr>
          <w:color w:val="414042" w:themeColor="text1"/>
        </w:rPr>
        <w:t>sector</w:t>
      </w:r>
      <w:proofErr w:type="gramEnd"/>
      <w:r w:rsidRPr="00DF3006">
        <w:rPr>
          <w:color w:val="414042" w:themeColor="text1"/>
        </w:rPr>
        <w:t xml:space="preserve"> and universities to ensure responsible spending, access to specialist capabilities and enhance information sharing.</w:t>
      </w:r>
    </w:p>
    <w:p w14:paraId="45D3A380" w14:textId="77777777" w:rsidR="00561686" w:rsidRPr="00DF3006" w:rsidRDefault="00561686">
      <w:pPr>
        <w:pStyle w:val="Bullets"/>
        <w:rPr>
          <w:color w:val="414042" w:themeColor="text1"/>
        </w:rPr>
      </w:pPr>
      <w:r w:rsidRPr="00DF3006">
        <w:rPr>
          <w:color w:val="414042" w:themeColor="text1"/>
        </w:rPr>
        <w:t>Maximise opportunities with our partners to collectively use data and insights in a meaningful way.</w:t>
      </w:r>
    </w:p>
    <w:p w14:paraId="633444E2" w14:textId="77777777" w:rsidR="00561686" w:rsidRPr="00DF3006" w:rsidRDefault="00561686" w:rsidP="00561686">
      <w:pPr>
        <w:rPr>
          <w:color w:val="414042" w:themeColor="text1"/>
        </w:rPr>
        <w:sectPr w:rsidR="00561686" w:rsidRPr="00DF3006" w:rsidSect="00C77834">
          <w:type w:val="continuous"/>
          <w:pgSz w:w="11906" w:h="16838" w:code="9"/>
          <w:pgMar w:top="2155" w:right="1134" w:bottom="964" w:left="1134" w:header="720" w:footer="284" w:gutter="0"/>
          <w:cols w:num="2" w:space="567"/>
          <w:noEndnote/>
          <w:docGrid w:linePitch="272"/>
        </w:sectPr>
      </w:pPr>
    </w:p>
    <w:p w14:paraId="674374B5" w14:textId="0C66A8BB" w:rsidR="00561686" w:rsidRPr="00DF3006" w:rsidRDefault="00A368B5" w:rsidP="00561686">
      <w:pPr>
        <w:rPr>
          <w:color w:val="414042" w:themeColor="text1"/>
        </w:rPr>
      </w:pPr>
      <w:r w:rsidRPr="00DF3006">
        <w:rPr>
          <w:noProof/>
          <w:color w:val="414042" w:themeColor="text1"/>
        </w:rPr>
        <mc:AlternateContent>
          <mc:Choice Requires="wps">
            <w:drawing>
              <wp:anchor distT="0" distB="0" distL="114300" distR="114300" simplePos="0" relativeHeight="252374016" behindDoc="0" locked="0" layoutInCell="1" allowOverlap="1" wp14:anchorId="5963C66E" wp14:editId="07B45FF7">
                <wp:simplePos x="0" y="0"/>
                <wp:positionH relativeFrom="column">
                  <wp:posOffset>80010</wp:posOffset>
                </wp:positionH>
                <wp:positionV relativeFrom="paragraph">
                  <wp:posOffset>29210</wp:posOffset>
                </wp:positionV>
                <wp:extent cx="6172200" cy="0"/>
                <wp:effectExtent l="0" t="0" r="0" b="0"/>
                <wp:wrapNone/>
                <wp:docPr id="1756631124" name="Straight Connector 175663112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E6DF1" id="Straight Connector 1756631124" o:spid="_x0000_s1026" style="position:absolute;z-index:252374016;visibility:visible;mso-wrap-style:square;mso-wrap-distance-left:9pt;mso-wrap-distance-top:0;mso-wrap-distance-right:9pt;mso-wrap-distance-bottom:0;mso-position-horizontal:absolute;mso-position-horizontal-relative:text;mso-position-vertical:absolute;mso-position-vertical-relative:text" from="6.3pt,2.3pt" to="492.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" strokecolor="black [3204]" strokeweight=".5pt">
                <v:stroke joinstyle="miter"/>
              </v:line>
            </w:pict>
          </mc:Fallback>
        </mc:AlternateContent>
      </w:r>
    </w:p>
    <w:p w14:paraId="21E11F18" w14:textId="77777777" w:rsidR="00561686" w:rsidRPr="00DF3006" w:rsidRDefault="00561686" w:rsidP="00561686">
      <w:pPr>
        <w:rPr>
          <w:color w:val="414042" w:themeColor="text1"/>
        </w:rPr>
        <w:sectPr w:rsidR="00561686" w:rsidRPr="00DF3006" w:rsidSect="00C77834">
          <w:type w:val="continuous"/>
          <w:pgSz w:w="11906" w:h="16838" w:code="9"/>
          <w:pgMar w:top="2155" w:right="1134" w:bottom="964" w:left="1134" w:header="720" w:footer="284" w:gutter="0"/>
          <w:cols w:space="567"/>
          <w:noEndnote/>
          <w:docGrid w:linePitch="272"/>
        </w:sectPr>
      </w:pPr>
    </w:p>
    <w:p w14:paraId="54729F4E" w14:textId="77777777" w:rsidR="00561686" w:rsidRPr="00DF3006" w:rsidRDefault="00561686" w:rsidP="00E6066A">
      <w:pPr>
        <w:pStyle w:val="Heading3"/>
        <w:sectPr w:rsidR="00561686" w:rsidRPr="00DF3006" w:rsidSect="00C77834">
          <w:type w:val="continuous"/>
          <w:pgSz w:w="11906" w:h="16838" w:code="9"/>
          <w:pgMar w:top="2155" w:right="1134" w:bottom="964" w:left="1134" w:header="720" w:footer="284" w:gutter="0"/>
          <w:cols w:space="567"/>
          <w:noEndnote/>
          <w:docGrid w:linePitch="272"/>
        </w:sectPr>
      </w:pPr>
      <w:r w:rsidRPr="00DF3006">
        <w:rPr>
          <w:rFonts w:cstheme="minorHAnsi"/>
        </w:rPr>
        <w:t xml:space="preserve">OBJECTIVE: </w:t>
      </w:r>
      <w:r w:rsidRPr="00DF3006">
        <w:rPr>
          <w:i/>
          <w:iCs/>
        </w:rPr>
        <w:t>Continuous Improvement</w:t>
      </w:r>
      <w:r w:rsidRPr="00DF3006">
        <w:t xml:space="preserve"> – Anticipating and responding effectively to our dynamic and challenging operating environment.  </w:t>
      </w:r>
    </w:p>
    <w:p w14:paraId="4C564708" w14:textId="77777777" w:rsidR="00561686" w:rsidRPr="00DF3006" w:rsidRDefault="00561686" w:rsidP="00561686">
      <w:pPr>
        <w:rPr>
          <w:color w:val="414042" w:themeColor="text1"/>
        </w:rPr>
      </w:pPr>
      <w:r w:rsidRPr="00DF3006">
        <w:rPr>
          <w:color w:val="414042" w:themeColor="text1"/>
        </w:rPr>
        <w:t>Our key strategies are to:</w:t>
      </w:r>
    </w:p>
    <w:p w14:paraId="24EFD3A0" w14:textId="77777777" w:rsidR="00561686" w:rsidRPr="00DF3006" w:rsidRDefault="00561686">
      <w:pPr>
        <w:pStyle w:val="Bullets"/>
        <w:rPr>
          <w:color w:val="414042" w:themeColor="text1"/>
        </w:rPr>
      </w:pPr>
      <w:r w:rsidRPr="00DF3006">
        <w:rPr>
          <w:color w:val="414042" w:themeColor="text1"/>
        </w:rPr>
        <w:t>Redesign service delivery models to maximise our ability to respond to our changing environment.</w:t>
      </w:r>
    </w:p>
    <w:p w14:paraId="1F96732C" w14:textId="77777777" w:rsidR="00561686" w:rsidRPr="00DF3006" w:rsidRDefault="00561686">
      <w:pPr>
        <w:pStyle w:val="Bullets"/>
        <w:rPr>
          <w:color w:val="414042" w:themeColor="text1"/>
        </w:rPr>
      </w:pPr>
      <w:r w:rsidRPr="00DF3006">
        <w:rPr>
          <w:color w:val="414042" w:themeColor="text1"/>
        </w:rPr>
        <w:t>Embed a culture of continuous improvement and innovation to improve performance and maximise our impact.</w:t>
      </w:r>
    </w:p>
    <w:p w14:paraId="69CD34DA" w14:textId="77777777" w:rsidR="00561686" w:rsidRPr="00DF3006" w:rsidRDefault="00561686">
      <w:pPr>
        <w:pStyle w:val="Bullets"/>
        <w:rPr>
          <w:color w:val="414042" w:themeColor="text1"/>
        </w:rPr>
      </w:pPr>
      <w:r w:rsidRPr="00DF3006">
        <w:rPr>
          <w:color w:val="414042" w:themeColor="text1"/>
        </w:rPr>
        <w:t>Strengthen change management practices to sustain the benefits of change.</w:t>
      </w:r>
    </w:p>
    <w:p w14:paraId="00716F2F" w14:textId="77777777" w:rsidR="00561686" w:rsidRPr="00DF3006" w:rsidRDefault="00561686">
      <w:pPr>
        <w:pStyle w:val="Bullets"/>
        <w:rPr>
          <w:color w:val="414042" w:themeColor="text1"/>
        </w:rPr>
      </w:pPr>
      <w:r w:rsidRPr="00DF3006">
        <w:rPr>
          <w:color w:val="414042" w:themeColor="text1"/>
        </w:rPr>
        <w:t>Establish environmental sustainability practices to minimise the impact of our operations on the environment.</w:t>
      </w:r>
    </w:p>
    <w:p w14:paraId="1AC30557" w14:textId="77777777" w:rsidR="00561686" w:rsidRPr="00DF3006" w:rsidRDefault="00561686">
      <w:pPr>
        <w:pStyle w:val="Bullets"/>
        <w:rPr>
          <w:color w:val="414042" w:themeColor="text1"/>
        </w:rPr>
        <w:sectPr w:rsidR="00561686" w:rsidRPr="00DF3006" w:rsidSect="00C77834">
          <w:headerReference w:type="even" r:id="rId296"/>
          <w:headerReference w:type="default" r:id="rId297"/>
          <w:headerReference w:type="first" r:id="rId298"/>
          <w:type w:val="continuous"/>
          <w:pgSz w:w="11906" w:h="16838" w:code="9"/>
          <w:pgMar w:top="2155" w:right="1134" w:bottom="964" w:left="1134" w:header="720" w:footer="284" w:gutter="0"/>
          <w:cols w:num="2" w:space="567"/>
          <w:noEndnote/>
          <w:docGrid w:linePitch="272"/>
        </w:sectPr>
      </w:pPr>
      <w:r w:rsidRPr="00DF3006">
        <w:rPr>
          <w:color w:val="414042" w:themeColor="text1"/>
        </w:rPr>
        <w:t>Continue to implement initiatives from reviews and inquiries to enhance public confidence.</w:t>
      </w:r>
    </w:p>
    <w:p w14:paraId="46B094FA" w14:textId="77777777" w:rsidR="00561686" w:rsidRPr="00DF3006" w:rsidRDefault="00561686" w:rsidP="007E7B4C">
      <w:pPr>
        <w:pStyle w:val="Bulletlist"/>
        <w:rPr>
          <w:color w:val="414042" w:themeColor="text1"/>
        </w:rPr>
        <w:sectPr w:rsidR="00561686" w:rsidRPr="00DF3006" w:rsidSect="00C77834">
          <w:type w:val="continuous"/>
          <w:pgSz w:w="11906" w:h="16838" w:code="9"/>
          <w:pgMar w:top="2155" w:right="1134" w:bottom="964" w:left="1134" w:header="720" w:footer="284" w:gutter="0"/>
          <w:cols w:num="2" w:space="567"/>
          <w:noEndnote/>
          <w:docGrid w:linePitch="272"/>
        </w:sectPr>
      </w:pPr>
    </w:p>
    <w:p w14:paraId="7F500CE7" w14:textId="368DB0C0" w:rsidR="00561686" w:rsidRPr="00DF3006" w:rsidRDefault="00561686" w:rsidP="00561686">
      <w:pPr>
        <w:pStyle w:val="Heading2"/>
      </w:pPr>
      <w:bookmarkStart w:id="1886" w:name="_Our_Crime_Position"/>
      <w:bookmarkEnd w:id="1886"/>
      <w:r w:rsidRPr="00DF3006">
        <w:lastRenderedPageBreak/>
        <w:t xml:space="preserve">Our </w:t>
      </w:r>
      <w:r w:rsidR="007758F0" w:rsidRPr="00DF3006">
        <w:t>Crime Position Statement</w:t>
      </w:r>
      <w:r w:rsidRPr="00DF3006">
        <w:t xml:space="preserve"> 2023–2</w:t>
      </w:r>
      <w:r w:rsidR="007758F0" w:rsidRPr="00DF3006">
        <w:t>4</w:t>
      </w:r>
    </w:p>
    <w:p w14:paraId="6495E1D9" w14:textId="11700888" w:rsidR="00561686" w:rsidRPr="00DF3006" w:rsidRDefault="007758F0" w:rsidP="007758F0">
      <w:pPr>
        <w:pStyle w:val="Openingparagraph"/>
        <w:rPr>
          <w:lang w:val="en-AU"/>
        </w:rPr>
      </w:pPr>
      <w:r w:rsidRPr="00DF3006">
        <w:rPr>
          <w:lang w:val="en-AU"/>
        </w:rPr>
        <w:t xml:space="preserve">We play an important part in the fight against serious and organised crime that affects </w:t>
      </w:r>
      <w:r w:rsidR="008E5ABF" w:rsidRPr="00DF3006">
        <w:rPr>
          <w:lang w:val="en-AU"/>
        </w:rPr>
        <w:t>the Queensland community</w:t>
      </w:r>
      <w:r w:rsidRPr="00DF3006">
        <w:rPr>
          <w:lang w:val="en-AU"/>
        </w:rPr>
        <w:t xml:space="preserve">. This is a separate </w:t>
      </w:r>
      <w:proofErr w:type="gramStart"/>
      <w:r w:rsidRPr="00DF3006">
        <w:rPr>
          <w:lang w:val="en-AU"/>
        </w:rPr>
        <w:t>role, and</w:t>
      </w:r>
      <w:proofErr w:type="gramEnd"/>
      <w:r w:rsidRPr="00DF3006">
        <w:rPr>
          <w:lang w:val="en-AU"/>
        </w:rPr>
        <w:t xml:space="preserve"> is distinct from our anti-corruption work.</w:t>
      </w:r>
      <w:r w:rsidRPr="00DF3006">
        <w:t xml:space="preserve"> </w:t>
      </w:r>
      <w:r w:rsidRPr="00DF3006">
        <w:rPr>
          <w:lang w:val="en-AU"/>
        </w:rPr>
        <w:t xml:space="preserve">The priorities for our crime work are informed by and support the Queensland Government’s priorities, </w:t>
      </w:r>
      <w:proofErr w:type="gramStart"/>
      <w:r w:rsidRPr="00DF3006">
        <w:rPr>
          <w:lang w:val="en-AU"/>
        </w:rPr>
        <w:t>commitments</w:t>
      </w:r>
      <w:proofErr w:type="gramEnd"/>
      <w:r w:rsidRPr="00DF3006">
        <w:rPr>
          <w:lang w:val="en-AU"/>
        </w:rPr>
        <w:t xml:space="preserve"> and targets. This also involves Queensland’s commitments to national strategies for fighting serious and organised crime, and associated frameworks and agreements.</w:t>
      </w:r>
    </w:p>
    <w:p w14:paraId="63FF760E" w14:textId="77777777" w:rsidR="007758F0" w:rsidRPr="00DF3006" w:rsidRDefault="007758F0" w:rsidP="00F46C96">
      <w:pPr>
        <w:pStyle w:val="Openingparagraph"/>
        <w:rPr>
          <w:lang w:val="en-AU"/>
        </w:rPr>
      </w:pPr>
    </w:p>
    <w:p w14:paraId="0C934AF3" w14:textId="39574504" w:rsidR="007758F0" w:rsidRPr="00DF3006" w:rsidRDefault="007758F0" w:rsidP="00F46C96">
      <w:pPr>
        <w:pStyle w:val="Openingparagraph"/>
        <w:rPr>
          <w:lang w:val="en-AU"/>
        </w:rPr>
        <w:sectPr w:rsidR="007758F0" w:rsidRPr="00DF3006" w:rsidSect="00C77834">
          <w:headerReference w:type="even" r:id="rId299"/>
          <w:headerReference w:type="default" r:id="rId300"/>
          <w:headerReference w:type="first" r:id="rId301"/>
          <w:type w:val="continuous"/>
          <w:pgSz w:w="11906" w:h="16838" w:code="9"/>
          <w:pgMar w:top="2155" w:right="1134" w:bottom="964" w:left="1134" w:header="720" w:footer="284" w:gutter="0"/>
          <w:cols w:space="567"/>
          <w:noEndnote/>
          <w:docGrid w:linePitch="272"/>
        </w:sectPr>
      </w:pPr>
    </w:p>
    <w:p w14:paraId="5C4CABF3" w14:textId="12040F51" w:rsidR="005F69AD" w:rsidRPr="00DF3006" w:rsidRDefault="00FC72A7" w:rsidP="005F69AD">
      <w:pPr>
        <w:rPr>
          <w:color w:val="414042" w:themeColor="text1"/>
        </w:rPr>
      </w:pPr>
      <w:r w:rsidRPr="00DF3006">
        <w:rPr>
          <w:color w:val="414042" w:themeColor="text1"/>
        </w:rPr>
        <w:t>Every year, we undertake a review of our crime function</w:t>
      </w:r>
      <w:r w:rsidR="007520A5" w:rsidRPr="00DF3006">
        <w:rPr>
          <w:color w:val="414042" w:themeColor="text1"/>
        </w:rPr>
        <w:t xml:space="preserve"> </w:t>
      </w:r>
      <w:r w:rsidRPr="00DF3006">
        <w:rPr>
          <w:color w:val="414042" w:themeColor="text1"/>
        </w:rPr>
        <w:t>to ensur</w:t>
      </w:r>
      <w:r w:rsidR="008E5ABF" w:rsidRPr="00DF3006">
        <w:rPr>
          <w:color w:val="414042" w:themeColor="text1"/>
        </w:rPr>
        <w:t>e</w:t>
      </w:r>
      <w:r w:rsidRPr="00DF3006">
        <w:rPr>
          <w:color w:val="414042" w:themeColor="text1"/>
        </w:rPr>
        <w:t xml:space="preserve"> we are informed and responding in the right areas, and in the right way.</w:t>
      </w:r>
    </w:p>
    <w:p w14:paraId="5390948E" w14:textId="4E391C18" w:rsidR="00FC72A7" w:rsidRPr="00DF3006" w:rsidRDefault="00FC72A7" w:rsidP="005F69AD">
      <w:pPr>
        <w:rPr>
          <w:color w:val="414042" w:themeColor="text1"/>
        </w:rPr>
      </w:pPr>
      <w:r w:rsidRPr="00DF3006">
        <w:rPr>
          <w:color w:val="414042" w:themeColor="text1"/>
        </w:rPr>
        <w:t xml:space="preserve">Our </w:t>
      </w:r>
      <w:r w:rsidRPr="00DF3006">
        <w:rPr>
          <w:i/>
          <w:iCs/>
          <w:color w:val="414042" w:themeColor="text1"/>
        </w:rPr>
        <w:t>Crime Position Statement 2023–24</w:t>
      </w:r>
      <w:r w:rsidRPr="00DF3006">
        <w:rPr>
          <w:color w:val="414042" w:themeColor="text1"/>
        </w:rPr>
        <w:t xml:space="preserve"> defines our strategic focus areas for the year ahead:</w:t>
      </w:r>
    </w:p>
    <w:p w14:paraId="3BBF69E8" w14:textId="32E7DD2D" w:rsidR="00FC72A7" w:rsidRPr="00DF3006" w:rsidRDefault="00FC72A7" w:rsidP="000E2408">
      <w:pPr>
        <w:pStyle w:val="Bullets"/>
        <w:rPr>
          <w:color w:val="414042" w:themeColor="text1"/>
        </w:rPr>
      </w:pPr>
      <w:r w:rsidRPr="00DF3006">
        <w:rPr>
          <w:b/>
          <w:bCs/>
          <w:color w:val="414042" w:themeColor="text1"/>
        </w:rPr>
        <w:t>Illicit markets of high value and high public impact —</w:t>
      </w:r>
      <w:r w:rsidRPr="00DF3006">
        <w:rPr>
          <w:color w:val="414042" w:themeColor="text1"/>
        </w:rPr>
        <w:t xml:space="preserve"> The CCC is concerned with illicit market activity that enables or involves the commission of serious and organised criminal offending, produces significant financial returns for those involved and delivers the most devastating impacts on Queenslanders, their families and community.</w:t>
      </w:r>
    </w:p>
    <w:p w14:paraId="1D780FBF" w14:textId="06731679" w:rsidR="00FC72A7" w:rsidRPr="00DF3006" w:rsidRDefault="00FC72A7" w:rsidP="000E2408">
      <w:pPr>
        <w:pStyle w:val="Bullets"/>
        <w:rPr>
          <w:color w:val="414042" w:themeColor="text1"/>
        </w:rPr>
      </w:pPr>
      <w:r w:rsidRPr="00DF3006">
        <w:rPr>
          <w:b/>
          <w:bCs/>
          <w:color w:val="414042" w:themeColor="text1"/>
        </w:rPr>
        <w:t>Crimes involving loss of life or serious injury —</w:t>
      </w:r>
      <w:r w:rsidRPr="00DF3006">
        <w:rPr>
          <w:color w:val="414042" w:themeColor="text1"/>
        </w:rPr>
        <w:t xml:space="preserve"> Offenders often act alone but not always, and frequently offending involves domestic violence or organised crime. Offences of this kind that are difficult to solve are often the most complex crimes, are premeditated or highly planned, and involve multiple motivated suspects. CCC’s coercive hearing powers are particularly effective in assisting the QPS in meeting these challenges.</w:t>
      </w:r>
    </w:p>
    <w:p w14:paraId="09230505" w14:textId="7A0DFD1C" w:rsidR="00FC72A7" w:rsidRPr="00DF3006" w:rsidRDefault="00FC72A7" w:rsidP="000E2408">
      <w:pPr>
        <w:pStyle w:val="Bullets"/>
        <w:rPr>
          <w:color w:val="414042" w:themeColor="text1"/>
        </w:rPr>
      </w:pPr>
      <w:r w:rsidRPr="00DF3006">
        <w:rPr>
          <w:b/>
          <w:bCs/>
          <w:color w:val="414042" w:themeColor="text1"/>
        </w:rPr>
        <w:t>Crimes against children and vulnerable people —</w:t>
      </w:r>
      <w:r w:rsidRPr="00DF3006">
        <w:rPr>
          <w:color w:val="414042" w:themeColor="text1"/>
        </w:rPr>
        <w:t xml:space="preserve"> Crimes against the vulnerable can be particularly difficult to prevent, detect or solve through conventional methods of investigation. Offending often occurs out of sight, physical or forensic evidence is likely to be compromised or destroyed, more than one suspect may be involved, and witnesses may be unwilling to cooperate with authorities out of fear, or because of their relationship with the offender.</w:t>
      </w:r>
    </w:p>
    <w:p w14:paraId="303FA9FA" w14:textId="1DC57A18" w:rsidR="00FC72A7" w:rsidRPr="00DF3006" w:rsidRDefault="00CB1287" w:rsidP="00FC72A7">
      <w:pPr>
        <w:rPr>
          <w:color w:val="414042" w:themeColor="text1"/>
        </w:rPr>
      </w:pPr>
      <w:r w:rsidRPr="00DF3006">
        <w:rPr>
          <w:color w:val="414042" w:themeColor="text1"/>
        </w:rPr>
        <w:br w:type="column"/>
      </w:r>
      <w:r w:rsidR="00FC72A7" w:rsidRPr="00DF3006">
        <w:rPr>
          <w:color w:val="414042" w:themeColor="text1"/>
        </w:rPr>
        <w:t xml:space="preserve">Our </w:t>
      </w:r>
      <w:r w:rsidR="00FC72A7" w:rsidRPr="00DF3006">
        <w:rPr>
          <w:i/>
          <w:iCs/>
          <w:color w:val="414042" w:themeColor="text1"/>
        </w:rPr>
        <w:t>Matter Prioritisation Model</w:t>
      </w:r>
      <w:r w:rsidR="00FC72A7" w:rsidRPr="00DF3006">
        <w:rPr>
          <w:color w:val="414042" w:themeColor="text1"/>
        </w:rPr>
        <w:t xml:space="preserve"> ensures the principles for our engagement, and these priorities translate into our assessment and review processes so that our case and project selection is consistent and transparent, considers stakeholder value and is supported by a sound public interest rationale.</w:t>
      </w:r>
    </w:p>
    <w:p w14:paraId="54B435B9" w14:textId="077E43EE" w:rsidR="00B43636" w:rsidRPr="00DF3006" w:rsidRDefault="00FC72A7" w:rsidP="00FC72A7">
      <w:pPr>
        <w:rPr>
          <w:color w:val="414042" w:themeColor="text1"/>
        </w:rPr>
      </w:pPr>
      <w:r w:rsidRPr="00DF3006">
        <w:rPr>
          <w:color w:val="414042" w:themeColor="text1"/>
        </w:rPr>
        <w:t xml:space="preserve">Our decision-making at all levels is additionally supported by a </w:t>
      </w:r>
      <w:r w:rsidRPr="00DF3006">
        <w:rPr>
          <w:i/>
          <w:iCs/>
          <w:color w:val="414042" w:themeColor="text1"/>
        </w:rPr>
        <w:t>Stakeholder Engagement Strategy</w:t>
      </w:r>
      <w:r w:rsidRPr="00DF3006">
        <w:rPr>
          <w:color w:val="414042" w:themeColor="text1"/>
        </w:rPr>
        <w:t xml:space="preserve"> that ensures we understand and capture stakeholder issues and concerns, manage strategic risk, learn from our stakeholders, pool resources, share capabilities, and solve problems and achieve outcomes we could not achieve alone.</w:t>
      </w:r>
    </w:p>
    <w:p w14:paraId="482D3E49" w14:textId="77777777" w:rsidR="00CB1287" w:rsidRPr="00DF3006" w:rsidRDefault="00CB1287" w:rsidP="00FC72A7">
      <w:pPr>
        <w:rPr>
          <w:color w:val="414042" w:themeColor="text1"/>
        </w:rPr>
      </w:pPr>
    </w:p>
    <w:p w14:paraId="2E1D3A89" w14:textId="77777777" w:rsidR="005F69AD" w:rsidRPr="00DF3006" w:rsidRDefault="005F69AD" w:rsidP="00561686">
      <w:pPr>
        <w:pStyle w:val="Heading2"/>
        <w:sectPr w:rsidR="005F69AD" w:rsidRPr="00DF3006" w:rsidSect="0082068D">
          <w:type w:val="continuous"/>
          <w:pgSz w:w="11906" w:h="16838" w:code="9"/>
          <w:pgMar w:top="2155" w:right="991" w:bottom="964" w:left="1134" w:header="720" w:footer="284" w:gutter="0"/>
          <w:cols w:num="2" w:space="288"/>
          <w:noEndnote/>
          <w:docGrid w:linePitch="272"/>
        </w:sectPr>
      </w:pPr>
    </w:p>
    <w:p w14:paraId="69AA33D8" w14:textId="034DD22E" w:rsidR="007758F0" w:rsidRPr="00DF3006" w:rsidRDefault="007758F0" w:rsidP="007758F0">
      <w:pPr>
        <w:pStyle w:val="Heading2"/>
      </w:pPr>
      <w:bookmarkStart w:id="1887" w:name="_Our_new_Corruption"/>
      <w:bookmarkEnd w:id="1887"/>
      <w:r w:rsidRPr="00DF3006">
        <w:lastRenderedPageBreak/>
        <w:t>Our new Corruption Strategy 2023–27</w:t>
      </w:r>
    </w:p>
    <w:p w14:paraId="318B4400" w14:textId="423C05FD" w:rsidR="007758F0" w:rsidRPr="00DF3006" w:rsidRDefault="007758F0" w:rsidP="007758F0">
      <w:pPr>
        <w:pStyle w:val="Openingparagraph"/>
        <w:rPr>
          <w:lang w:val="en-AU"/>
        </w:rPr>
      </w:pPr>
      <w:r w:rsidRPr="00DF3006">
        <w:rPr>
          <w:lang w:val="en-AU"/>
        </w:rPr>
        <w:t xml:space="preserve">A </w:t>
      </w:r>
      <w:r w:rsidRPr="00DF3006">
        <w:t>critical</w:t>
      </w:r>
      <w:r w:rsidRPr="00DF3006">
        <w:rPr>
          <w:lang w:val="en-AU"/>
        </w:rPr>
        <w:t xml:space="preserve"> pillar of our transformation journey is our new </w:t>
      </w:r>
      <w:r w:rsidRPr="00DF3006">
        <w:rPr>
          <w:i/>
          <w:iCs/>
          <w:lang w:val="en-AU"/>
        </w:rPr>
        <w:t>Corruption Strategy 2023–27</w:t>
      </w:r>
      <w:r w:rsidRPr="00DF3006">
        <w:rPr>
          <w:lang w:val="en-AU"/>
        </w:rPr>
        <w:t xml:space="preserve">, which </w:t>
      </w:r>
      <w:r w:rsidRPr="00DF3006">
        <w:rPr>
          <w:lang w:val="en-GB"/>
        </w:rPr>
        <w:t>has been developed to position and transform our corruption function over the next four years</w:t>
      </w:r>
      <w:r w:rsidRPr="00DF3006">
        <w:rPr>
          <w:lang w:val="en-AU"/>
        </w:rPr>
        <w:t xml:space="preserve">. It reflects the evolving integrity landscape, incorporates the views expressed through </w:t>
      </w:r>
      <w:r w:rsidR="008E5ABF" w:rsidRPr="00DF3006">
        <w:rPr>
          <w:lang w:val="en-AU"/>
        </w:rPr>
        <w:t xml:space="preserve">engagement </w:t>
      </w:r>
      <w:r w:rsidRPr="00DF3006">
        <w:rPr>
          <w:lang w:val="en-AU"/>
        </w:rPr>
        <w:t>with our internal and external stakeholders, and considers findings from our research into ways we can better deliver our services.</w:t>
      </w:r>
    </w:p>
    <w:p w14:paraId="48303E95" w14:textId="77777777" w:rsidR="007758F0" w:rsidRPr="00DF3006" w:rsidRDefault="007758F0" w:rsidP="007758F0">
      <w:pPr>
        <w:pStyle w:val="Openingparagraph"/>
        <w:rPr>
          <w:lang w:val="en-AU"/>
        </w:rPr>
      </w:pPr>
    </w:p>
    <w:p w14:paraId="4193D99C" w14:textId="46BC7DBB" w:rsidR="007758F0" w:rsidRPr="00DF3006" w:rsidRDefault="007758F0" w:rsidP="000E2408">
      <w:pPr>
        <w:rPr>
          <w:color w:val="414042" w:themeColor="text1"/>
        </w:rPr>
        <w:sectPr w:rsidR="007758F0" w:rsidRPr="00DF3006" w:rsidSect="00C77834">
          <w:headerReference w:type="even" r:id="rId302"/>
          <w:headerReference w:type="default" r:id="rId303"/>
          <w:headerReference w:type="first" r:id="rId304"/>
          <w:type w:val="continuous"/>
          <w:pgSz w:w="11906" w:h="16838" w:code="9"/>
          <w:pgMar w:top="2155" w:right="1134" w:bottom="964" w:left="1134" w:header="720" w:footer="284" w:gutter="0"/>
          <w:cols w:space="567"/>
          <w:noEndnote/>
          <w:docGrid w:linePitch="272"/>
        </w:sectPr>
      </w:pPr>
    </w:p>
    <w:p w14:paraId="600FFDFA" w14:textId="12435114" w:rsidR="007758F0" w:rsidRPr="00DF3006" w:rsidRDefault="007758F0" w:rsidP="007758F0">
      <w:pPr>
        <w:rPr>
          <w:color w:val="414042" w:themeColor="text1"/>
        </w:rPr>
      </w:pPr>
      <w:r w:rsidRPr="00DF3006">
        <w:rPr>
          <w:color w:val="414042" w:themeColor="text1"/>
        </w:rPr>
        <w:t xml:space="preserve">During the reporting period, we conducted a major review of the corruption strategy to support the transformation of our corruption function. </w:t>
      </w:r>
      <w:r w:rsidRPr="00DF3006">
        <w:rPr>
          <w:color w:val="414042" w:themeColor="text1"/>
          <w:szCs w:val="20"/>
        </w:rPr>
        <w:t xml:space="preserve">Internal </w:t>
      </w:r>
      <w:r w:rsidR="008E5ABF" w:rsidRPr="00DF3006">
        <w:rPr>
          <w:color w:val="414042" w:themeColor="text1"/>
          <w:szCs w:val="20"/>
        </w:rPr>
        <w:t xml:space="preserve">engagement </w:t>
      </w:r>
      <w:r w:rsidRPr="00DF3006">
        <w:rPr>
          <w:color w:val="414042" w:themeColor="text1"/>
          <w:szCs w:val="20"/>
        </w:rPr>
        <w:t xml:space="preserve">included four workshops with Corruption division staff to seek their input and ideas on what to stop, start or continue doing in the future. A total of 39 external stakeholder </w:t>
      </w:r>
      <w:r w:rsidR="008E5ABF" w:rsidRPr="00DF3006">
        <w:rPr>
          <w:color w:val="414042" w:themeColor="text1"/>
          <w:szCs w:val="20"/>
        </w:rPr>
        <w:t xml:space="preserve">engagement </w:t>
      </w:r>
      <w:r w:rsidRPr="00DF3006">
        <w:rPr>
          <w:color w:val="414042" w:themeColor="text1"/>
          <w:szCs w:val="20"/>
        </w:rPr>
        <w:t xml:space="preserve">sessions were held. Our draft strategy was distributed to 240 units of public administration for their feedback prior to finalisation. A total of 25 responses providing feedback in support of the strategy were received from </w:t>
      </w:r>
      <w:r w:rsidRPr="00DF3006">
        <w:rPr>
          <w:color w:val="414042" w:themeColor="text1"/>
        </w:rPr>
        <w:t>eight public service departments, three local governments, 13 other types of public sector agencies (</w:t>
      </w:r>
      <w:proofErr w:type="gramStart"/>
      <w:r w:rsidRPr="00DF3006">
        <w:rPr>
          <w:color w:val="414042" w:themeColor="text1"/>
        </w:rPr>
        <w:t>e.g.</w:t>
      </w:r>
      <w:proofErr w:type="gramEnd"/>
      <w:r w:rsidRPr="00DF3006">
        <w:rPr>
          <w:color w:val="414042" w:themeColor="text1"/>
        </w:rPr>
        <w:t xml:space="preserve"> government owned corporations, statutory authorities), and one hospital and health service.</w:t>
      </w:r>
    </w:p>
    <w:p w14:paraId="608F4486" w14:textId="3B8A2EE1" w:rsidR="007758F0" w:rsidRPr="00DF3006" w:rsidRDefault="007758F0" w:rsidP="007758F0">
      <w:pPr>
        <w:rPr>
          <w:color w:val="414042" w:themeColor="text1"/>
        </w:rPr>
      </w:pPr>
      <w:r w:rsidRPr="00DF3006">
        <w:rPr>
          <w:color w:val="414042" w:themeColor="text1"/>
        </w:rPr>
        <w:t xml:space="preserve">Our </w:t>
      </w:r>
      <w:r w:rsidRPr="00DF3006">
        <w:rPr>
          <w:i/>
          <w:iCs/>
          <w:color w:val="414042" w:themeColor="text1"/>
        </w:rPr>
        <w:t>Corruption Strategy 2023–27</w:t>
      </w:r>
      <w:r w:rsidRPr="00DF3006">
        <w:rPr>
          <w:color w:val="414042" w:themeColor="text1"/>
        </w:rPr>
        <w:t xml:space="preserve"> defines our vision and ambition for the future and outlines our objectives and priorities </w:t>
      </w:r>
      <w:r w:rsidRPr="00DF3006">
        <w:rPr>
          <w:color w:val="414042" w:themeColor="text1"/>
          <w:szCs w:val="20"/>
        </w:rPr>
        <w:t>developed to position and transform our corruption function over the next four years</w:t>
      </w:r>
      <w:r w:rsidRPr="00DF3006">
        <w:rPr>
          <w:color w:val="414042" w:themeColor="text1"/>
        </w:rPr>
        <w:t xml:space="preserve"> to achieve this.</w:t>
      </w:r>
    </w:p>
    <w:p w14:paraId="7344A750" w14:textId="77777777" w:rsidR="007758F0" w:rsidRPr="00DF3006" w:rsidRDefault="007758F0" w:rsidP="00E6066A">
      <w:pPr>
        <w:pStyle w:val="Heading3"/>
      </w:pPr>
      <w:r w:rsidRPr="00DF3006">
        <w:t>OBJECTIVE: Queenslanders have confidence in the work we do</w:t>
      </w:r>
    </w:p>
    <w:p w14:paraId="2BD391B7" w14:textId="77777777" w:rsidR="007758F0" w:rsidRPr="00DF3006" w:rsidRDefault="007758F0" w:rsidP="000E2408">
      <w:pPr>
        <w:pStyle w:val="Bullets"/>
        <w:rPr>
          <w:color w:val="414042" w:themeColor="text1"/>
        </w:rPr>
      </w:pPr>
      <w:r w:rsidRPr="00DF3006">
        <w:rPr>
          <w:b/>
          <w:bCs/>
          <w:color w:val="414042" w:themeColor="text1"/>
        </w:rPr>
        <w:t>Data led</w:t>
      </w:r>
      <w:r w:rsidRPr="00DF3006">
        <w:rPr>
          <w:color w:val="414042" w:themeColor="text1"/>
        </w:rPr>
        <w:t xml:space="preserve"> — data and insights inform every decision we </w:t>
      </w:r>
      <w:proofErr w:type="gramStart"/>
      <w:r w:rsidRPr="00DF3006">
        <w:rPr>
          <w:color w:val="414042" w:themeColor="text1"/>
        </w:rPr>
        <w:t>make</w:t>
      </w:r>
      <w:proofErr w:type="gramEnd"/>
    </w:p>
    <w:p w14:paraId="6E89D173" w14:textId="77777777" w:rsidR="007758F0" w:rsidRPr="00DF3006" w:rsidRDefault="007758F0" w:rsidP="000E2408">
      <w:pPr>
        <w:pStyle w:val="Bullets"/>
        <w:rPr>
          <w:color w:val="414042" w:themeColor="text1"/>
        </w:rPr>
      </w:pPr>
      <w:r w:rsidRPr="00DF3006">
        <w:rPr>
          <w:b/>
          <w:bCs/>
          <w:color w:val="414042" w:themeColor="text1"/>
        </w:rPr>
        <w:t>Maximum impact</w:t>
      </w:r>
      <w:r w:rsidRPr="00DF3006">
        <w:rPr>
          <w:color w:val="414042" w:themeColor="text1"/>
        </w:rPr>
        <w:t xml:space="preserve"> — serious and systemic corruption is our </w:t>
      </w:r>
      <w:proofErr w:type="gramStart"/>
      <w:r w:rsidRPr="00DF3006">
        <w:rPr>
          <w:color w:val="414042" w:themeColor="text1"/>
        </w:rPr>
        <w:t>focus</w:t>
      </w:r>
      <w:proofErr w:type="gramEnd"/>
    </w:p>
    <w:p w14:paraId="38351CEB" w14:textId="77777777" w:rsidR="007758F0" w:rsidRPr="00DF3006" w:rsidRDefault="007758F0" w:rsidP="000E2408">
      <w:pPr>
        <w:pStyle w:val="Bullets"/>
        <w:rPr>
          <w:color w:val="414042" w:themeColor="text1"/>
        </w:rPr>
      </w:pPr>
      <w:r w:rsidRPr="00DF3006">
        <w:rPr>
          <w:b/>
          <w:bCs/>
          <w:color w:val="414042" w:themeColor="text1"/>
        </w:rPr>
        <w:t>Informed complaint referral</w:t>
      </w:r>
      <w:r w:rsidRPr="00DF3006">
        <w:rPr>
          <w:color w:val="414042" w:themeColor="text1"/>
        </w:rPr>
        <w:t xml:space="preserve"> — supports shared responsibility for dealing with complaints, and</w:t>
      </w:r>
    </w:p>
    <w:p w14:paraId="68A32BD3" w14:textId="77777777" w:rsidR="007758F0" w:rsidRPr="00DF3006" w:rsidRDefault="007758F0" w:rsidP="000E2408">
      <w:pPr>
        <w:pStyle w:val="Bullets"/>
        <w:rPr>
          <w:color w:val="414042" w:themeColor="text1"/>
        </w:rPr>
      </w:pPr>
      <w:r w:rsidRPr="00DF3006">
        <w:rPr>
          <w:b/>
          <w:bCs/>
          <w:color w:val="414042" w:themeColor="text1"/>
        </w:rPr>
        <w:t>Connected, accessible and transparent</w:t>
      </w:r>
      <w:r w:rsidRPr="00DF3006">
        <w:rPr>
          <w:color w:val="414042" w:themeColor="text1"/>
        </w:rPr>
        <w:t xml:space="preserve"> — working together with our partners.</w:t>
      </w:r>
    </w:p>
    <w:p w14:paraId="56D5304B" w14:textId="7F7EAC39" w:rsidR="007758F0" w:rsidRPr="00DF3006" w:rsidRDefault="007758F0" w:rsidP="00E6066A">
      <w:pPr>
        <w:pStyle w:val="Heading3"/>
      </w:pPr>
      <w:r w:rsidRPr="00DF3006">
        <w:t>OBJECTIVE: Successful transformation</w:t>
      </w:r>
    </w:p>
    <w:p w14:paraId="4BAA83A3" w14:textId="77777777" w:rsidR="007758F0" w:rsidRPr="00DF3006" w:rsidRDefault="007758F0" w:rsidP="000E2408">
      <w:pPr>
        <w:pStyle w:val="Bullets"/>
        <w:rPr>
          <w:color w:val="414042" w:themeColor="text1"/>
        </w:rPr>
      </w:pPr>
      <w:r w:rsidRPr="00DF3006">
        <w:rPr>
          <w:b/>
          <w:bCs/>
          <w:color w:val="414042" w:themeColor="text1"/>
        </w:rPr>
        <w:t>Queensland’s corruption data asset</w:t>
      </w:r>
      <w:r w:rsidRPr="00DF3006">
        <w:rPr>
          <w:color w:val="414042" w:themeColor="text1"/>
        </w:rPr>
        <w:t xml:space="preserve"> — collaborative data and insights initiatives</w:t>
      </w:r>
    </w:p>
    <w:p w14:paraId="6788EE9C" w14:textId="77777777" w:rsidR="007758F0" w:rsidRPr="00DF3006" w:rsidRDefault="007758F0" w:rsidP="000E2408">
      <w:pPr>
        <w:pStyle w:val="Bullets"/>
        <w:rPr>
          <w:color w:val="414042" w:themeColor="text1"/>
        </w:rPr>
      </w:pPr>
      <w:r w:rsidRPr="00DF3006">
        <w:rPr>
          <w:b/>
          <w:bCs/>
          <w:color w:val="414042" w:themeColor="text1"/>
        </w:rPr>
        <w:t>Redesign the way we work</w:t>
      </w:r>
      <w:r w:rsidRPr="00DF3006">
        <w:rPr>
          <w:color w:val="414042" w:themeColor="text1"/>
        </w:rPr>
        <w:t xml:space="preserve"> — flexible operating models enable us to adapt and </w:t>
      </w:r>
      <w:proofErr w:type="gramStart"/>
      <w:r w:rsidRPr="00DF3006">
        <w:rPr>
          <w:color w:val="414042" w:themeColor="text1"/>
        </w:rPr>
        <w:t>respond</w:t>
      </w:r>
      <w:proofErr w:type="gramEnd"/>
    </w:p>
    <w:p w14:paraId="0B36D42E" w14:textId="77777777" w:rsidR="007758F0" w:rsidRPr="00DF3006" w:rsidRDefault="007758F0" w:rsidP="000E2408">
      <w:pPr>
        <w:pStyle w:val="Bullets"/>
        <w:rPr>
          <w:color w:val="414042" w:themeColor="text1"/>
        </w:rPr>
      </w:pPr>
      <w:r w:rsidRPr="00DF3006">
        <w:rPr>
          <w:b/>
          <w:bCs/>
          <w:color w:val="414042" w:themeColor="text1"/>
        </w:rPr>
        <w:t xml:space="preserve">Innovate, </w:t>
      </w:r>
      <w:proofErr w:type="gramStart"/>
      <w:r w:rsidRPr="00DF3006">
        <w:rPr>
          <w:b/>
          <w:bCs/>
          <w:color w:val="414042" w:themeColor="text1"/>
        </w:rPr>
        <w:t>digitise</w:t>
      </w:r>
      <w:proofErr w:type="gramEnd"/>
      <w:r w:rsidRPr="00DF3006">
        <w:rPr>
          <w:b/>
          <w:bCs/>
          <w:color w:val="414042" w:themeColor="text1"/>
        </w:rPr>
        <w:t xml:space="preserve"> and automate</w:t>
      </w:r>
      <w:r w:rsidRPr="00DF3006">
        <w:rPr>
          <w:color w:val="414042" w:themeColor="text1"/>
        </w:rPr>
        <w:t xml:space="preserve"> — leveraging technology to improve our efficiency and effectiveness, and</w:t>
      </w:r>
    </w:p>
    <w:p w14:paraId="5176A5B4" w14:textId="77777777" w:rsidR="007758F0" w:rsidRPr="00DF3006" w:rsidRDefault="007758F0" w:rsidP="000E2408">
      <w:pPr>
        <w:pStyle w:val="Bullets"/>
        <w:rPr>
          <w:color w:val="414042" w:themeColor="text1"/>
          <w:szCs w:val="20"/>
        </w:rPr>
      </w:pPr>
      <w:r w:rsidRPr="00DF3006">
        <w:rPr>
          <w:b/>
          <w:bCs/>
          <w:color w:val="414042" w:themeColor="text1"/>
        </w:rPr>
        <w:t xml:space="preserve">Capable, </w:t>
      </w:r>
      <w:proofErr w:type="gramStart"/>
      <w:r w:rsidRPr="00DF3006">
        <w:rPr>
          <w:b/>
          <w:bCs/>
          <w:color w:val="414042" w:themeColor="text1"/>
        </w:rPr>
        <w:t>empowered</w:t>
      </w:r>
      <w:proofErr w:type="gramEnd"/>
      <w:r w:rsidRPr="00DF3006">
        <w:rPr>
          <w:b/>
          <w:bCs/>
          <w:color w:val="414042" w:themeColor="text1"/>
        </w:rPr>
        <w:t xml:space="preserve"> and adaptable workforce</w:t>
      </w:r>
      <w:r w:rsidRPr="00DF3006">
        <w:rPr>
          <w:color w:val="414042" w:themeColor="text1"/>
        </w:rPr>
        <w:t xml:space="preserve"> — enabling people to perform at their best.</w:t>
      </w:r>
    </w:p>
    <w:p w14:paraId="4FBFBEAF" w14:textId="39A201BD" w:rsidR="007758F0" w:rsidRPr="00DF3006" w:rsidRDefault="007758F0" w:rsidP="007758F0">
      <w:pPr>
        <w:rPr>
          <w:color w:val="414042" w:themeColor="text1"/>
        </w:rPr>
      </w:pPr>
      <w:r w:rsidRPr="00DF3006">
        <w:rPr>
          <w:color w:val="414042" w:themeColor="text1"/>
        </w:rPr>
        <w:t xml:space="preserve">Our strategy is supported by a four-year roadmap of strategic initiatives, along with significant investment in resourcing to support our transformation and delivery of recommendations from external inquiries and reviews, including those arising from the </w:t>
      </w:r>
      <w:r w:rsidRPr="00DF3006">
        <w:rPr>
          <w:i/>
          <w:iCs/>
          <w:color w:val="414042" w:themeColor="text1"/>
        </w:rPr>
        <w:t>Fitzgerald/Wilson Inquiry</w:t>
      </w:r>
      <w:r w:rsidRPr="00DF3006">
        <w:rPr>
          <w:noProof/>
          <w:color w:val="414042" w:themeColor="text1"/>
          <w:lang w:eastAsia="en-AU"/>
        </w:rPr>
        <w:t xml:space="preserve"> and </w:t>
      </w:r>
      <w:r w:rsidRPr="00DF3006">
        <w:rPr>
          <w:i/>
          <w:iCs/>
          <w:noProof/>
          <w:color w:val="414042" w:themeColor="text1"/>
          <w:lang w:eastAsia="en-AU"/>
        </w:rPr>
        <w:t>Five-Year Review 2021</w:t>
      </w:r>
      <w:r w:rsidRPr="00DF3006">
        <w:rPr>
          <w:color w:val="414042" w:themeColor="text1"/>
        </w:rPr>
        <w:t xml:space="preserve">. </w:t>
      </w:r>
    </w:p>
    <w:p w14:paraId="0A0326AE" w14:textId="77777777" w:rsidR="007758F0" w:rsidRPr="00DF3006" w:rsidRDefault="007758F0" w:rsidP="007758F0">
      <w:pPr>
        <w:rPr>
          <w:color w:val="414042" w:themeColor="text1"/>
        </w:rPr>
      </w:pPr>
      <w:r w:rsidRPr="00DF3006">
        <w:rPr>
          <w:color w:val="414042" w:themeColor="text1"/>
        </w:rPr>
        <w:t>Our new strategy recognises the increasing value of data to prevent and investigate corruption, sharpens our focus on serious and system corruption, creates shared responsibility for dealing with complaints, and increases our connections with stakeholders and transparency to build trust in the work we do. The strategy also recognises increased automation, data analytics and digitalisation are increasingly important components to preventing and investigating corruption.</w:t>
      </w:r>
    </w:p>
    <w:p w14:paraId="35EF924A" w14:textId="3F353392" w:rsidR="007758F0" w:rsidRPr="00DF3006" w:rsidRDefault="007758F0" w:rsidP="007758F0">
      <w:pPr>
        <w:rPr>
          <w:color w:val="414042" w:themeColor="text1"/>
        </w:rPr>
      </w:pPr>
      <w:r w:rsidRPr="00DF3006">
        <w:rPr>
          <w:color w:val="414042" w:themeColor="text1"/>
        </w:rPr>
        <w:t xml:space="preserve">Over the coming years, we will work with </w:t>
      </w:r>
      <w:r w:rsidR="008E5ABF" w:rsidRPr="00DF3006">
        <w:rPr>
          <w:color w:val="414042" w:themeColor="text1"/>
        </w:rPr>
        <w:t>UPAs</w:t>
      </w:r>
      <w:r w:rsidRPr="00DF3006">
        <w:rPr>
          <w:color w:val="414042" w:themeColor="text1"/>
        </w:rPr>
        <w:t xml:space="preserve"> and relevant third parties to build Queensland’s corruption data asset, which will enhance our understanding of corruption in Queensland.</w:t>
      </w:r>
    </w:p>
    <w:p w14:paraId="42CBF9BF" w14:textId="77777777" w:rsidR="007758F0" w:rsidRPr="00DF3006" w:rsidRDefault="007758F0" w:rsidP="007758F0">
      <w:pPr>
        <w:rPr>
          <w:color w:val="414042" w:themeColor="text1"/>
        </w:rPr>
      </w:pPr>
      <w:r w:rsidRPr="00DF3006">
        <w:rPr>
          <w:color w:val="414042" w:themeColor="text1"/>
        </w:rPr>
        <w:t xml:space="preserve">Our strategy is also redesigning the way we work, to ensure we have the right culture, organisational flexibility, investigative and prevention capabilities, </w:t>
      </w:r>
      <w:proofErr w:type="gramStart"/>
      <w:r w:rsidRPr="00DF3006">
        <w:rPr>
          <w:color w:val="414042" w:themeColor="text1"/>
        </w:rPr>
        <w:t>information</w:t>
      </w:r>
      <w:proofErr w:type="gramEnd"/>
      <w:r w:rsidRPr="00DF3006">
        <w:rPr>
          <w:color w:val="414042" w:themeColor="text1"/>
        </w:rPr>
        <w:t xml:space="preserve"> and systems, and checks and balances necessary to deal with corruption in Queensland.</w:t>
      </w:r>
    </w:p>
    <w:p w14:paraId="2ACF3EC8" w14:textId="3510612B" w:rsidR="007758F0" w:rsidRPr="00DF3006" w:rsidRDefault="007758F0" w:rsidP="007758F0">
      <w:pPr>
        <w:rPr>
          <w:color w:val="414042" w:themeColor="text1"/>
        </w:rPr>
        <w:sectPr w:rsidR="007758F0" w:rsidRPr="00DF3006" w:rsidSect="007758F0">
          <w:type w:val="continuous"/>
          <w:pgSz w:w="11906" w:h="16838" w:code="9"/>
          <w:pgMar w:top="2155" w:right="1134" w:bottom="964" w:left="1134" w:header="720" w:footer="284" w:gutter="0"/>
          <w:cols w:num="2" w:space="567"/>
          <w:noEndnote/>
          <w:docGrid w:linePitch="272"/>
        </w:sectPr>
      </w:pPr>
      <w:r w:rsidRPr="00DF3006">
        <w:rPr>
          <w:color w:val="414042" w:themeColor="text1"/>
        </w:rPr>
        <w:t xml:space="preserve">Central to our strategy is our commitment to sharpen our focus to deliver greater impact, taking a more collaborative approach to engaging with our partners, and delivering greater insights and proactive corruption prevention services. By implementing this strategy, we will connect people, insights, and technologies to reduce serious and systemic corruption across Queensland. </w:t>
      </w:r>
    </w:p>
    <w:p w14:paraId="30885CDC" w14:textId="13B8C057" w:rsidR="00561686" w:rsidRPr="00DF3006" w:rsidRDefault="00562080" w:rsidP="00561686">
      <w:pPr>
        <w:pStyle w:val="Heading2"/>
      </w:pPr>
      <w:bookmarkStart w:id="1888" w:name="_Our_revised_enabling"/>
      <w:bookmarkEnd w:id="1888"/>
      <w:r w:rsidRPr="00DF3006">
        <w:rPr>
          <w:noProof/>
        </w:rPr>
        <w:lastRenderedPageBreak/>
        <w:drawing>
          <wp:anchor distT="0" distB="0" distL="114300" distR="114300" simplePos="0" relativeHeight="252398592" behindDoc="1" locked="0" layoutInCell="1" allowOverlap="1" wp14:anchorId="4019CFDF" wp14:editId="53813311">
            <wp:simplePos x="0" y="0"/>
            <wp:positionH relativeFrom="page">
              <wp:posOffset>-3544</wp:posOffset>
            </wp:positionH>
            <wp:positionV relativeFrom="paragraph">
              <wp:posOffset>-1367701</wp:posOffset>
            </wp:positionV>
            <wp:extent cx="7558765" cy="10691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05">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561686" w:rsidRPr="00DF3006">
        <w:t>Our revised enabling strategies</w:t>
      </w:r>
    </w:p>
    <w:p w14:paraId="7A5F2CC0" w14:textId="57E8ED49" w:rsidR="00561686" w:rsidRPr="00DF3006" w:rsidRDefault="00561686" w:rsidP="00E52781">
      <w:pPr>
        <w:pStyle w:val="Openingparagraph"/>
      </w:pPr>
      <w:r w:rsidRPr="00DF3006">
        <w:t>Our review of our enabling strategies in 2022–23 demonstrated that continued development of our workforce, digital, and data and analytics capabilities remain critical to delivering our strategic objectives.</w:t>
      </w:r>
    </w:p>
    <w:p w14:paraId="3044B0DF" w14:textId="77777777" w:rsidR="00561686" w:rsidRPr="00DF3006" w:rsidRDefault="00561686" w:rsidP="00561686">
      <w:pPr>
        <w:rPr>
          <w:color w:val="414042" w:themeColor="text1"/>
          <w:lang w:val="en-US"/>
        </w:rPr>
      </w:pPr>
    </w:p>
    <w:p w14:paraId="56421CDF" w14:textId="77777777" w:rsidR="00561686" w:rsidRPr="00DF3006" w:rsidRDefault="00561686" w:rsidP="00561686">
      <w:pPr>
        <w:rPr>
          <w:color w:val="414042" w:themeColor="text1"/>
          <w:lang w:val="en-US"/>
        </w:rPr>
        <w:sectPr w:rsidR="00561686" w:rsidRPr="00DF3006" w:rsidSect="007758F0">
          <w:pgSz w:w="11906" w:h="16838" w:code="9"/>
          <w:pgMar w:top="2155" w:right="1134" w:bottom="964" w:left="1134" w:header="720" w:footer="284" w:gutter="0"/>
          <w:cols w:space="567"/>
          <w:noEndnote/>
          <w:docGrid w:linePitch="272"/>
        </w:sectPr>
      </w:pPr>
    </w:p>
    <w:p w14:paraId="415A8A40" w14:textId="77777777" w:rsidR="00561686" w:rsidRPr="00DF3006" w:rsidRDefault="00561686" w:rsidP="00E6066A">
      <w:pPr>
        <w:pStyle w:val="Heading3"/>
      </w:pPr>
      <w:bookmarkStart w:id="1889" w:name="_Toc102037999"/>
      <w:bookmarkStart w:id="1890" w:name="_Toc102038360"/>
      <w:bookmarkStart w:id="1891" w:name="_Toc102038721"/>
      <w:bookmarkStart w:id="1892" w:name="_Toc102039073"/>
      <w:bookmarkStart w:id="1893" w:name="_Toc102039422"/>
      <w:bookmarkStart w:id="1894" w:name="_Toc102039784"/>
      <w:bookmarkStart w:id="1895" w:name="_Toc102040141"/>
      <w:bookmarkStart w:id="1896" w:name="_Toc102040469"/>
      <w:bookmarkStart w:id="1897" w:name="_Toc102040803"/>
      <w:bookmarkStart w:id="1898" w:name="_Toc102041131"/>
      <w:bookmarkStart w:id="1899" w:name="_Toc102041460"/>
      <w:bookmarkStart w:id="1900" w:name="_Toc102041792"/>
      <w:bookmarkStart w:id="1901" w:name="_Toc102042119"/>
      <w:bookmarkStart w:id="1902" w:name="_Toc102042449"/>
      <w:bookmarkStart w:id="1903" w:name="_Toc102045579"/>
      <w:bookmarkStart w:id="1904" w:name="_Hlk74304568"/>
      <w:r w:rsidRPr="00DF3006">
        <w:t>Our enabling strategies: connecting people, insights and technologies</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bookmarkEnd w:id="1904"/>
    <w:p w14:paraId="4976A107" w14:textId="764A1947" w:rsidR="00561686" w:rsidRPr="00DF3006" w:rsidRDefault="00561686" w:rsidP="00561686">
      <w:pPr>
        <w:ind w:right="-143"/>
        <w:rPr>
          <w:color w:val="414042" w:themeColor="text1"/>
        </w:rPr>
      </w:pPr>
      <w:r w:rsidRPr="00DF3006">
        <w:rPr>
          <w:color w:val="414042" w:themeColor="text1"/>
        </w:rPr>
        <w:t xml:space="preserve">The purpose of these strategies is to provide a roadmap to achieving our ambition of ‘connecting people, </w:t>
      </w:r>
      <w:proofErr w:type="gramStart"/>
      <w:r w:rsidRPr="00DF3006">
        <w:rPr>
          <w:color w:val="414042" w:themeColor="text1"/>
        </w:rPr>
        <w:t>insights</w:t>
      </w:r>
      <w:proofErr w:type="gramEnd"/>
      <w:r w:rsidRPr="00DF3006">
        <w:rPr>
          <w:color w:val="414042" w:themeColor="text1"/>
        </w:rPr>
        <w:t xml:space="preserve"> and technology to </w:t>
      </w:r>
      <w:r w:rsidR="006E6823" w:rsidRPr="00DF3006">
        <w:rPr>
          <w:color w:val="414042" w:themeColor="text1"/>
        </w:rPr>
        <w:t xml:space="preserve">combat </w:t>
      </w:r>
      <w:r w:rsidRPr="00DF3006">
        <w:rPr>
          <w:color w:val="414042" w:themeColor="text1"/>
        </w:rPr>
        <w:t xml:space="preserve">major crime and </w:t>
      </w:r>
      <w:r w:rsidR="006E6823" w:rsidRPr="00DF3006">
        <w:rPr>
          <w:color w:val="414042" w:themeColor="text1"/>
        </w:rPr>
        <w:t xml:space="preserve">reduce corruption in and </w:t>
      </w:r>
      <w:r w:rsidRPr="00DF3006">
        <w:rPr>
          <w:color w:val="414042" w:themeColor="text1"/>
        </w:rPr>
        <w:t>improve the integrity of public institutions.</w:t>
      </w:r>
    </w:p>
    <w:p w14:paraId="670C52F8" w14:textId="0D04B9FD" w:rsidR="00561686" w:rsidRPr="00DF3006" w:rsidRDefault="00561686" w:rsidP="00561686">
      <w:pPr>
        <w:ind w:right="-143"/>
        <w:rPr>
          <w:color w:val="414042" w:themeColor="text1"/>
        </w:rPr>
      </w:pPr>
      <w:r w:rsidRPr="00DF3006">
        <w:rPr>
          <w:color w:val="414042" w:themeColor="text1"/>
        </w:rPr>
        <w:t xml:space="preserve">This year we reviewed our strategies to align with our </w:t>
      </w:r>
      <w:r w:rsidR="00E249E5" w:rsidRPr="00DF3006">
        <w:rPr>
          <w:color w:val="414042" w:themeColor="text1"/>
        </w:rPr>
        <w:t>new</w:t>
      </w:r>
      <w:r w:rsidRPr="00DF3006">
        <w:rPr>
          <w:color w:val="414042" w:themeColor="text1"/>
        </w:rPr>
        <w:t xml:space="preserve"> strategic direction (see page </w:t>
      </w:r>
      <w:r w:rsidR="004779C7" w:rsidRPr="00DF3006">
        <w:rPr>
          <w:color w:val="414042" w:themeColor="text1"/>
        </w:rPr>
        <w:t>76–77</w:t>
      </w:r>
      <w:r w:rsidRPr="00DF3006">
        <w:rPr>
          <w:color w:val="414042" w:themeColor="text1"/>
        </w:rPr>
        <w:t>).</w:t>
      </w:r>
    </w:p>
    <w:p w14:paraId="5ED7F498" w14:textId="3A5C1A83" w:rsidR="00561686" w:rsidRPr="00DF3006" w:rsidRDefault="00561686" w:rsidP="00561686">
      <w:pPr>
        <w:rPr>
          <w:color w:val="414042" w:themeColor="text1"/>
        </w:rPr>
      </w:pPr>
      <w:r w:rsidRPr="00DF3006">
        <w:rPr>
          <w:color w:val="414042" w:themeColor="text1"/>
        </w:rPr>
        <w:t xml:space="preserve">Our </w:t>
      </w:r>
      <w:r w:rsidR="004C5FE9" w:rsidRPr="00DF3006">
        <w:rPr>
          <w:b/>
          <w:bCs/>
          <w:color w:val="414042" w:themeColor="text1"/>
        </w:rPr>
        <w:t>W</w:t>
      </w:r>
      <w:r w:rsidRPr="00DF3006">
        <w:rPr>
          <w:b/>
          <w:bCs/>
          <w:color w:val="414042" w:themeColor="text1"/>
        </w:rPr>
        <w:t>orkforce</w:t>
      </w:r>
      <w:r w:rsidRPr="00DF3006">
        <w:rPr>
          <w:color w:val="414042" w:themeColor="text1"/>
        </w:rPr>
        <w:t xml:space="preserve"> </w:t>
      </w:r>
      <w:r w:rsidR="004C5FE9" w:rsidRPr="00DF3006">
        <w:rPr>
          <w:b/>
          <w:bCs/>
          <w:color w:val="414042" w:themeColor="text1"/>
        </w:rPr>
        <w:t>Strategy</w:t>
      </w:r>
      <w:r w:rsidR="004C5FE9" w:rsidRPr="00DF3006">
        <w:rPr>
          <w:color w:val="414042" w:themeColor="text1"/>
        </w:rPr>
        <w:t xml:space="preserve"> </w:t>
      </w:r>
      <w:r w:rsidRPr="00DF3006">
        <w:rPr>
          <w:color w:val="414042" w:themeColor="text1"/>
        </w:rPr>
        <w:t>remains focused on three objectives:</w:t>
      </w:r>
    </w:p>
    <w:p w14:paraId="1DCF58C4" w14:textId="49184540" w:rsidR="00561686" w:rsidRPr="00DF3006" w:rsidRDefault="00561686" w:rsidP="000E2408">
      <w:pPr>
        <w:pStyle w:val="ListParagraph"/>
        <w:numPr>
          <w:ilvl w:val="0"/>
          <w:numId w:val="57"/>
        </w:numPr>
        <w:spacing w:before="120"/>
        <w:ind w:left="567" w:right="-143"/>
        <w:contextualSpacing w:val="0"/>
        <w:rPr>
          <w:color w:val="414042" w:themeColor="text1"/>
        </w:rPr>
      </w:pPr>
      <w:r w:rsidRPr="00DF3006">
        <w:rPr>
          <w:color w:val="414042" w:themeColor="text1"/>
        </w:rPr>
        <w:t xml:space="preserve">Undertaking </w:t>
      </w:r>
      <w:r w:rsidRPr="00DF3006">
        <w:rPr>
          <w:b/>
          <w:bCs/>
          <w:color w:val="414042" w:themeColor="text1"/>
        </w:rPr>
        <w:t>outcome-focused</w:t>
      </w:r>
      <w:r w:rsidRPr="00DF3006">
        <w:rPr>
          <w:color w:val="414042" w:themeColor="text1"/>
        </w:rPr>
        <w:t xml:space="preserve"> work</w:t>
      </w:r>
    </w:p>
    <w:p w14:paraId="368D201C" w14:textId="5E3E076C" w:rsidR="00561686" w:rsidRPr="00DF3006" w:rsidRDefault="00561686" w:rsidP="000E2408">
      <w:pPr>
        <w:pStyle w:val="ListParagraph"/>
        <w:numPr>
          <w:ilvl w:val="0"/>
          <w:numId w:val="57"/>
        </w:numPr>
        <w:spacing w:before="120"/>
        <w:ind w:left="567" w:right="-143"/>
        <w:contextualSpacing w:val="0"/>
        <w:rPr>
          <w:color w:val="414042" w:themeColor="text1"/>
        </w:rPr>
      </w:pPr>
      <w:r w:rsidRPr="00DF3006">
        <w:rPr>
          <w:color w:val="414042" w:themeColor="text1"/>
        </w:rPr>
        <w:t xml:space="preserve">To be a </w:t>
      </w:r>
      <w:r w:rsidRPr="00DF3006">
        <w:rPr>
          <w:b/>
          <w:bCs/>
          <w:color w:val="414042" w:themeColor="text1"/>
        </w:rPr>
        <w:t>diverse, engaged, capable and adaptable workforce</w:t>
      </w:r>
      <w:r w:rsidRPr="00DF3006">
        <w:rPr>
          <w:color w:val="414042" w:themeColor="text1"/>
        </w:rPr>
        <w:t>, and</w:t>
      </w:r>
    </w:p>
    <w:p w14:paraId="5F15A1E5" w14:textId="7A6C0CD6" w:rsidR="00561686" w:rsidRPr="00DF3006" w:rsidRDefault="00561686" w:rsidP="000E2408">
      <w:pPr>
        <w:pStyle w:val="ListParagraph"/>
        <w:numPr>
          <w:ilvl w:val="0"/>
          <w:numId w:val="57"/>
        </w:numPr>
        <w:spacing w:before="120"/>
        <w:ind w:left="567" w:right="-143"/>
        <w:contextualSpacing w:val="0"/>
        <w:rPr>
          <w:color w:val="414042" w:themeColor="text1"/>
        </w:rPr>
      </w:pPr>
      <w:r w:rsidRPr="00DF3006">
        <w:rPr>
          <w:color w:val="414042" w:themeColor="text1"/>
        </w:rPr>
        <w:t>Foster a ‘</w:t>
      </w:r>
      <w:r w:rsidRPr="00DF3006">
        <w:rPr>
          <w:b/>
          <w:bCs/>
          <w:color w:val="414042" w:themeColor="text1"/>
        </w:rPr>
        <w:t>greater place to work’</w:t>
      </w:r>
      <w:r w:rsidRPr="00DF3006">
        <w:rPr>
          <w:color w:val="414042" w:themeColor="text1"/>
        </w:rPr>
        <w:t>.</w:t>
      </w:r>
    </w:p>
    <w:p w14:paraId="5BF0B238" w14:textId="035D3CC3" w:rsidR="00561686" w:rsidRPr="00DF3006" w:rsidRDefault="00561686" w:rsidP="00561686">
      <w:pPr>
        <w:rPr>
          <w:color w:val="414042" w:themeColor="text1"/>
        </w:rPr>
      </w:pPr>
      <w:r w:rsidRPr="00DF3006">
        <w:rPr>
          <w:color w:val="414042" w:themeColor="text1"/>
        </w:rPr>
        <w:t xml:space="preserve">Our </w:t>
      </w:r>
      <w:r w:rsidRPr="00DF3006">
        <w:rPr>
          <w:b/>
          <w:bCs/>
          <w:color w:val="414042" w:themeColor="text1"/>
        </w:rPr>
        <w:t>Digital</w:t>
      </w:r>
      <w:r w:rsidRPr="00DF3006">
        <w:rPr>
          <w:color w:val="414042" w:themeColor="text1"/>
        </w:rPr>
        <w:t xml:space="preserve"> </w:t>
      </w:r>
      <w:r w:rsidRPr="00DF3006">
        <w:rPr>
          <w:b/>
          <w:bCs/>
          <w:color w:val="414042" w:themeColor="text1"/>
        </w:rPr>
        <w:t>Strategy</w:t>
      </w:r>
      <w:r w:rsidRPr="00DF3006">
        <w:rPr>
          <w:color w:val="414042" w:themeColor="text1"/>
        </w:rPr>
        <w:t xml:space="preserve"> has been </w:t>
      </w:r>
      <w:r w:rsidR="006E6823" w:rsidRPr="00DF3006">
        <w:rPr>
          <w:color w:val="414042" w:themeColor="text1"/>
        </w:rPr>
        <w:t xml:space="preserve">updated </w:t>
      </w:r>
      <w:r w:rsidRPr="00DF3006">
        <w:rPr>
          <w:color w:val="414042" w:themeColor="text1"/>
        </w:rPr>
        <w:t xml:space="preserve">to transform CCC from ‘doing digital’ to ‘being digital’, by maturing our digital capability and targeting our digital solutions on delivering simpler, smarter, people-centric digital services </w:t>
      </w:r>
      <w:proofErr w:type="gramStart"/>
      <w:r w:rsidRPr="00DF3006">
        <w:rPr>
          <w:color w:val="414042" w:themeColor="text1"/>
        </w:rPr>
        <w:t>in order to</w:t>
      </w:r>
      <w:proofErr w:type="gramEnd"/>
      <w:r w:rsidRPr="00DF3006">
        <w:rPr>
          <w:color w:val="414042" w:themeColor="text1"/>
        </w:rPr>
        <w:t xml:space="preserve"> </w:t>
      </w:r>
      <w:r w:rsidR="006E6823" w:rsidRPr="00DF3006">
        <w:rPr>
          <w:color w:val="414042" w:themeColor="text1"/>
        </w:rPr>
        <w:t xml:space="preserve">combat </w:t>
      </w:r>
      <w:r w:rsidRPr="00DF3006">
        <w:rPr>
          <w:color w:val="414042" w:themeColor="text1"/>
        </w:rPr>
        <w:t xml:space="preserve">major crime and </w:t>
      </w:r>
      <w:r w:rsidR="006E6823" w:rsidRPr="00DF3006">
        <w:rPr>
          <w:color w:val="414042" w:themeColor="text1"/>
        </w:rPr>
        <w:t>reduce c</w:t>
      </w:r>
      <w:r w:rsidRPr="00DF3006">
        <w:rPr>
          <w:color w:val="414042" w:themeColor="text1"/>
        </w:rPr>
        <w:t>orruption In Queensland. We will do this by:</w:t>
      </w:r>
    </w:p>
    <w:p w14:paraId="3BF1FAFE" w14:textId="5E3299B4" w:rsidR="00561686" w:rsidRPr="00DF3006" w:rsidRDefault="00561686">
      <w:pPr>
        <w:pStyle w:val="Bullets"/>
        <w:rPr>
          <w:color w:val="414042" w:themeColor="text1"/>
        </w:rPr>
      </w:pPr>
      <w:r w:rsidRPr="00DF3006">
        <w:rPr>
          <w:b/>
          <w:bCs/>
          <w:color w:val="414042" w:themeColor="text1"/>
        </w:rPr>
        <w:t>Maximising value</w:t>
      </w:r>
      <w:r w:rsidRPr="00DF3006">
        <w:rPr>
          <w:color w:val="414042" w:themeColor="text1"/>
        </w:rPr>
        <w:t xml:space="preserve"> — leverage new technology and optimise digital investments to improve our efficiency and effectiveness</w:t>
      </w:r>
      <w:r w:rsidR="00765421">
        <w:rPr>
          <w:color w:val="414042" w:themeColor="text1"/>
        </w:rPr>
        <w:t>, and</w:t>
      </w:r>
    </w:p>
    <w:p w14:paraId="4D36A449" w14:textId="0358D61E" w:rsidR="00561686" w:rsidRPr="00DF3006" w:rsidRDefault="00561686">
      <w:pPr>
        <w:pStyle w:val="Bullets"/>
        <w:rPr>
          <w:color w:val="414042" w:themeColor="text1"/>
        </w:rPr>
      </w:pPr>
      <w:r w:rsidRPr="00DF3006">
        <w:rPr>
          <w:b/>
          <w:bCs/>
          <w:color w:val="414042" w:themeColor="text1"/>
        </w:rPr>
        <w:t>Improving maturity</w:t>
      </w:r>
      <w:r w:rsidRPr="00DF3006">
        <w:rPr>
          <w:color w:val="414042" w:themeColor="text1"/>
        </w:rPr>
        <w:t xml:space="preserve"> — continuously enhance our Digital Operating Model to facilitate digital transformation.</w:t>
      </w:r>
    </w:p>
    <w:p w14:paraId="787B276B" w14:textId="1BA4C354" w:rsidR="003E2542" w:rsidRPr="00DF3006" w:rsidRDefault="00561686" w:rsidP="003E2542">
      <w:pPr>
        <w:rPr>
          <w:color w:val="414042" w:themeColor="text1"/>
        </w:rPr>
      </w:pPr>
      <w:r w:rsidRPr="00DF3006">
        <w:rPr>
          <w:color w:val="414042" w:themeColor="text1"/>
        </w:rPr>
        <w:t xml:space="preserve">Our revised </w:t>
      </w:r>
      <w:r w:rsidRPr="00DF3006">
        <w:rPr>
          <w:b/>
          <w:bCs/>
          <w:color w:val="414042" w:themeColor="text1"/>
        </w:rPr>
        <w:t>Data and Analytics</w:t>
      </w:r>
      <w:r w:rsidRPr="00DF3006">
        <w:rPr>
          <w:color w:val="414042" w:themeColor="text1"/>
        </w:rPr>
        <w:t xml:space="preserve"> </w:t>
      </w:r>
      <w:r w:rsidRPr="00DF3006">
        <w:rPr>
          <w:b/>
          <w:bCs/>
          <w:color w:val="414042" w:themeColor="text1"/>
        </w:rPr>
        <w:t>Strategy</w:t>
      </w:r>
      <w:r w:rsidRPr="00DF3006">
        <w:rPr>
          <w:color w:val="414042" w:themeColor="text1"/>
        </w:rPr>
        <w:t xml:space="preserve"> recognises the </w:t>
      </w:r>
      <w:r w:rsidR="003E2542" w:rsidRPr="00DF3006">
        <w:rPr>
          <w:color w:val="414042" w:themeColor="text1"/>
        </w:rPr>
        <w:t xml:space="preserve">central role we play in the integrity </w:t>
      </w:r>
      <w:r w:rsidR="006E6823" w:rsidRPr="00DF3006">
        <w:rPr>
          <w:color w:val="414042" w:themeColor="text1"/>
        </w:rPr>
        <w:t>system in Queensland</w:t>
      </w:r>
      <w:r w:rsidRPr="00DF3006">
        <w:rPr>
          <w:color w:val="414042" w:themeColor="text1"/>
        </w:rPr>
        <w:t>.</w:t>
      </w:r>
      <w:r w:rsidR="004C5FE9" w:rsidRPr="00DF3006">
        <w:rPr>
          <w:color w:val="414042" w:themeColor="text1"/>
        </w:rPr>
        <w:t xml:space="preserve"> </w:t>
      </w:r>
      <w:r w:rsidR="003E2542" w:rsidRPr="00DF3006">
        <w:rPr>
          <w:color w:val="414042" w:themeColor="text1"/>
        </w:rPr>
        <w:t xml:space="preserve">As part of the overall funding to implement the </w:t>
      </w:r>
      <w:r w:rsidR="003E2542" w:rsidRPr="00DF3006">
        <w:rPr>
          <w:i/>
          <w:iCs/>
          <w:color w:val="414042" w:themeColor="text1"/>
        </w:rPr>
        <w:t>Fitzgerald/Wilson Inquiry</w:t>
      </w:r>
      <w:r w:rsidR="003E2542" w:rsidRPr="00DF3006">
        <w:rPr>
          <w:color w:val="414042" w:themeColor="text1"/>
        </w:rPr>
        <w:t xml:space="preserve"> recommendations, the </w:t>
      </w:r>
      <w:r w:rsidR="00EE2115" w:rsidRPr="00DF3006">
        <w:rPr>
          <w:color w:val="414042" w:themeColor="text1"/>
        </w:rPr>
        <w:t>G</w:t>
      </w:r>
      <w:r w:rsidR="003E2542" w:rsidRPr="00DF3006">
        <w:rPr>
          <w:color w:val="414042" w:themeColor="text1"/>
        </w:rPr>
        <w:t xml:space="preserve">overnment has approved $3.985 </w:t>
      </w:r>
      <w:r w:rsidR="0038503E">
        <w:rPr>
          <w:color w:val="414042" w:themeColor="text1"/>
        </w:rPr>
        <w:t>million</w:t>
      </w:r>
      <w:r w:rsidR="003E2542" w:rsidRPr="00DF3006">
        <w:rPr>
          <w:color w:val="414042" w:themeColor="text1"/>
        </w:rPr>
        <w:t xml:space="preserve"> in funding over the next </w:t>
      </w:r>
      <w:r w:rsidR="004D316B" w:rsidRPr="00DF3006">
        <w:rPr>
          <w:color w:val="414042" w:themeColor="text1"/>
        </w:rPr>
        <w:t>four</w:t>
      </w:r>
      <w:r w:rsidR="003E2542" w:rsidRPr="00DF3006">
        <w:rPr>
          <w:color w:val="414042" w:themeColor="text1"/>
        </w:rPr>
        <w:t xml:space="preserve"> years for the CCC to leverage our Analytics Data Warehouse</w:t>
      </w:r>
      <w:r w:rsidR="004C5FE9" w:rsidRPr="00DF3006">
        <w:rPr>
          <w:color w:val="414042" w:themeColor="text1"/>
        </w:rPr>
        <w:t xml:space="preserve"> </w:t>
      </w:r>
      <w:r w:rsidR="003E2542" w:rsidRPr="00DF3006">
        <w:rPr>
          <w:color w:val="414042" w:themeColor="text1"/>
        </w:rPr>
        <w:t>and strategic partnerships with public and private institutions to build a unique corruption data asset that will improve Queensland’s ability to identify and prevent corruption.</w:t>
      </w:r>
    </w:p>
    <w:p w14:paraId="44495F55" w14:textId="654BB3A9" w:rsidR="00561686" w:rsidRPr="00DF3006" w:rsidRDefault="003E2542" w:rsidP="00561686">
      <w:pPr>
        <w:rPr>
          <w:color w:val="414042" w:themeColor="text1"/>
        </w:rPr>
      </w:pPr>
      <w:r w:rsidRPr="00DF3006">
        <w:rPr>
          <w:color w:val="414042" w:themeColor="text1"/>
        </w:rPr>
        <w:t xml:space="preserve">By delivering a data-driven prevention focus, we will not only deliver on the intent of the </w:t>
      </w:r>
      <w:r w:rsidRPr="00DF3006">
        <w:rPr>
          <w:i/>
          <w:iCs/>
          <w:color w:val="414042" w:themeColor="text1"/>
        </w:rPr>
        <w:t>Fitzgerald/Wilson Inquiry</w:t>
      </w:r>
      <w:r w:rsidRPr="00DF3006">
        <w:rPr>
          <w:color w:val="414042" w:themeColor="text1"/>
        </w:rPr>
        <w:t xml:space="preserve"> recommendations, but will improve our value to Queenslanders by</w:t>
      </w:r>
      <w:r w:rsidR="00561686" w:rsidRPr="00DF3006">
        <w:rPr>
          <w:color w:val="414042" w:themeColor="text1"/>
        </w:rPr>
        <w:t>:</w:t>
      </w:r>
    </w:p>
    <w:p w14:paraId="4DDB1F69" w14:textId="5AEEF046" w:rsidR="00561686" w:rsidRPr="00DF3006" w:rsidRDefault="00561686">
      <w:pPr>
        <w:pStyle w:val="Bullets"/>
        <w:rPr>
          <w:color w:val="414042" w:themeColor="text1"/>
        </w:rPr>
      </w:pPr>
      <w:r w:rsidRPr="00DF3006">
        <w:rPr>
          <w:b/>
          <w:bCs/>
          <w:color w:val="414042" w:themeColor="text1"/>
        </w:rPr>
        <w:t>Creating high-value datasets</w:t>
      </w:r>
      <w:r w:rsidRPr="00DF3006">
        <w:rPr>
          <w:color w:val="414042" w:themeColor="text1"/>
        </w:rPr>
        <w:t xml:space="preserve"> — curate, integrate and centralise data to create datasets that support the CCC’s strategic priorities</w:t>
      </w:r>
      <w:r w:rsidR="00765421">
        <w:rPr>
          <w:color w:val="414042" w:themeColor="text1"/>
        </w:rPr>
        <w:t>, and</w:t>
      </w:r>
    </w:p>
    <w:p w14:paraId="6A50EFAF" w14:textId="0395C87A" w:rsidR="00561686" w:rsidRPr="00DF3006" w:rsidRDefault="00561686">
      <w:pPr>
        <w:pStyle w:val="Bullets"/>
        <w:autoSpaceDE w:val="0"/>
        <w:autoSpaceDN w:val="0"/>
        <w:adjustRightInd w:val="0"/>
        <w:spacing w:after="0"/>
        <w:rPr>
          <w:color w:val="414042" w:themeColor="text1"/>
        </w:rPr>
      </w:pPr>
      <w:r w:rsidRPr="00DF3006">
        <w:rPr>
          <w:b/>
          <w:bCs/>
          <w:color w:val="414042" w:themeColor="text1"/>
        </w:rPr>
        <w:t>Embedding and empowering</w:t>
      </w:r>
      <w:r w:rsidRPr="00DF3006">
        <w:rPr>
          <w:color w:val="414042" w:themeColor="text1"/>
        </w:rPr>
        <w:t xml:space="preserve"> — improve data literacy, embed data-driven decision making and use innovative analytics to deliver value to the CCC, stakeholders and partners.</w:t>
      </w:r>
    </w:p>
    <w:p w14:paraId="24389C75" w14:textId="2AD6E775" w:rsidR="00EF7FB7" w:rsidRPr="00DF3006" w:rsidRDefault="00EF7FB7" w:rsidP="00EF7FB7">
      <w:pPr>
        <w:pStyle w:val="Bullets"/>
        <w:numPr>
          <w:ilvl w:val="0"/>
          <w:numId w:val="0"/>
        </w:numPr>
        <w:autoSpaceDE w:val="0"/>
        <w:autoSpaceDN w:val="0"/>
        <w:adjustRightInd w:val="0"/>
        <w:spacing w:after="0"/>
        <w:ind w:left="502" w:hanging="360"/>
        <w:rPr>
          <w:color w:val="414042" w:themeColor="text1"/>
        </w:rPr>
      </w:pPr>
    </w:p>
    <w:p w14:paraId="117A3AC4" w14:textId="192D1AB7" w:rsidR="00EF7FB7" w:rsidRPr="00DF3006" w:rsidRDefault="00EF7FB7" w:rsidP="00EF7FB7">
      <w:pPr>
        <w:pStyle w:val="Bullets"/>
        <w:numPr>
          <w:ilvl w:val="0"/>
          <w:numId w:val="0"/>
        </w:numPr>
        <w:autoSpaceDE w:val="0"/>
        <w:autoSpaceDN w:val="0"/>
        <w:adjustRightInd w:val="0"/>
        <w:spacing w:after="0"/>
        <w:ind w:left="502" w:hanging="360"/>
        <w:rPr>
          <w:color w:val="414042" w:themeColor="text1"/>
        </w:rPr>
      </w:pPr>
    </w:p>
    <w:p w14:paraId="7266AA15" w14:textId="3565F153" w:rsidR="00EF7FB7" w:rsidRPr="00DF3006" w:rsidRDefault="00EF7FB7" w:rsidP="00EF7FB7">
      <w:pPr>
        <w:pStyle w:val="Bullets"/>
        <w:numPr>
          <w:ilvl w:val="0"/>
          <w:numId w:val="0"/>
        </w:numPr>
        <w:autoSpaceDE w:val="0"/>
        <w:autoSpaceDN w:val="0"/>
        <w:adjustRightInd w:val="0"/>
        <w:spacing w:after="0"/>
        <w:ind w:left="502" w:hanging="360"/>
        <w:rPr>
          <w:color w:val="414042" w:themeColor="text1"/>
        </w:rPr>
      </w:pPr>
    </w:p>
    <w:p w14:paraId="22E7D9D7" w14:textId="77777777" w:rsidR="000D299A" w:rsidRPr="00DF3006" w:rsidRDefault="000D299A" w:rsidP="00EF7FB7">
      <w:pPr>
        <w:pStyle w:val="Bullets"/>
        <w:numPr>
          <w:ilvl w:val="0"/>
          <w:numId w:val="0"/>
        </w:numPr>
        <w:autoSpaceDE w:val="0"/>
        <w:autoSpaceDN w:val="0"/>
        <w:adjustRightInd w:val="0"/>
        <w:spacing w:after="0"/>
        <w:ind w:left="502" w:hanging="360"/>
        <w:rPr>
          <w:color w:val="414042" w:themeColor="text1"/>
        </w:rPr>
      </w:pPr>
    </w:p>
    <w:p w14:paraId="457B3808" w14:textId="23215EAE" w:rsidR="00EF7FB7" w:rsidRPr="00DF3006" w:rsidRDefault="00EF7FB7" w:rsidP="00EF7FB7">
      <w:pPr>
        <w:pStyle w:val="Bullets"/>
        <w:numPr>
          <w:ilvl w:val="0"/>
          <w:numId w:val="0"/>
        </w:numPr>
        <w:autoSpaceDE w:val="0"/>
        <w:autoSpaceDN w:val="0"/>
        <w:adjustRightInd w:val="0"/>
        <w:spacing w:after="0"/>
        <w:ind w:left="502" w:hanging="360"/>
        <w:rPr>
          <w:color w:val="414042" w:themeColor="text1"/>
        </w:rPr>
      </w:pPr>
    </w:p>
    <w:p w14:paraId="5239EF88" w14:textId="13A728B3" w:rsidR="00EF7FB7" w:rsidRPr="00DF3006" w:rsidRDefault="00EF7FB7" w:rsidP="00EF7FB7">
      <w:pPr>
        <w:pStyle w:val="Bullets"/>
        <w:numPr>
          <w:ilvl w:val="0"/>
          <w:numId w:val="0"/>
        </w:numPr>
        <w:autoSpaceDE w:val="0"/>
        <w:autoSpaceDN w:val="0"/>
        <w:adjustRightInd w:val="0"/>
        <w:spacing w:after="0"/>
        <w:ind w:left="502" w:hanging="360"/>
        <w:rPr>
          <w:color w:val="414042" w:themeColor="text1"/>
        </w:rPr>
      </w:pPr>
    </w:p>
    <w:p w14:paraId="0ED10AE9" w14:textId="77777777" w:rsidR="00EF7FB7" w:rsidRPr="00DF3006" w:rsidRDefault="00EF7FB7" w:rsidP="00EF7FB7">
      <w:pPr>
        <w:pStyle w:val="Bullets"/>
        <w:numPr>
          <w:ilvl w:val="0"/>
          <w:numId w:val="0"/>
        </w:numPr>
        <w:autoSpaceDE w:val="0"/>
        <w:autoSpaceDN w:val="0"/>
        <w:adjustRightInd w:val="0"/>
        <w:spacing w:after="0"/>
        <w:ind w:left="502" w:hanging="360"/>
        <w:rPr>
          <w:color w:val="414042" w:themeColor="text1"/>
        </w:rPr>
      </w:pPr>
    </w:p>
    <w:p w14:paraId="3E080609" w14:textId="77777777" w:rsidR="00561686" w:rsidRPr="00DF3006" w:rsidRDefault="00561686" w:rsidP="00561686">
      <w:pPr>
        <w:rPr>
          <w:color w:val="414042" w:themeColor="text1"/>
        </w:rPr>
        <w:sectPr w:rsidR="00561686" w:rsidRPr="00DF3006" w:rsidSect="00C77834">
          <w:type w:val="continuous"/>
          <w:pgSz w:w="11906" w:h="16838" w:code="9"/>
          <w:pgMar w:top="2155" w:right="1134" w:bottom="964" w:left="1134" w:header="720" w:footer="284" w:gutter="0"/>
          <w:cols w:num="2" w:space="567"/>
          <w:noEndnote/>
          <w:docGrid w:linePitch="272"/>
        </w:sectPr>
      </w:pPr>
    </w:p>
    <w:p w14:paraId="54DC4B9A" w14:textId="77777777" w:rsidR="00561686" w:rsidRPr="00DF3006" w:rsidRDefault="00561686" w:rsidP="00561686">
      <w:pPr>
        <w:rPr>
          <w:color w:val="414042" w:themeColor="text1"/>
        </w:rPr>
      </w:pPr>
    </w:p>
    <w:p w14:paraId="224D45F6" w14:textId="79749A7E" w:rsidR="00561686" w:rsidRPr="00DF3006" w:rsidRDefault="00561686" w:rsidP="00561686">
      <w:pPr>
        <w:rPr>
          <w:color w:val="414042" w:themeColor="text1"/>
        </w:rPr>
        <w:sectPr w:rsidR="00561686" w:rsidRPr="00DF3006" w:rsidSect="00C77834">
          <w:type w:val="continuous"/>
          <w:pgSz w:w="11906" w:h="16838" w:code="9"/>
          <w:pgMar w:top="2155" w:right="1134" w:bottom="964" w:left="1134" w:header="720" w:footer="284" w:gutter="0"/>
          <w:cols w:space="567"/>
          <w:noEndnote/>
          <w:docGrid w:linePitch="272"/>
        </w:sectPr>
      </w:pPr>
    </w:p>
    <w:p w14:paraId="1D083ECD" w14:textId="3D7324A2" w:rsidR="000868AA" w:rsidRPr="00DF3006" w:rsidRDefault="000868AA" w:rsidP="00700873">
      <w:pPr>
        <w:pStyle w:val="Heading1"/>
      </w:pPr>
      <w:bookmarkStart w:id="1905" w:name="_Financial_information"/>
      <w:bookmarkStart w:id="1906" w:name="_Toc102038091"/>
      <w:bookmarkStart w:id="1907" w:name="_Toc102038452"/>
      <w:bookmarkStart w:id="1908" w:name="_Toc102038813"/>
      <w:bookmarkStart w:id="1909" w:name="_Toc102039165"/>
      <w:bookmarkStart w:id="1910" w:name="_Toc102039514"/>
      <w:bookmarkStart w:id="1911" w:name="_Toc102039876"/>
      <w:bookmarkStart w:id="1912" w:name="_Toc102040233"/>
      <w:bookmarkStart w:id="1913" w:name="_Toc102040561"/>
      <w:bookmarkStart w:id="1914" w:name="_Toc102040895"/>
      <w:bookmarkStart w:id="1915" w:name="_Toc102041223"/>
      <w:bookmarkStart w:id="1916" w:name="_Toc102041552"/>
      <w:bookmarkStart w:id="1917" w:name="_Toc102041884"/>
      <w:bookmarkStart w:id="1918" w:name="_Toc102042211"/>
      <w:bookmarkStart w:id="1919" w:name="_Toc102042541"/>
      <w:bookmarkStart w:id="1920" w:name="_Toc102045671"/>
      <w:bookmarkEnd w:id="1905"/>
      <w:r w:rsidRPr="00DF3006">
        <w:lastRenderedPageBreak/>
        <w:t>Financial information</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DF3006" w:rsidRPr="00DF3006" w14:paraId="69D82BE2" w14:textId="77777777" w:rsidTr="008B0438">
        <w:trPr>
          <w:trHeight w:val="737"/>
        </w:trPr>
        <w:tc>
          <w:tcPr>
            <w:tcW w:w="4193" w:type="pct"/>
            <w:tcBorders>
              <w:bottom w:val="single" w:sz="12" w:space="0" w:color="FFFFFF" w:themeColor="background1"/>
            </w:tcBorders>
            <w:shd w:val="clear" w:color="auto" w:fill="auto"/>
            <w:vAlign w:val="center"/>
          </w:tcPr>
          <w:p w14:paraId="08B817BA" w14:textId="69581169" w:rsidR="002139D6" w:rsidRPr="00DF3006" w:rsidRDefault="00086D38" w:rsidP="00EC7256">
            <w:pPr>
              <w:autoSpaceDE w:val="0"/>
              <w:autoSpaceDN w:val="0"/>
              <w:adjustRightInd w:val="0"/>
              <w:spacing w:before="60" w:after="40" w:line="288" w:lineRule="auto"/>
              <w:textAlignment w:val="center"/>
              <w:rPr>
                <w:rFonts w:cs="Calibri Light"/>
                <w:color w:val="414042" w:themeColor="text1"/>
                <w:szCs w:val="20"/>
              </w:rPr>
            </w:pPr>
            <w:hyperlink w:anchor="aboutfinancialstatements" w:history="1">
              <w:r w:rsidR="002139D6" w:rsidRPr="00DF3006">
                <w:rPr>
                  <w:rStyle w:val="Hyperlink"/>
                  <w:rFonts w:cs="Calibri Light"/>
                  <w:color w:val="414042" w:themeColor="text1"/>
                  <w:szCs w:val="20"/>
                  <w:u w:val="none"/>
                </w:rPr>
                <w:t xml:space="preserve">About the </w:t>
              </w:r>
              <w:r w:rsidR="001A0142" w:rsidRPr="00DF3006">
                <w:rPr>
                  <w:rStyle w:val="Hyperlink"/>
                  <w:rFonts w:cs="Calibri Light"/>
                  <w:color w:val="414042" w:themeColor="text1"/>
                  <w:szCs w:val="20"/>
                  <w:u w:val="none"/>
                </w:rPr>
                <w:t>F</w:t>
              </w:r>
              <w:r w:rsidR="002139D6" w:rsidRPr="00DF3006">
                <w:rPr>
                  <w:rStyle w:val="Hyperlink"/>
                  <w:rFonts w:cs="Calibri Light"/>
                  <w:color w:val="414042" w:themeColor="text1"/>
                  <w:szCs w:val="20"/>
                  <w:u w:val="none"/>
                </w:rPr>
                <w:t xml:space="preserve">inancial </w:t>
              </w:r>
              <w:r w:rsidR="001A0142" w:rsidRPr="00DF3006">
                <w:rPr>
                  <w:rStyle w:val="Hyperlink"/>
                  <w:rFonts w:cs="Calibri Light"/>
                  <w:color w:val="414042" w:themeColor="text1"/>
                  <w:szCs w:val="20"/>
                  <w:u w:val="none"/>
                </w:rPr>
                <w:t>S</w:t>
              </w:r>
              <w:r w:rsidR="002139D6" w:rsidRPr="00DF3006">
                <w:rPr>
                  <w:rStyle w:val="Hyperlink"/>
                  <w:rFonts w:cs="Calibri Light"/>
                  <w:color w:val="414042" w:themeColor="text1"/>
                  <w:szCs w:val="20"/>
                  <w:u w:val="none"/>
                </w:rPr>
                <w:t>tatements</w:t>
              </w:r>
            </w:hyperlink>
          </w:p>
        </w:tc>
        <w:tc>
          <w:tcPr>
            <w:tcW w:w="807" w:type="pct"/>
            <w:tcBorders>
              <w:bottom w:val="single" w:sz="12" w:space="0" w:color="FFFFFF" w:themeColor="background1"/>
            </w:tcBorders>
            <w:shd w:val="clear" w:color="auto" w:fill="auto"/>
            <w:vAlign w:val="center"/>
          </w:tcPr>
          <w:p w14:paraId="1972F2C5" w14:textId="45321A22" w:rsidR="002139D6" w:rsidRPr="00DF3006" w:rsidRDefault="002A4265" w:rsidP="00FD75EF">
            <w:pPr>
              <w:spacing w:before="60" w:after="40"/>
              <w:jc w:val="center"/>
              <w:rPr>
                <w:color w:val="414042" w:themeColor="text1"/>
              </w:rPr>
            </w:pPr>
            <w:r w:rsidRPr="00DF3006">
              <w:rPr>
                <w:color w:val="414042" w:themeColor="text1"/>
              </w:rPr>
              <w:t>82</w:t>
            </w:r>
          </w:p>
        </w:tc>
      </w:tr>
      <w:tr w:rsidR="00DF3006" w:rsidRPr="00DF3006" w14:paraId="50BD4D8A"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63B80E3C" w14:textId="0EBCE3C4" w:rsidR="001A0142" w:rsidRPr="00DF3006" w:rsidRDefault="00086D38" w:rsidP="00EC7256">
            <w:pPr>
              <w:spacing w:before="60" w:after="40"/>
              <w:rPr>
                <w:color w:val="414042" w:themeColor="text1"/>
              </w:rPr>
            </w:pPr>
            <w:hyperlink w:anchor="_Financial_Statements" w:history="1">
              <w:r w:rsidR="001A0142" w:rsidRPr="00DF3006">
                <w:rPr>
                  <w:rStyle w:val="Hyperlink"/>
                  <w:color w:val="414042" w:themeColor="text1"/>
                  <w:u w:val="none"/>
                </w:rPr>
                <w:t>Financial Statements</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2706F3A2" w14:textId="2F549E82" w:rsidR="001A0142" w:rsidRPr="00DF3006" w:rsidRDefault="002A4265" w:rsidP="00FD75EF">
            <w:pPr>
              <w:spacing w:before="60" w:after="40"/>
              <w:jc w:val="center"/>
              <w:rPr>
                <w:bCs/>
                <w:color w:val="414042" w:themeColor="text1"/>
              </w:rPr>
            </w:pPr>
            <w:r w:rsidRPr="00DF3006">
              <w:rPr>
                <w:bCs/>
                <w:color w:val="414042" w:themeColor="text1"/>
              </w:rPr>
              <w:t>84</w:t>
            </w:r>
          </w:p>
        </w:tc>
      </w:tr>
      <w:tr w:rsidR="00DF3006" w:rsidRPr="00DF3006" w14:paraId="3B019B13"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4D7C080" w14:textId="38B3DF58" w:rsidR="001A0142" w:rsidRPr="00DF3006" w:rsidRDefault="00086D38" w:rsidP="00EC7256">
            <w:pPr>
              <w:spacing w:before="60" w:after="40"/>
              <w:rPr>
                <w:color w:val="414042" w:themeColor="text1"/>
              </w:rPr>
            </w:pPr>
            <w:hyperlink w:anchor="_Independent_Auditor’s_Report" w:history="1">
              <w:r w:rsidR="001A0142" w:rsidRPr="00DF3006">
                <w:rPr>
                  <w:rStyle w:val="Hyperlink"/>
                  <w:color w:val="414042" w:themeColor="text1"/>
                  <w:u w:val="none"/>
                </w:rPr>
                <w:t>Independent Auditor’s Report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5400BA8D" w14:textId="239C0443" w:rsidR="001A0142" w:rsidRPr="00DF3006" w:rsidRDefault="00E95EB2" w:rsidP="00FD75EF">
            <w:pPr>
              <w:spacing w:before="60" w:after="40"/>
              <w:jc w:val="center"/>
              <w:rPr>
                <w:bCs/>
                <w:color w:val="414042" w:themeColor="text1"/>
              </w:rPr>
            </w:pPr>
            <w:r w:rsidRPr="00DF3006">
              <w:rPr>
                <w:bCs/>
                <w:color w:val="414042" w:themeColor="text1"/>
              </w:rPr>
              <w:t>117</w:t>
            </w:r>
          </w:p>
        </w:tc>
      </w:tr>
    </w:tbl>
    <w:p w14:paraId="0DCA8234" w14:textId="77777777" w:rsidR="00700873" w:rsidRPr="00DF3006" w:rsidRDefault="00700873" w:rsidP="000868AA">
      <w:pPr>
        <w:rPr>
          <w:color w:val="414042" w:themeColor="text1"/>
        </w:rPr>
        <w:sectPr w:rsidR="00700873" w:rsidRPr="00DF3006" w:rsidSect="00C77834">
          <w:headerReference w:type="even" r:id="rId306"/>
          <w:headerReference w:type="default" r:id="rId307"/>
          <w:headerReference w:type="first" r:id="rId308"/>
          <w:pgSz w:w="11906" w:h="16838" w:code="9"/>
          <w:pgMar w:top="2155" w:right="1134" w:bottom="964" w:left="1134" w:header="720" w:footer="284" w:gutter="0"/>
          <w:cols w:space="567"/>
          <w:noEndnote/>
          <w:docGrid w:linePitch="272"/>
        </w:sectPr>
      </w:pPr>
    </w:p>
    <w:p w14:paraId="605DF398" w14:textId="1F4124DE" w:rsidR="000868AA" w:rsidRPr="00DF3006" w:rsidRDefault="000868AA" w:rsidP="002139D6">
      <w:pPr>
        <w:pStyle w:val="Heading2"/>
      </w:pPr>
      <w:bookmarkStart w:id="1921" w:name="aboutfinancialstatements"/>
      <w:bookmarkStart w:id="1922" w:name="_About_the_financial"/>
      <w:bookmarkStart w:id="1923" w:name="_Toc102038092"/>
      <w:bookmarkStart w:id="1924" w:name="_Toc102038453"/>
      <w:bookmarkStart w:id="1925" w:name="_Toc102038814"/>
      <w:bookmarkStart w:id="1926" w:name="_Toc102039166"/>
      <w:bookmarkStart w:id="1927" w:name="_Toc102039515"/>
      <w:bookmarkStart w:id="1928" w:name="_Toc102039877"/>
      <w:bookmarkStart w:id="1929" w:name="_Toc102040234"/>
      <w:bookmarkStart w:id="1930" w:name="_Toc102040562"/>
      <w:bookmarkStart w:id="1931" w:name="_Toc102040896"/>
      <w:bookmarkStart w:id="1932" w:name="_Toc102041224"/>
      <w:bookmarkStart w:id="1933" w:name="_Toc102041553"/>
      <w:bookmarkStart w:id="1934" w:name="_Toc102041885"/>
      <w:bookmarkStart w:id="1935" w:name="_Toc102042212"/>
      <w:bookmarkStart w:id="1936" w:name="_Toc102042542"/>
      <w:bookmarkStart w:id="1937" w:name="_Toc102045672"/>
      <w:bookmarkEnd w:id="1921"/>
      <w:bookmarkEnd w:id="1922"/>
      <w:r w:rsidRPr="00DF3006">
        <w:lastRenderedPageBreak/>
        <w:t xml:space="preserve">About the </w:t>
      </w:r>
      <w:r w:rsidR="00EF1A9F" w:rsidRPr="00DF3006">
        <w:t>f</w:t>
      </w:r>
      <w:r w:rsidRPr="00DF3006">
        <w:t xml:space="preserve">inancial </w:t>
      </w:r>
      <w:r w:rsidR="00EF1A9F" w:rsidRPr="00DF3006">
        <w:t>s</w:t>
      </w:r>
      <w:r w:rsidRPr="00DF3006">
        <w:t>tatements</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3C88E17A" w14:textId="77777777" w:rsidR="00CF1D36" w:rsidRPr="00DF3006" w:rsidRDefault="00CF1D36" w:rsidP="00E52781">
      <w:pPr>
        <w:pStyle w:val="Openingparagraph"/>
      </w:pPr>
      <w:r w:rsidRPr="00DF3006">
        <w:t xml:space="preserve">The financial statements highlight our financial performance and overall position as </w:t>
      </w:r>
      <w:proofErr w:type="gramStart"/>
      <w:r w:rsidRPr="00DF3006">
        <w:t>at</w:t>
      </w:r>
      <w:proofErr w:type="gramEnd"/>
      <w:r w:rsidRPr="00DF3006">
        <w:t xml:space="preserve"> 30 June 2023.</w:t>
      </w:r>
    </w:p>
    <w:p w14:paraId="6A3ED0EC" w14:textId="77777777" w:rsidR="00CF1D36" w:rsidRPr="00DF3006" w:rsidRDefault="00CF1D36" w:rsidP="00CF1D36">
      <w:pPr>
        <w:spacing w:after="0"/>
        <w:rPr>
          <w:strike/>
          <w:color w:val="414042" w:themeColor="text1"/>
        </w:rPr>
        <w:sectPr w:rsidR="00CF1D36" w:rsidRPr="00DF3006" w:rsidSect="00C77834">
          <w:headerReference w:type="even" r:id="rId309"/>
          <w:headerReference w:type="default" r:id="rId310"/>
          <w:headerReference w:type="first" r:id="rId311"/>
          <w:pgSz w:w="11906" w:h="16838"/>
          <w:pgMar w:top="2155" w:right="1134" w:bottom="964" w:left="1134" w:header="720" w:footer="284" w:gutter="0"/>
          <w:cols w:space="720"/>
        </w:sectPr>
      </w:pPr>
    </w:p>
    <w:p w14:paraId="06E1D224" w14:textId="77777777" w:rsidR="00CF1D36" w:rsidRPr="00DF3006" w:rsidRDefault="00CF1D36" w:rsidP="00CF1D36">
      <w:pPr>
        <w:rPr>
          <w:color w:val="414042" w:themeColor="text1"/>
        </w:rPr>
      </w:pPr>
      <w:r w:rsidRPr="00DF3006">
        <w:rPr>
          <w:color w:val="414042" w:themeColor="text1"/>
        </w:rPr>
        <w:t>The financial statements consist of five parts:</w:t>
      </w:r>
    </w:p>
    <w:p w14:paraId="204771D7" w14:textId="77777777" w:rsidR="00CF1D36" w:rsidRPr="00DF3006" w:rsidRDefault="00CF1D36">
      <w:pPr>
        <w:pStyle w:val="Bullets"/>
        <w:rPr>
          <w:color w:val="414042" w:themeColor="text1"/>
        </w:rPr>
      </w:pPr>
      <w:r w:rsidRPr="00DF3006">
        <w:rPr>
          <w:color w:val="414042" w:themeColor="text1"/>
        </w:rPr>
        <w:t>Statement of Comprehensive Income</w:t>
      </w:r>
    </w:p>
    <w:p w14:paraId="6FE718DF" w14:textId="77777777" w:rsidR="00CF1D36" w:rsidRPr="00DF3006" w:rsidRDefault="00CF1D36">
      <w:pPr>
        <w:pStyle w:val="Bullets"/>
        <w:rPr>
          <w:color w:val="414042" w:themeColor="text1"/>
        </w:rPr>
      </w:pPr>
      <w:r w:rsidRPr="00DF3006">
        <w:rPr>
          <w:color w:val="414042" w:themeColor="text1"/>
        </w:rPr>
        <w:t>Statement of Financial Position</w:t>
      </w:r>
    </w:p>
    <w:p w14:paraId="0FB22611" w14:textId="77777777" w:rsidR="00CF1D36" w:rsidRPr="00DF3006" w:rsidRDefault="00CF1D36">
      <w:pPr>
        <w:pStyle w:val="Bullets"/>
        <w:rPr>
          <w:color w:val="414042" w:themeColor="text1"/>
        </w:rPr>
      </w:pPr>
      <w:r w:rsidRPr="00DF3006">
        <w:rPr>
          <w:color w:val="414042" w:themeColor="text1"/>
        </w:rPr>
        <w:t>Statement of Changes in Equity</w:t>
      </w:r>
    </w:p>
    <w:p w14:paraId="406B01D0" w14:textId="77777777" w:rsidR="00CF1D36" w:rsidRPr="00DF3006" w:rsidRDefault="00CF1D36">
      <w:pPr>
        <w:pStyle w:val="Bullets"/>
        <w:rPr>
          <w:color w:val="414042" w:themeColor="text1"/>
        </w:rPr>
      </w:pPr>
      <w:r w:rsidRPr="00DF3006">
        <w:rPr>
          <w:color w:val="414042" w:themeColor="text1"/>
        </w:rPr>
        <w:t>Statement of Cash Flows</w:t>
      </w:r>
    </w:p>
    <w:p w14:paraId="643165C5" w14:textId="77777777" w:rsidR="00CF1D36" w:rsidRPr="00DF3006" w:rsidRDefault="00CF1D36">
      <w:pPr>
        <w:pStyle w:val="Bullets"/>
        <w:rPr>
          <w:color w:val="414042" w:themeColor="text1"/>
        </w:rPr>
      </w:pPr>
      <w:r w:rsidRPr="00DF3006">
        <w:rPr>
          <w:color w:val="414042" w:themeColor="text1"/>
        </w:rPr>
        <w:t>Notes to and forming part of the Financial Statements.</w:t>
      </w:r>
    </w:p>
    <w:p w14:paraId="561A3545" w14:textId="1B2123BE" w:rsidR="00CF1D36" w:rsidRPr="00DF3006" w:rsidRDefault="00CF1D36" w:rsidP="00CF1D36">
      <w:pPr>
        <w:rPr>
          <w:color w:val="414042" w:themeColor="text1"/>
        </w:rPr>
      </w:pPr>
      <w:r w:rsidRPr="00DF3006">
        <w:rPr>
          <w:color w:val="414042" w:themeColor="text1"/>
        </w:rPr>
        <w:t xml:space="preserve">The financial statements are prepared by our finance area, reviewed by our </w:t>
      </w:r>
      <w:r w:rsidR="00171C5D" w:rsidRPr="00DF3006">
        <w:rPr>
          <w:color w:val="414042" w:themeColor="text1"/>
        </w:rPr>
        <w:t>CEO</w:t>
      </w:r>
      <w:r w:rsidRPr="00DF3006">
        <w:rPr>
          <w:color w:val="414042" w:themeColor="text1"/>
        </w:rPr>
        <w:t xml:space="preserve"> and ARMC and then audited by the QAO.</w:t>
      </w:r>
    </w:p>
    <w:p w14:paraId="467A77D3" w14:textId="77777777" w:rsidR="00CF1D36" w:rsidRPr="00DF3006" w:rsidRDefault="00CF1D36" w:rsidP="00463FBB">
      <w:pPr>
        <w:pStyle w:val="Heading4"/>
      </w:pPr>
      <w:r w:rsidRPr="00DF3006">
        <w:t>Statement of Comprehensive Income</w:t>
      </w:r>
    </w:p>
    <w:p w14:paraId="6353B8BC" w14:textId="77777777" w:rsidR="00CF1D36" w:rsidRPr="00DF3006" w:rsidRDefault="00CF1D36" w:rsidP="00CF1D36">
      <w:pPr>
        <w:rPr>
          <w:color w:val="414042" w:themeColor="text1"/>
        </w:rPr>
      </w:pPr>
      <w:r w:rsidRPr="00DF3006">
        <w:rPr>
          <w:color w:val="414042" w:themeColor="text1"/>
        </w:rPr>
        <w:t>The Statement of Comprehensive Income measures an entity’s financial performance over a specific period (usually 12 months). The Statement of Comprehensive Income comprises a profit and loss statement which compares revenues received against expenses incurred. Excess revenue over expenses results in an operating surplus, while excess expenses over revenue results in an operating deficit.</w:t>
      </w:r>
    </w:p>
    <w:p w14:paraId="1DE2F165" w14:textId="108E01EC" w:rsidR="00CF1D36" w:rsidRPr="00DF3006" w:rsidRDefault="00CF1D36" w:rsidP="00CF1D36">
      <w:pPr>
        <w:rPr>
          <w:color w:val="414042" w:themeColor="text1"/>
        </w:rPr>
      </w:pPr>
      <w:r w:rsidRPr="00DF3006">
        <w:rPr>
          <w:color w:val="414042" w:themeColor="text1"/>
        </w:rPr>
        <w:t>For the year ended 30 June 2023, our revenue exceeded expenses by $6.</w:t>
      </w:r>
      <w:r w:rsidR="00186917" w:rsidRPr="00DF3006">
        <w:rPr>
          <w:color w:val="414042" w:themeColor="text1"/>
        </w:rPr>
        <w:t>341</w:t>
      </w:r>
      <w:r w:rsidRPr="00DF3006">
        <w:rPr>
          <w:color w:val="414042" w:themeColor="text1"/>
        </w:rPr>
        <w:t xml:space="preserve"> million, resulting in an operating surplus. The CCC intends to utilise this surplus in future years by investing in the development of new </w:t>
      </w:r>
      <w:r w:rsidRPr="00DF3006">
        <w:rPr>
          <w:i/>
          <w:iCs/>
          <w:color w:val="414042" w:themeColor="text1"/>
        </w:rPr>
        <w:t>Investigation Case Management Systems</w:t>
      </w:r>
      <w:r w:rsidRPr="00DF3006">
        <w:rPr>
          <w:color w:val="414042" w:themeColor="text1"/>
        </w:rPr>
        <w:t xml:space="preserve"> for its crime and corruption functions.</w:t>
      </w:r>
    </w:p>
    <w:p w14:paraId="26537527" w14:textId="77777777" w:rsidR="00CF1D36" w:rsidRPr="00DF3006" w:rsidRDefault="00CF1D36" w:rsidP="00463FBB">
      <w:pPr>
        <w:pStyle w:val="Heading4"/>
      </w:pPr>
      <w:r w:rsidRPr="00DF3006">
        <w:t>Statement of Financial Position</w:t>
      </w:r>
    </w:p>
    <w:p w14:paraId="6AC21B41" w14:textId="77777777" w:rsidR="00CF1D36" w:rsidRPr="00DF3006" w:rsidRDefault="00CF1D36" w:rsidP="00CF1D36">
      <w:pPr>
        <w:rPr>
          <w:color w:val="414042" w:themeColor="text1"/>
        </w:rPr>
      </w:pPr>
      <w:r w:rsidRPr="00DF3006">
        <w:rPr>
          <w:color w:val="414042" w:themeColor="text1"/>
        </w:rPr>
        <w:t>The Statement of Financial Position provides a snapshot of the financial health of an entity at the end of the reporting period. It presents the value of the assets held, amounts owing (liabilities), and the equity (net worth) of the entity.</w:t>
      </w:r>
    </w:p>
    <w:p w14:paraId="3B91ACDF" w14:textId="77777777" w:rsidR="00186917" w:rsidRPr="00DF3006" w:rsidRDefault="00186917" w:rsidP="00463FBB">
      <w:pPr>
        <w:pStyle w:val="Heading4"/>
      </w:pPr>
      <w:r w:rsidRPr="00DF3006">
        <w:t xml:space="preserve">As </w:t>
      </w:r>
      <w:proofErr w:type="gramStart"/>
      <w:r w:rsidRPr="00DF3006">
        <w:t>at</w:t>
      </w:r>
      <w:proofErr w:type="gramEnd"/>
      <w:r w:rsidRPr="00DF3006">
        <w:t xml:space="preserve"> 30 June 2023, our equity was valued at $30.011 million, increasing by $6.341 million due to the operating surplus for 2022–23.</w:t>
      </w:r>
    </w:p>
    <w:p w14:paraId="1343F41B" w14:textId="6C3B5751" w:rsidR="00CF1D36" w:rsidRPr="00DF3006" w:rsidRDefault="00CF1D36" w:rsidP="00463FBB">
      <w:pPr>
        <w:pStyle w:val="Heading4"/>
      </w:pPr>
      <w:r w:rsidRPr="00DF3006">
        <w:br w:type="column"/>
      </w:r>
      <w:r w:rsidRPr="00DF3006">
        <w:t>Assets</w:t>
      </w:r>
    </w:p>
    <w:p w14:paraId="30F87A5D" w14:textId="77777777" w:rsidR="00CF1D36" w:rsidRPr="00DF3006" w:rsidRDefault="00CF1D36" w:rsidP="00CF1D36">
      <w:pPr>
        <w:rPr>
          <w:color w:val="414042" w:themeColor="text1"/>
        </w:rPr>
      </w:pPr>
      <w:r w:rsidRPr="00DF3006">
        <w:rPr>
          <w:color w:val="414042" w:themeColor="text1"/>
        </w:rPr>
        <w:t xml:space="preserve">Assets are items of value controlled by an entity, from which future economic benefits are expected to flow to the entity. Assets are classed as ‘current assets’ or </w:t>
      </w:r>
      <w:r w:rsidRPr="00DF3006">
        <w:rPr>
          <w:color w:val="414042" w:themeColor="text1"/>
        </w:rPr>
        <w:br/>
        <w:t xml:space="preserve">‘non-current </w:t>
      </w:r>
      <w:proofErr w:type="gramStart"/>
      <w:r w:rsidRPr="00DF3006">
        <w:rPr>
          <w:color w:val="414042" w:themeColor="text1"/>
        </w:rPr>
        <w:t>assets’</w:t>
      </w:r>
      <w:proofErr w:type="gramEnd"/>
      <w:r w:rsidRPr="00DF3006">
        <w:rPr>
          <w:color w:val="414042" w:themeColor="text1"/>
        </w:rPr>
        <w:t>.</w:t>
      </w:r>
    </w:p>
    <w:p w14:paraId="477B115C" w14:textId="77777777" w:rsidR="00CF1D36" w:rsidRPr="00DF3006" w:rsidRDefault="00CF1D36" w:rsidP="00CF1D36">
      <w:pPr>
        <w:rPr>
          <w:color w:val="414042" w:themeColor="text1"/>
        </w:rPr>
      </w:pPr>
      <w:r w:rsidRPr="00DF3006">
        <w:rPr>
          <w:color w:val="414042" w:themeColor="text1"/>
        </w:rPr>
        <w:t>Current assets are those assets that can be readily converted into cash within the next 12 months. Our current assets include cash, trade debtors and other receivables, and pre-paid expenditure.</w:t>
      </w:r>
    </w:p>
    <w:p w14:paraId="5755CC83" w14:textId="59DE1835" w:rsidR="00CF1D36" w:rsidRPr="00DF3006" w:rsidRDefault="00CF1D36" w:rsidP="00CF1D36">
      <w:pPr>
        <w:rPr>
          <w:color w:val="414042" w:themeColor="text1"/>
          <w:spacing w:val="-4"/>
        </w:rPr>
      </w:pPr>
      <w:r w:rsidRPr="00DF3006">
        <w:rPr>
          <w:color w:val="414042" w:themeColor="text1"/>
          <w:spacing w:val="-4"/>
        </w:rPr>
        <w:t xml:space="preserve">Non-current assets are those assets that are not easily converted into cash and that an entity does not expect to convert into cash within the next 12 months. </w:t>
      </w:r>
      <w:proofErr w:type="gramStart"/>
      <w:r w:rsidRPr="00DF3006">
        <w:rPr>
          <w:color w:val="414042" w:themeColor="text1"/>
          <w:spacing w:val="-4"/>
        </w:rPr>
        <w:t>At</w:t>
      </w:r>
      <w:proofErr w:type="gramEnd"/>
      <w:r w:rsidRPr="00DF3006">
        <w:rPr>
          <w:color w:val="414042" w:themeColor="text1"/>
          <w:spacing w:val="-4"/>
        </w:rPr>
        <w:t xml:space="preserve"> 30 June 2023, our non-current assets of $</w:t>
      </w:r>
      <w:r w:rsidR="00186917" w:rsidRPr="00DF3006">
        <w:rPr>
          <w:color w:val="414042" w:themeColor="text1"/>
          <w:spacing w:val="-4"/>
        </w:rPr>
        <w:t>6.988</w:t>
      </w:r>
      <w:r w:rsidRPr="00DF3006">
        <w:rPr>
          <w:color w:val="414042" w:themeColor="text1"/>
          <w:spacing w:val="-4"/>
        </w:rPr>
        <w:t xml:space="preserve"> million included the book value of leasehold improvements, motor vehicles, computer and other technical equipment, software (intangibles), and work in progress.</w:t>
      </w:r>
    </w:p>
    <w:p w14:paraId="1193B27B" w14:textId="77777777" w:rsidR="00CF1D36" w:rsidRPr="00DF3006" w:rsidRDefault="00CF1D36" w:rsidP="00463FBB">
      <w:pPr>
        <w:pStyle w:val="Heading4"/>
      </w:pPr>
      <w:r w:rsidRPr="00DF3006">
        <w:t>Liabilities</w:t>
      </w:r>
    </w:p>
    <w:p w14:paraId="6A32D9F2" w14:textId="77777777" w:rsidR="00CF1D36" w:rsidRPr="00DF3006" w:rsidRDefault="00CF1D36" w:rsidP="00CF1D36">
      <w:pPr>
        <w:rPr>
          <w:color w:val="414042" w:themeColor="text1"/>
        </w:rPr>
      </w:pPr>
      <w:r w:rsidRPr="00DF3006">
        <w:rPr>
          <w:color w:val="414042" w:themeColor="text1"/>
        </w:rPr>
        <w:t xml:space="preserve">Liabilities are the amounts owed by the entity. Similarly, to assets, they are classed as ‘current liabilities’ and ‘non-current </w:t>
      </w:r>
      <w:proofErr w:type="gramStart"/>
      <w:r w:rsidRPr="00DF3006">
        <w:rPr>
          <w:color w:val="414042" w:themeColor="text1"/>
        </w:rPr>
        <w:t>liabilities’</w:t>
      </w:r>
      <w:proofErr w:type="gramEnd"/>
      <w:r w:rsidRPr="00DF3006">
        <w:rPr>
          <w:color w:val="414042" w:themeColor="text1"/>
        </w:rPr>
        <w:t>.</w:t>
      </w:r>
    </w:p>
    <w:p w14:paraId="3BDFFAC5" w14:textId="77777777" w:rsidR="00CF1D36" w:rsidRPr="00DF3006" w:rsidRDefault="00CF1D36" w:rsidP="00CF1D36">
      <w:pPr>
        <w:rPr>
          <w:color w:val="414042" w:themeColor="text1"/>
        </w:rPr>
      </w:pPr>
      <w:r w:rsidRPr="00DF3006">
        <w:rPr>
          <w:color w:val="414042" w:themeColor="text1"/>
        </w:rPr>
        <w:t>Current liabilities are amounts owing that an entity plans to pay within the next 12 months. Our current liabilities include amounts owed to suppliers (usually settled on 30-day terms), amounts owing for leave entitlements to be paid to the Annual Leave Central Scheme, provisions for expenditure incurred based on contractual obligations and expected to be settled within the next 12 months.</w:t>
      </w:r>
    </w:p>
    <w:p w14:paraId="1AA439F3" w14:textId="689EC56B" w:rsidR="00CF1D36" w:rsidRPr="00DF3006" w:rsidRDefault="00CF1D36" w:rsidP="00CF1D36">
      <w:pPr>
        <w:ind w:right="-143"/>
        <w:rPr>
          <w:color w:val="414042" w:themeColor="text1"/>
        </w:rPr>
      </w:pPr>
      <w:r w:rsidRPr="00DF3006">
        <w:rPr>
          <w:color w:val="414042" w:themeColor="text1"/>
        </w:rPr>
        <w:t xml:space="preserve">Non-current liabilities are those liabilities which an entity is not expected to pay within 12 months or which the entity has no legal requirement to settle within the next 12 months. Our non-current liabilities relate to the provision for costs to restore the leased premises to its original condition and deferred lease liabilities which have arisen due to recognising lease payments in accordance with the new leasing standard implemented on 1 July 2019 (see </w:t>
      </w:r>
      <w:r w:rsidR="00733003" w:rsidRPr="00DF3006">
        <w:rPr>
          <w:color w:val="414042" w:themeColor="text1"/>
        </w:rPr>
        <w:t>N</w:t>
      </w:r>
      <w:r w:rsidRPr="00DF3006">
        <w:rPr>
          <w:color w:val="414042" w:themeColor="text1"/>
        </w:rPr>
        <w:t>otes 10 and 11) over the term of the lease.</w:t>
      </w:r>
    </w:p>
    <w:p w14:paraId="294FE5B6" w14:textId="77777777" w:rsidR="00CF1D36" w:rsidRPr="00DF3006" w:rsidRDefault="00CF1D36" w:rsidP="00463FBB">
      <w:pPr>
        <w:pStyle w:val="Heading4"/>
      </w:pPr>
      <w:r w:rsidRPr="00DF3006">
        <w:rPr>
          <w:noProof/>
        </w:rPr>
        <w:lastRenderedPageBreak/>
        <mc:AlternateContent>
          <mc:Choice Requires="wps">
            <w:drawing>
              <wp:anchor distT="45720" distB="45720" distL="114300" distR="114300" simplePos="0" relativeHeight="252290048" behindDoc="0" locked="0" layoutInCell="1" allowOverlap="1" wp14:anchorId="2B9AA2A2" wp14:editId="7FA42637">
                <wp:simplePos x="0" y="0"/>
                <wp:positionH relativeFrom="margin">
                  <wp:align>left</wp:align>
                </wp:positionH>
                <wp:positionV relativeFrom="margin">
                  <wp:posOffset>104140</wp:posOffset>
                </wp:positionV>
                <wp:extent cx="6281420" cy="723900"/>
                <wp:effectExtent l="0" t="0" r="0" b="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23900"/>
                        </a:xfrm>
                        <a:prstGeom prst="rect">
                          <a:avLst/>
                        </a:prstGeom>
                        <a:noFill/>
                        <a:ln w="9525">
                          <a:noFill/>
                          <a:miter lim="800000"/>
                          <a:headEnd/>
                          <a:tailEnd/>
                        </a:ln>
                      </wps:spPr>
                      <wps:txbx>
                        <w:txbxContent>
                          <w:p w14:paraId="0D48CA63" w14:textId="77777777" w:rsidR="00CF1D36" w:rsidRDefault="00CF1D36" w:rsidP="00CF1D36"/>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AA2A2" id="Text Box 695" o:spid="_x0000_s1038" type="#_x0000_t202" style="position:absolute;margin-left:0;margin-top:8.2pt;width:494.6pt;height:57pt;z-index:2522900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" filled="f" stroked="f">
                <v:textbox>
                  <w:txbxContent>
                    <w:p w14:paraId="0D48CA63" w14:textId="77777777" w:rsidR="00CF1D36" w:rsidRDefault="00CF1D36" w:rsidP="00CF1D36"/>
                  </w:txbxContent>
                </v:textbox>
                <w10:wrap type="square" anchorx="margin" anchory="margin"/>
              </v:shape>
            </w:pict>
          </mc:Fallback>
        </mc:AlternateContent>
      </w:r>
      <w:r w:rsidRPr="00DF3006">
        <w:t>Net assets</w:t>
      </w:r>
    </w:p>
    <w:p w14:paraId="792C4710" w14:textId="50ACEE87" w:rsidR="00CF1D36" w:rsidRPr="00DF3006" w:rsidRDefault="00CF1D36" w:rsidP="00CF1D36">
      <w:pPr>
        <w:ind w:right="-143"/>
        <w:rPr>
          <w:color w:val="414042" w:themeColor="text1"/>
        </w:rPr>
      </w:pPr>
      <w:r w:rsidRPr="00DF3006">
        <w:rPr>
          <w:color w:val="414042" w:themeColor="text1"/>
        </w:rPr>
        <w:t xml:space="preserve">This term is used to describe the difference between </w:t>
      </w:r>
      <w:r w:rsidRPr="00DF3006">
        <w:rPr>
          <w:color w:val="414042" w:themeColor="text1"/>
        </w:rPr>
        <w:br/>
        <w:t>the value of total assets and the value of total liabilities.</w:t>
      </w:r>
      <w:r w:rsidRPr="00DF3006">
        <w:rPr>
          <w:color w:val="414042" w:themeColor="text1"/>
        </w:rPr>
        <w:br/>
        <w:t xml:space="preserve">It represents the net worth of the CCC as </w:t>
      </w:r>
      <w:proofErr w:type="gramStart"/>
      <w:r w:rsidR="00000629" w:rsidRPr="00DF3006">
        <w:rPr>
          <w:color w:val="414042" w:themeColor="text1"/>
        </w:rPr>
        <w:t>at</w:t>
      </w:r>
      <w:proofErr w:type="gramEnd"/>
      <w:r w:rsidR="00000629" w:rsidRPr="00DF3006">
        <w:rPr>
          <w:color w:val="414042" w:themeColor="text1"/>
        </w:rPr>
        <w:t xml:space="preserve"> 30 June 2023</w:t>
      </w:r>
      <w:r w:rsidRPr="00DF3006">
        <w:rPr>
          <w:color w:val="414042" w:themeColor="text1"/>
        </w:rPr>
        <w:t>.</w:t>
      </w:r>
    </w:p>
    <w:p w14:paraId="32AF29BF" w14:textId="77777777" w:rsidR="00CF1D36" w:rsidRPr="00DF3006" w:rsidRDefault="00CF1D36" w:rsidP="00463FBB">
      <w:pPr>
        <w:pStyle w:val="Heading4"/>
      </w:pPr>
      <w:r w:rsidRPr="00DF3006">
        <w:t>Equity</w:t>
      </w:r>
    </w:p>
    <w:p w14:paraId="04E164D3" w14:textId="77777777" w:rsidR="00CF1D36" w:rsidRPr="00DF3006" w:rsidRDefault="00CF1D36" w:rsidP="00CF1D36">
      <w:pPr>
        <w:rPr>
          <w:color w:val="414042" w:themeColor="text1"/>
        </w:rPr>
      </w:pPr>
      <w:r w:rsidRPr="00DF3006">
        <w:rPr>
          <w:color w:val="414042" w:themeColor="text1"/>
        </w:rPr>
        <w:t xml:space="preserve">Equity is the net worth of the entity and is represented by total assets </w:t>
      </w:r>
      <w:proofErr w:type="gramStart"/>
      <w:r w:rsidRPr="00DF3006">
        <w:rPr>
          <w:color w:val="414042" w:themeColor="text1"/>
        </w:rPr>
        <w:t>less</w:t>
      </w:r>
      <w:proofErr w:type="gramEnd"/>
      <w:r w:rsidRPr="00DF3006">
        <w:rPr>
          <w:color w:val="414042" w:themeColor="text1"/>
        </w:rPr>
        <w:t xml:space="preserve"> total liabilities in the Statement of Financial Position. An entity’s equity balance is made up of initial capital (contributions), accumulated surplus/deficit and reserves.</w:t>
      </w:r>
    </w:p>
    <w:p w14:paraId="55E59D5C" w14:textId="77777777" w:rsidR="00CF1D36" w:rsidRPr="00DF3006" w:rsidRDefault="00CF1D36" w:rsidP="00463FBB">
      <w:pPr>
        <w:pStyle w:val="Heading4"/>
      </w:pPr>
      <w:r w:rsidRPr="00DF3006">
        <w:t>Statement of Changes in Equity</w:t>
      </w:r>
    </w:p>
    <w:p w14:paraId="64D2C0CA" w14:textId="77777777" w:rsidR="00CF1D36" w:rsidRPr="00DF3006" w:rsidRDefault="00CF1D36" w:rsidP="00CF1D36">
      <w:pPr>
        <w:rPr>
          <w:color w:val="414042" w:themeColor="text1"/>
        </w:rPr>
      </w:pPr>
      <w:r w:rsidRPr="00DF3006">
        <w:rPr>
          <w:color w:val="414042" w:themeColor="text1"/>
        </w:rPr>
        <w:t>The Statement of Changes in Equity details movements in the equity of an entity during the reporting period. The equity balance is affected by the operating result (surplus or deficit) for the period, equity injections or withdrawals, and asset revaluations.</w:t>
      </w:r>
    </w:p>
    <w:p w14:paraId="043AF495" w14:textId="77777777" w:rsidR="00CF1D36" w:rsidRPr="00DF3006" w:rsidRDefault="00CF1D36" w:rsidP="00463FBB">
      <w:pPr>
        <w:pStyle w:val="Heading4"/>
      </w:pPr>
      <w:r w:rsidRPr="00DF3006">
        <w:br w:type="column"/>
        <w:t>Statement of Cash Flows</w:t>
      </w:r>
    </w:p>
    <w:p w14:paraId="01A2BF6C" w14:textId="77777777" w:rsidR="00186917" w:rsidRPr="00DF3006" w:rsidRDefault="00186917" w:rsidP="00186917">
      <w:pPr>
        <w:ind w:right="140"/>
        <w:rPr>
          <w:color w:val="414042" w:themeColor="text1"/>
        </w:rPr>
      </w:pPr>
      <w:r w:rsidRPr="00DF3006">
        <w:rPr>
          <w:color w:val="414042" w:themeColor="text1"/>
        </w:rPr>
        <w:t>This statement shows the actual movements of cash during the financial year. During the 2022–23 financial year, we received $70.223 million in cash and paid out $61.994million in cash to manage our operating activities. In addition, $1.576 million in cash was invested in capital acquisitions. Our cash balance at</w:t>
      </w:r>
      <w:r w:rsidRPr="00DF3006">
        <w:rPr>
          <w:color w:val="414042" w:themeColor="text1"/>
        </w:rPr>
        <w:br/>
        <w:t xml:space="preserve">30 June 2023 was $25.215 million compared with $18.895 million </w:t>
      </w:r>
      <w:proofErr w:type="gramStart"/>
      <w:r w:rsidRPr="00DF3006">
        <w:rPr>
          <w:color w:val="414042" w:themeColor="text1"/>
        </w:rPr>
        <w:t>at</w:t>
      </w:r>
      <w:proofErr w:type="gramEnd"/>
      <w:r w:rsidRPr="00DF3006">
        <w:rPr>
          <w:color w:val="414042" w:themeColor="text1"/>
        </w:rPr>
        <w:t xml:space="preserve"> 30 June 2023. The increase in cash of $6.320 million is mainly due to the current year operating surplus, depreciation and amortisation expenses when compared with 30 June 2022.</w:t>
      </w:r>
    </w:p>
    <w:p w14:paraId="0BC5C878" w14:textId="77777777" w:rsidR="00CF1D36" w:rsidRPr="00DF3006" w:rsidRDefault="00CF1D36" w:rsidP="00463FBB">
      <w:pPr>
        <w:pStyle w:val="Heading4"/>
      </w:pPr>
      <w:r w:rsidRPr="00DF3006">
        <w:t>Notes to and forming part of the Financial Statements</w:t>
      </w:r>
    </w:p>
    <w:p w14:paraId="3DA86981" w14:textId="77777777" w:rsidR="00CF1D36" w:rsidRPr="00DF3006" w:rsidRDefault="00CF1D36" w:rsidP="00CF1D36">
      <w:pPr>
        <w:ind w:right="-1"/>
        <w:rPr>
          <w:color w:val="414042" w:themeColor="text1"/>
        </w:rPr>
      </w:pPr>
      <w:r w:rsidRPr="00DF3006">
        <w:rPr>
          <w:color w:val="414042" w:themeColor="text1"/>
        </w:rPr>
        <w:t>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p>
    <w:p w14:paraId="00E43F67" w14:textId="77777777" w:rsidR="00CF1D36" w:rsidRPr="00DF3006" w:rsidRDefault="00CF1D36" w:rsidP="00CF1D36">
      <w:pPr>
        <w:rPr>
          <w:strike/>
          <w:color w:val="414042" w:themeColor="text1"/>
        </w:rPr>
      </w:pPr>
    </w:p>
    <w:p w14:paraId="4F60F51C" w14:textId="77777777" w:rsidR="00CF1D36" w:rsidRPr="00DF3006" w:rsidRDefault="00CF1D36" w:rsidP="00CF1D36">
      <w:pPr>
        <w:rPr>
          <w:strike/>
          <w:color w:val="414042" w:themeColor="text1"/>
        </w:rPr>
        <w:sectPr w:rsidR="00CF1D36" w:rsidRPr="00DF3006" w:rsidSect="00C77834">
          <w:headerReference w:type="even" r:id="rId312"/>
          <w:headerReference w:type="default" r:id="rId313"/>
          <w:headerReference w:type="first" r:id="rId314"/>
          <w:type w:val="continuous"/>
          <w:pgSz w:w="11906" w:h="16838" w:code="9"/>
          <w:pgMar w:top="2155" w:right="1134" w:bottom="964" w:left="1134" w:header="720" w:footer="284" w:gutter="0"/>
          <w:cols w:num="2" w:space="567"/>
          <w:noEndnote/>
          <w:docGrid w:linePitch="272"/>
        </w:sectPr>
      </w:pPr>
    </w:p>
    <w:p w14:paraId="55A810D5" w14:textId="77777777" w:rsidR="00CF1D36" w:rsidRPr="00DF3006" w:rsidRDefault="00CF1D36" w:rsidP="00CF1D36">
      <w:pPr>
        <w:spacing w:before="120" w:after="0" w:line="260" w:lineRule="exact"/>
        <w:rPr>
          <w:strike/>
          <w:color w:val="414042" w:themeColor="text1"/>
        </w:rPr>
        <w:sectPr w:rsidR="00CF1D36" w:rsidRPr="00DF3006" w:rsidSect="00C77834">
          <w:headerReference w:type="even" r:id="rId315"/>
          <w:headerReference w:type="default" r:id="rId316"/>
          <w:footerReference w:type="even" r:id="rId317"/>
          <w:headerReference w:type="first" r:id="rId318"/>
          <w:footerReference w:type="first" r:id="rId319"/>
          <w:type w:val="continuous"/>
          <w:pgSz w:w="11906" w:h="16838"/>
          <w:pgMar w:top="2155" w:right="1134" w:bottom="964" w:left="1134" w:header="720" w:footer="283" w:gutter="0"/>
          <w:cols w:space="708"/>
          <w:titlePg/>
          <w:docGrid w:linePitch="360"/>
        </w:sectPr>
      </w:pPr>
      <w:r w:rsidRPr="00DF3006">
        <w:rPr>
          <w:strike/>
          <w:color w:val="414042" w:themeColor="text1"/>
        </w:rPr>
        <w:br w:type="page"/>
      </w:r>
    </w:p>
    <w:p w14:paraId="0BACBA8F" w14:textId="64C384AE" w:rsidR="00C30C67" w:rsidRPr="00FA07A8" w:rsidRDefault="00FA07A8" w:rsidP="00782A75">
      <w:pPr>
        <w:pStyle w:val="Heading1"/>
        <w:spacing w:after="0"/>
        <w:rPr>
          <w:color w:val="FFFFFF" w:themeColor="background1"/>
          <w:sz w:val="32"/>
          <w:szCs w:val="12"/>
        </w:rPr>
      </w:pPr>
      <w:bookmarkStart w:id="1938" w:name="_Heading"/>
      <w:bookmarkStart w:id="1939" w:name="_Financial_Statements"/>
      <w:bookmarkEnd w:id="1938"/>
      <w:bookmarkEnd w:id="1939"/>
      <w:r w:rsidRPr="00FA07A8">
        <w:rPr>
          <w:color w:val="FFFFFF" w:themeColor="background1"/>
          <w:sz w:val="32"/>
          <w:szCs w:val="12"/>
        </w:rPr>
        <w:lastRenderedPageBreak/>
        <w:t>Financial Statements</w:t>
      </w:r>
    </w:p>
    <w:p w14:paraId="7B456631" w14:textId="306E60C2" w:rsidR="00C30C67" w:rsidRPr="00DF3006" w:rsidRDefault="00C30C67" w:rsidP="00C30C67">
      <w:pPr>
        <w:rPr>
          <w:color w:val="414042" w:themeColor="text1"/>
        </w:rPr>
      </w:pPr>
    </w:p>
    <w:tbl>
      <w:tblPr>
        <w:tblW w:w="5000" w:type="pct"/>
        <w:tblLook w:val="04A0" w:firstRow="1" w:lastRow="0" w:firstColumn="1" w:lastColumn="0" w:noHBand="0" w:noVBand="1"/>
      </w:tblPr>
      <w:tblGrid>
        <w:gridCol w:w="9066"/>
        <w:gridCol w:w="572"/>
      </w:tblGrid>
      <w:tr w:rsidR="00DF3006" w:rsidRPr="00DF3006" w14:paraId="67C2F64E" w14:textId="77777777" w:rsidTr="003034BE">
        <w:trPr>
          <w:trHeight w:val="388"/>
        </w:trPr>
        <w:tc>
          <w:tcPr>
            <w:tcW w:w="4703" w:type="pct"/>
            <w:shd w:val="clear" w:color="auto" w:fill="auto"/>
            <w:vAlign w:val="center"/>
          </w:tcPr>
          <w:p w14:paraId="58E14C21" w14:textId="4A7105B9" w:rsidR="003034BE" w:rsidRPr="00DF3006" w:rsidRDefault="003034BE" w:rsidP="003034BE">
            <w:pPr>
              <w:spacing w:before="20" w:after="20"/>
              <w:ind w:left="-85"/>
              <w:rPr>
                <w:rFonts w:asciiTheme="minorHAnsi" w:hAnsiTheme="minorHAnsi" w:cstheme="minorHAnsi"/>
                <w:color w:val="414042" w:themeColor="text1"/>
              </w:rPr>
            </w:pPr>
            <w:r w:rsidRPr="00DF3006">
              <w:rPr>
                <w:rFonts w:asciiTheme="minorHAnsi" w:hAnsiTheme="minorHAnsi" w:cstheme="minorHAnsi"/>
                <w:b/>
                <w:bCs/>
                <w:color w:val="414042" w:themeColor="text1"/>
                <w:sz w:val="24"/>
                <w:szCs w:val="28"/>
              </w:rPr>
              <w:t>Contents</w:t>
            </w:r>
          </w:p>
        </w:tc>
        <w:tc>
          <w:tcPr>
            <w:tcW w:w="297" w:type="pct"/>
            <w:vAlign w:val="center"/>
          </w:tcPr>
          <w:p w14:paraId="56326E6C" w14:textId="6F55C944" w:rsidR="003034BE" w:rsidRPr="00DF3006" w:rsidRDefault="003034BE" w:rsidP="003034BE">
            <w:pPr>
              <w:spacing w:before="20" w:after="20"/>
              <w:ind w:left="-85"/>
              <w:jc w:val="center"/>
              <w:rPr>
                <w:rFonts w:asciiTheme="minorHAnsi" w:hAnsiTheme="minorHAnsi" w:cstheme="minorHAnsi"/>
                <w:bCs/>
                <w:color w:val="414042" w:themeColor="text1"/>
                <w:highlight w:val="red"/>
              </w:rPr>
            </w:pPr>
            <w:r w:rsidRPr="00DF3006">
              <w:rPr>
                <w:rFonts w:asciiTheme="minorHAnsi" w:hAnsiTheme="minorHAnsi" w:cstheme="minorHAnsi"/>
                <w:b/>
                <w:bCs/>
                <w:color w:val="414042" w:themeColor="text1"/>
                <w:sz w:val="22"/>
                <w:szCs w:val="24"/>
              </w:rPr>
              <w:t>Page</w:t>
            </w:r>
          </w:p>
        </w:tc>
      </w:tr>
      <w:tr w:rsidR="00DF3006" w:rsidRPr="00DF3006" w14:paraId="5CB30602" w14:textId="56811B1A" w:rsidTr="003034BE">
        <w:trPr>
          <w:trHeight w:val="388"/>
        </w:trPr>
        <w:tc>
          <w:tcPr>
            <w:tcW w:w="4703" w:type="pct"/>
            <w:shd w:val="clear" w:color="auto" w:fill="auto"/>
            <w:vAlign w:val="center"/>
          </w:tcPr>
          <w:p w14:paraId="6373633D" w14:textId="4FEAFDAA" w:rsidR="003034BE" w:rsidRPr="00DF3006" w:rsidRDefault="003034BE" w:rsidP="003034BE">
            <w:pPr>
              <w:spacing w:before="20" w:after="20"/>
              <w:ind w:left="-85"/>
              <w:rPr>
                <w:rFonts w:asciiTheme="minorHAnsi" w:hAnsiTheme="minorHAnsi" w:cstheme="minorHAnsi"/>
                <w:bCs/>
                <w:color w:val="414042" w:themeColor="text1"/>
              </w:rPr>
            </w:pPr>
            <w:r w:rsidRPr="00DF3006">
              <w:rPr>
                <w:rFonts w:asciiTheme="minorHAnsi" w:hAnsiTheme="minorHAnsi" w:cstheme="minorHAnsi"/>
                <w:color w:val="414042" w:themeColor="text1"/>
              </w:rPr>
              <w:t>Statement of Comprehensive Income</w:t>
            </w:r>
          </w:p>
        </w:tc>
        <w:tc>
          <w:tcPr>
            <w:tcW w:w="297" w:type="pct"/>
            <w:vAlign w:val="center"/>
          </w:tcPr>
          <w:p w14:paraId="31F98E6F" w14:textId="6FF8AF63" w:rsidR="003034BE" w:rsidRPr="00DF3006" w:rsidRDefault="003034BE" w:rsidP="003034BE">
            <w:pPr>
              <w:spacing w:before="20" w:after="20"/>
              <w:ind w:left="-85"/>
              <w:jc w:val="center"/>
              <w:rPr>
                <w:rFonts w:asciiTheme="minorHAnsi" w:hAnsiTheme="minorHAnsi" w:cstheme="minorHAnsi"/>
                <w:color w:val="414042" w:themeColor="text1"/>
              </w:rPr>
            </w:pPr>
            <w:r w:rsidRPr="00DF3006">
              <w:rPr>
                <w:rFonts w:asciiTheme="minorHAnsi" w:hAnsiTheme="minorHAnsi" w:cstheme="minorHAnsi"/>
                <w:bCs/>
                <w:color w:val="414042" w:themeColor="text1"/>
              </w:rPr>
              <w:t>8</w:t>
            </w:r>
            <w:r w:rsidR="00136F0B" w:rsidRPr="00DF3006">
              <w:rPr>
                <w:rFonts w:asciiTheme="minorHAnsi" w:hAnsiTheme="minorHAnsi" w:cstheme="minorHAnsi"/>
                <w:bCs/>
                <w:color w:val="414042" w:themeColor="text1"/>
              </w:rPr>
              <w:t>5</w:t>
            </w:r>
          </w:p>
        </w:tc>
      </w:tr>
      <w:tr w:rsidR="00DF3006" w:rsidRPr="00DF3006" w14:paraId="50A7CF0E" w14:textId="4DDA17EF" w:rsidTr="003034BE">
        <w:trPr>
          <w:trHeight w:val="388"/>
        </w:trPr>
        <w:tc>
          <w:tcPr>
            <w:tcW w:w="4703" w:type="pct"/>
            <w:shd w:val="clear" w:color="auto" w:fill="auto"/>
            <w:vAlign w:val="center"/>
          </w:tcPr>
          <w:p w14:paraId="5AFA5550" w14:textId="5325D062" w:rsidR="003034BE" w:rsidRPr="00DF3006" w:rsidRDefault="003034BE" w:rsidP="003034BE">
            <w:pPr>
              <w:spacing w:before="20" w:after="20"/>
              <w:ind w:left="-85"/>
              <w:rPr>
                <w:rFonts w:asciiTheme="minorHAnsi" w:hAnsiTheme="minorHAnsi" w:cstheme="minorHAnsi"/>
                <w:bCs/>
                <w:color w:val="414042" w:themeColor="text1"/>
              </w:rPr>
            </w:pPr>
            <w:r w:rsidRPr="00DF3006">
              <w:rPr>
                <w:rFonts w:asciiTheme="minorHAnsi" w:hAnsiTheme="minorHAnsi" w:cstheme="minorHAnsi"/>
                <w:color w:val="414042" w:themeColor="text1"/>
              </w:rPr>
              <w:t>Statement of Financial Position</w:t>
            </w:r>
          </w:p>
        </w:tc>
        <w:tc>
          <w:tcPr>
            <w:tcW w:w="297" w:type="pct"/>
            <w:vAlign w:val="center"/>
          </w:tcPr>
          <w:p w14:paraId="42D4FCF9" w14:textId="46E47FEC" w:rsidR="003034BE" w:rsidRPr="00DF3006" w:rsidRDefault="003034BE" w:rsidP="003034BE">
            <w:pPr>
              <w:spacing w:before="20" w:after="20"/>
              <w:ind w:left="-85"/>
              <w:jc w:val="center"/>
              <w:rPr>
                <w:rFonts w:asciiTheme="minorHAnsi" w:hAnsiTheme="minorHAnsi" w:cstheme="minorHAnsi"/>
                <w:color w:val="414042" w:themeColor="text1"/>
              </w:rPr>
            </w:pPr>
            <w:r w:rsidRPr="00DF3006">
              <w:rPr>
                <w:rFonts w:asciiTheme="minorHAnsi" w:hAnsiTheme="minorHAnsi" w:cstheme="minorHAnsi"/>
                <w:bCs/>
                <w:color w:val="414042" w:themeColor="text1"/>
              </w:rPr>
              <w:t>8</w:t>
            </w:r>
            <w:r w:rsidR="00136F0B" w:rsidRPr="00DF3006">
              <w:rPr>
                <w:rFonts w:asciiTheme="minorHAnsi" w:hAnsiTheme="minorHAnsi" w:cstheme="minorHAnsi"/>
                <w:bCs/>
                <w:color w:val="414042" w:themeColor="text1"/>
              </w:rPr>
              <w:t>6</w:t>
            </w:r>
          </w:p>
        </w:tc>
      </w:tr>
      <w:tr w:rsidR="00DF3006" w:rsidRPr="00DF3006" w14:paraId="4FA04C76" w14:textId="7FF9AB6E" w:rsidTr="003034BE">
        <w:trPr>
          <w:trHeight w:val="388"/>
        </w:trPr>
        <w:tc>
          <w:tcPr>
            <w:tcW w:w="4703" w:type="pct"/>
            <w:shd w:val="clear" w:color="auto" w:fill="auto"/>
            <w:vAlign w:val="center"/>
          </w:tcPr>
          <w:p w14:paraId="50BF22A1" w14:textId="2223D16C" w:rsidR="003034BE" w:rsidRPr="00DF3006" w:rsidRDefault="003034BE" w:rsidP="003034BE">
            <w:pPr>
              <w:spacing w:before="20" w:after="20"/>
              <w:ind w:left="-85"/>
              <w:rPr>
                <w:rFonts w:asciiTheme="minorHAnsi" w:hAnsiTheme="minorHAnsi" w:cstheme="minorHAnsi"/>
                <w:bCs/>
                <w:color w:val="414042" w:themeColor="text1"/>
              </w:rPr>
            </w:pPr>
            <w:r w:rsidRPr="00DF3006">
              <w:rPr>
                <w:rFonts w:asciiTheme="minorHAnsi" w:hAnsiTheme="minorHAnsi" w:cstheme="minorHAnsi"/>
                <w:color w:val="414042" w:themeColor="text1"/>
              </w:rPr>
              <w:t>Statement of Changes in Equity</w:t>
            </w:r>
          </w:p>
        </w:tc>
        <w:tc>
          <w:tcPr>
            <w:tcW w:w="297" w:type="pct"/>
            <w:vAlign w:val="center"/>
          </w:tcPr>
          <w:p w14:paraId="28328609" w14:textId="6711A1DE" w:rsidR="003034BE" w:rsidRPr="00DF3006" w:rsidRDefault="003034BE" w:rsidP="003034BE">
            <w:pPr>
              <w:spacing w:before="20" w:after="20"/>
              <w:ind w:left="-85"/>
              <w:jc w:val="center"/>
              <w:rPr>
                <w:rFonts w:asciiTheme="minorHAnsi" w:hAnsiTheme="minorHAnsi" w:cstheme="minorHAnsi"/>
                <w:color w:val="414042" w:themeColor="text1"/>
              </w:rPr>
            </w:pPr>
            <w:r w:rsidRPr="00DF3006">
              <w:rPr>
                <w:rFonts w:asciiTheme="minorHAnsi" w:hAnsiTheme="minorHAnsi" w:cstheme="minorHAnsi"/>
                <w:bCs/>
                <w:color w:val="414042" w:themeColor="text1"/>
              </w:rPr>
              <w:t>8</w:t>
            </w:r>
            <w:r w:rsidR="00136F0B" w:rsidRPr="00DF3006">
              <w:rPr>
                <w:rFonts w:asciiTheme="minorHAnsi" w:hAnsiTheme="minorHAnsi" w:cstheme="minorHAnsi"/>
                <w:bCs/>
                <w:color w:val="414042" w:themeColor="text1"/>
              </w:rPr>
              <w:t>7</w:t>
            </w:r>
          </w:p>
        </w:tc>
      </w:tr>
      <w:tr w:rsidR="00DF3006" w:rsidRPr="00DF3006" w14:paraId="0CC35850" w14:textId="354CD07A" w:rsidTr="003034BE">
        <w:trPr>
          <w:trHeight w:val="388"/>
        </w:trPr>
        <w:tc>
          <w:tcPr>
            <w:tcW w:w="4703" w:type="pct"/>
            <w:shd w:val="clear" w:color="auto" w:fill="auto"/>
            <w:vAlign w:val="center"/>
          </w:tcPr>
          <w:p w14:paraId="53A219C4" w14:textId="671EC2CB" w:rsidR="003034BE" w:rsidRPr="00DF3006" w:rsidRDefault="003034BE" w:rsidP="003034BE">
            <w:pPr>
              <w:spacing w:before="20" w:after="20"/>
              <w:ind w:left="-85"/>
              <w:rPr>
                <w:rFonts w:asciiTheme="minorHAnsi" w:hAnsiTheme="minorHAnsi" w:cstheme="minorHAnsi"/>
                <w:bCs/>
                <w:color w:val="414042" w:themeColor="text1"/>
              </w:rPr>
            </w:pPr>
            <w:r w:rsidRPr="00DF3006">
              <w:rPr>
                <w:rFonts w:asciiTheme="minorHAnsi" w:hAnsiTheme="minorHAnsi" w:cstheme="minorHAnsi"/>
                <w:color w:val="414042" w:themeColor="text1"/>
              </w:rPr>
              <w:t>Statement of Cash Flows</w:t>
            </w:r>
          </w:p>
        </w:tc>
        <w:tc>
          <w:tcPr>
            <w:tcW w:w="297" w:type="pct"/>
            <w:vAlign w:val="center"/>
          </w:tcPr>
          <w:p w14:paraId="5EE69D8D" w14:textId="268E7CBA" w:rsidR="003034BE" w:rsidRPr="00DF3006" w:rsidRDefault="003034BE" w:rsidP="003034BE">
            <w:pPr>
              <w:spacing w:before="20" w:after="20"/>
              <w:ind w:left="-85"/>
              <w:jc w:val="center"/>
              <w:rPr>
                <w:rFonts w:asciiTheme="minorHAnsi" w:hAnsiTheme="minorHAnsi" w:cstheme="minorHAnsi"/>
                <w:color w:val="414042" w:themeColor="text1"/>
              </w:rPr>
            </w:pPr>
            <w:r w:rsidRPr="00DF3006">
              <w:rPr>
                <w:rFonts w:asciiTheme="minorHAnsi" w:hAnsiTheme="minorHAnsi" w:cstheme="minorHAnsi"/>
                <w:bCs/>
                <w:color w:val="414042" w:themeColor="text1"/>
              </w:rPr>
              <w:t>8</w:t>
            </w:r>
            <w:r w:rsidR="00123846" w:rsidRPr="00DF3006">
              <w:rPr>
                <w:rFonts w:asciiTheme="minorHAnsi" w:hAnsiTheme="minorHAnsi" w:cstheme="minorHAnsi"/>
                <w:bCs/>
                <w:color w:val="414042" w:themeColor="text1"/>
              </w:rPr>
              <w:t>8</w:t>
            </w:r>
          </w:p>
        </w:tc>
      </w:tr>
      <w:tr w:rsidR="00DF3006" w:rsidRPr="00DF3006" w14:paraId="00AE9D89" w14:textId="50372421" w:rsidTr="003034BE">
        <w:trPr>
          <w:trHeight w:val="388"/>
        </w:trPr>
        <w:tc>
          <w:tcPr>
            <w:tcW w:w="4703" w:type="pct"/>
            <w:shd w:val="clear" w:color="auto" w:fill="auto"/>
            <w:vAlign w:val="center"/>
          </w:tcPr>
          <w:p w14:paraId="3D1F9BF3" w14:textId="478C2972" w:rsidR="003034BE" w:rsidRPr="00DF3006" w:rsidRDefault="003034BE" w:rsidP="003034BE">
            <w:pPr>
              <w:spacing w:before="20" w:after="20"/>
              <w:ind w:left="-85"/>
              <w:rPr>
                <w:rFonts w:asciiTheme="minorHAnsi" w:hAnsiTheme="minorHAnsi" w:cstheme="minorHAnsi"/>
                <w:bCs/>
                <w:color w:val="414042" w:themeColor="text1"/>
              </w:rPr>
            </w:pPr>
            <w:r w:rsidRPr="00DF3006">
              <w:rPr>
                <w:rFonts w:asciiTheme="minorHAnsi" w:hAnsiTheme="minorHAnsi" w:cstheme="minorHAnsi"/>
                <w:color w:val="414042" w:themeColor="text1"/>
              </w:rPr>
              <w:t>Notes to and forming part of the Financial Statements</w:t>
            </w:r>
          </w:p>
        </w:tc>
        <w:tc>
          <w:tcPr>
            <w:tcW w:w="297" w:type="pct"/>
            <w:vAlign w:val="center"/>
          </w:tcPr>
          <w:p w14:paraId="6E71F421" w14:textId="707650DF" w:rsidR="003034BE" w:rsidRPr="00DF3006" w:rsidRDefault="003034BE" w:rsidP="003034BE">
            <w:pPr>
              <w:spacing w:before="20" w:after="20"/>
              <w:ind w:left="-85"/>
              <w:jc w:val="center"/>
              <w:rPr>
                <w:rFonts w:asciiTheme="minorHAnsi" w:hAnsiTheme="minorHAnsi" w:cstheme="minorHAnsi"/>
                <w:color w:val="414042" w:themeColor="text1"/>
              </w:rPr>
            </w:pPr>
            <w:r w:rsidRPr="00DF3006">
              <w:rPr>
                <w:rFonts w:asciiTheme="minorHAnsi" w:hAnsiTheme="minorHAnsi" w:cstheme="minorHAnsi"/>
                <w:color w:val="414042" w:themeColor="text1"/>
              </w:rPr>
              <w:t>90</w:t>
            </w:r>
          </w:p>
        </w:tc>
      </w:tr>
      <w:tr w:rsidR="003034BE" w:rsidRPr="00DF3006" w14:paraId="7B20B43B" w14:textId="24AF96A4" w:rsidTr="003034BE">
        <w:trPr>
          <w:trHeight w:val="388"/>
        </w:trPr>
        <w:tc>
          <w:tcPr>
            <w:tcW w:w="4703" w:type="pct"/>
            <w:shd w:val="clear" w:color="auto" w:fill="auto"/>
            <w:vAlign w:val="center"/>
          </w:tcPr>
          <w:p w14:paraId="45DE4598" w14:textId="2D7A4A96" w:rsidR="003034BE" w:rsidRPr="00DF3006" w:rsidRDefault="003034BE" w:rsidP="003034BE">
            <w:pPr>
              <w:spacing w:before="20" w:after="20"/>
              <w:ind w:left="-85"/>
              <w:rPr>
                <w:rFonts w:asciiTheme="minorHAnsi" w:hAnsiTheme="minorHAnsi" w:cstheme="minorHAnsi"/>
                <w:bCs/>
                <w:color w:val="414042" w:themeColor="text1"/>
              </w:rPr>
            </w:pPr>
            <w:r w:rsidRPr="00DF3006">
              <w:rPr>
                <w:rFonts w:asciiTheme="minorHAnsi" w:hAnsiTheme="minorHAnsi" w:cstheme="minorHAnsi"/>
                <w:color w:val="414042" w:themeColor="text1"/>
              </w:rPr>
              <w:t>Management Certificate</w:t>
            </w:r>
          </w:p>
        </w:tc>
        <w:tc>
          <w:tcPr>
            <w:tcW w:w="297" w:type="pct"/>
            <w:vAlign w:val="center"/>
          </w:tcPr>
          <w:p w14:paraId="7F32E6C5" w14:textId="49E75BC3" w:rsidR="003034BE" w:rsidRPr="00DF3006" w:rsidRDefault="003034BE" w:rsidP="003034BE">
            <w:pPr>
              <w:spacing w:before="20" w:after="20"/>
              <w:ind w:left="-85"/>
              <w:jc w:val="center"/>
              <w:rPr>
                <w:rFonts w:asciiTheme="minorHAnsi" w:hAnsiTheme="minorHAnsi" w:cstheme="minorHAnsi"/>
                <w:color w:val="414042" w:themeColor="text1"/>
              </w:rPr>
            </w:pPr>
            <w:r w:rsidRPr="00DF3006">
              <w:rPr>
                <w:rFonts w:asciiTheme="minorHAnsi" w:hAnsiTheme="minorHAnsi" w:cstheme="minorHAnsi"/>
                <w:color w:val="414042" w:themeColor="text1"/>
              </w:rPr>
              <w:t>11</w:t>
            </w:r>
            <w:r w:rsidR="00123846" w:rsidRPr="00DF3006">
              <w:rPr>
                <w:rFonts w:asciiTheme="minorHAnsi" w:hAnsiTheme="minorHAnsi" w:cstheme="minorHAnsi"/>
                <w:color w:val="414042" w:themeColor="text1"/>
              </w:rPr>
              <w:t>6</w:t>
            </w:r>
          </w:p>
        </w:tc>
      </w:tr>
    </w:tbl>
    <w:p w14:paraId="1582CF2A" w14:textId="0B16AE17" w:rsidR="00C30C67" w:rsidRPr="00DF3006" w:rsidRDefault="00C30C67" w:rsidP="00C30C67">
      <w:pPr>
        <w:rPr>
          <w:color w:val="414042" w:themeColor="text1"/>
        </w:rPr>
      </w:pPr>
    </w:p>
    <w:p w14:paraId="00216653" w14:textId="1C5F39F3" w:rsidR="00C30C67" w:rsidRPr="00DF3006" w:rsidRDefault="00C30C67" w:rsidP="00C30C67">
      <w:pPr>
        <w:rPr>
          <w:color w:val="414042" w:themeColor="text1"/>
        </w:rPr>
      </w:pPr>
    </w:p>
    <w:p w14:paraId="0C3ED0CF" w14:textId="77777777" w:rsidR="00C30C67" w:rsidRPr="00DF3006" w:rsidRDefault="00C30C67" w:rsidP="00C30C67">
      <w:pPr>
        <w:rPr>
          <w:color w:val="414042" w:themeColor="text1"/>
        </w:rPr>
      </w:pPr>
    </w:p>
    <w:p w14:paraId="596DB5FA" w14:textId="33638331" w:rsidR="009E1371" w:rsidRPr="00DF3006" w:rsidRDefault="009E1371" w:rsidP="009E1371">
      <w:pPr>
        <w:rPr>
          <w:b/>
          <w:color w:val="414042" w:themeColor="text1"/>
          <w:sz w:val="24"/>
          <w:szCs w:val="24"/>
        </w:rPr>
      </w:pPr>
      <w:r w:rsidRPr="00DF3006">
        <w:rPr>
          <w:b/>
          <w:color w:val="414042" w:themeColor="text1"/>
          <w:sz w:val="24"/>
          <w:szCs w:val="24"/>
        </w:rPr>
        <w:t>General information</w:t>
      </w:r>
    </w:p>
    <w:p w14:paraId="60EB18C7" w14:textId="77777777" w:rsidR="009E1371" w:rsidRPr="00DF3006" w:rsidRDefault="009E1371" w:rsidP="00836DA9">
      <w:pPr>
        <w:rPr>
          <w:color w:val="414042" w:themeColor="text1"/>
          <w:szCs w:val="20"/>
        </w:rPr>
      </w:pPr>
      <w:r w:rsidRPr="00DF3006">
        <w:rPr>
          <w:color w:val="414042" w:themeColor="text1"/>
          <w:szCs w:val="20"/>
        </w:rPr>
        <w:t xml:space="preserve">These financial statements cover the Crime and Corruption Commission (CCC), an independent statutory body established under the </w:t>
      </w:r>
      <w:r w:rsidRPr="00DF3006">
        <w:rPr>
          <w:i/>
          <w:color w:val="414042" w:themeColor="text1"/>
          <w:szCs w:val="20"/>
        </w:rPr>
        <w:t>Crime and Corruption Act 2001</w:t>
      </w:r>
      <w:r w:rsidRPr="00DF3006">
        <w:rPr>
          <w:color w:val="414042" w:themeColor="text1"/>
          <w:szCs w:val="20"/>
        </w:rPr>
        <w:t xml:space="preserve">, which reports directly to the Queensland Parliament. </w:t>
      </w:r>
    </w:p>
    <w:p w14:paraId="362265C8" w14:textId="77777777" w:rsidR="009E1371" w:rsidRPr="00DF3006" w:rsidRDefault="009E1371" w:rsidP="00836DA9">
      <w:pPr>
        <w:rPr>
          <w:color w:val="414042" w:themeColor="text1"/>
          <w:szCs w:val="20"/>
        </w:rPr>
      </w:pPr>
      <w:r w:rsidRPr="00DF3006">
        <w:rPr>
          <w:color w:val="414042" w:themeColor="text1"/>
          <w:szCs w:val="20"/>
        </w:rPr>
        <w:t xml:space="preserve">For financial reporting purposes, the CCC is a statutory body in terms of the </w:t>
      </w:r>
      <w:r w:rsidRPr="00DF3006">
        <w:rPr>
          <w:i/>
          <w:color w:val="414042" w:themeColor="text1"/>
          <w:szCs w:val="20"/>
        </w:rPr>
        <w:t xml:space="preserve">Financial Accountability Act </w:t>
      </w:r>
      <w:proofErr w:type="gramStart"/>
      <w:r w:rsidRPr="00DF3006">
        <w:rPr>
          <w:i/>
          <w:color w:val="414042" w:themeColor="text1"/>
          <w:szCs w:val="20"/>
        </w:rPr>
        <w:t>2009</w:t>
      </w:r>
      <w:r w:rsidRPr="00DF3006">
        <w:rPr>
          <w:color w:val="414042" w:themeColor="text1"/>
          <w:szCs w:val="20"/>
        </w:rPr>
        <w:t>, and</w:t>
      </w:r>
      <w:proofErr w:type="gramEnd"/>
      <w:r w:rsidRPr="00DF3006">
        <w:rPr>
          <w:color w:val="414042" w:themeColor="text1"/>
          <w:szCs w:val="20"/>
        </w:rPr>
        <w:t xml:space="preserve"> is subsequently consolidated into the whole-of-government financial statements.</w:t>
      </w:r>
    </w:p>
    <w:p w14:paraId="0ED8D70B" w14:textId="4523EB60" w:rsidR="00D64E67" w:rsidRPr="00DF3006" w:rsidRDefault="009E1371" w:rsidP="00836DA9">
      <w:pPr>
        <w:spacing w:after="0"/>
        <w:rPr>
          <w:color w:val="414042" w:themeColor="text1"/>
          <w:szCs w:val="20"/>
        </w:rPr>
      </w:pPr>
      <w:r w:rsidRPr="00DF3006">
        <w:rPr>
          <w:color w:val="414042" w:themeColor="text1"/>
          <w:szCs w:val="20"/>
        </w:rPr>
        <w:t>The head office and principal place of business of the CCC is:</w:t>
      </w:r>
    </w:p>
    <w:p w14:paraId="20ECB590" w14:textId="53162313" w:rsidR="00D64E67" w:rsidRPr="00DF3006" w:rsidRDefault="009E1371" w:rsidP="00836DA9">
      <w:pPr>
        <w:spacing w:after="0"/>
        <w:rPr>
          <w:color w:val="414042" w:themeColor="text1"/>
          <w:szCs w:val="20"/>
        </w:rPr>
      </w:pPr>
      <w:r w:rsidRPr="00DF3006">
        <w:rPr>
          <w:color w:val="414042" w:themeColor="text1"/>
          <w:szCs w:val="20"/>
        </w:rPr>
        <w:t>Level 2, North Tower Green Square</w:t>
      </w:r>
    </w:p>
    <w:p w14:paraId="3378E0FF" w14:textId="77777777" w:rsidR="00D64E67" w:rsidRPr="00DF3006" w:rsidRDefault="009E1371" w:rsidP="00836DA9">
      <w:pPr>
        <w:spacing w:after="0"/>
        <w:rPr>
          <w:color w:val="414042" w:themeColor="text1"/>
          <w:szCs w:val="20"/>
        </w:rPr>
      </w:pPr>
      <w:r w:rsidRPr="00DF3006">
        <w:rPr>
          <w:color w:val="414042" w:themeColor="text1"/>
          <w:szCs w:val="20"/>
        </w:rPr>
        <w:t>515 St Pauls Terrace</w:t>
      </w:r>
    </w:p>
    <w:p w14:paraId="60A77B2D" w14:textId="3F5C611E" w:rsidR="009E1371" w:rsidRPr="00DF3006" w:rsidRDefault="009E1371" w:rsidP="00836DA9">
      <w:pPr>
        <w:rPr>
          <w:color w:val="414042" w:themeColor="text1"/>
          <w:szCs w:val="20"/>
        </w:rPr>
      </w:pPr>
      <w:r w:rsidRPr="00DF3006">
        <w:rPr>
          <w:color w:val="414042" w:themeColor="text1"/>
          <w:szCs w:val="20"/>
        </w:rPr>
        <w:t>Fortitude Valley QLD 4006</w:t>
      </w:r>
    </w:p>
    <w:p w14:paraId="142D5F2B" w14:textId="77777777" w:rsidR="009E1371" w:rsidRPr="00DF3006" w:rsidRDefault="009E1371" w:rsidP="00836DA9">
      <w:pPr>
        <w:rPr>
          <w:color w:val="414042" w:themeColor="text1"/>
          <w:szCs w:val="20"/>
        </w:rPr>
      </w:pPr>
      <w:r w:rsidRPr="00DF3006">
        <w:rPr>
          <w:color w:val="414042" w:themeColor="text1"/>
          <w:szCs w:val="20"/>
        </w:rPr>
        <w:t xml:space="preserve">A description of the nature of the CCC’s operations and its principal activities is included in the notes to the financial statements. </w:t>
      </w:r>
    </w:p>
    <w:p w14:paraId="2BA8A4BA" w14:textId="7E308B24" w:rsidR="009E1371" w:rsidRPr="00DF3006" w:rsidRDefault="009E1371" w:rsidP="00836DA9">
      <w:pPr>
        <w:rPr>
          <w:color w:val="414042" w:themeColor="text1"/>
          <w:szCs w:val="20"/>
        </w:rPr>
      </w:pPr>
      <w:r w:rsidRPr="00DF3006">
        <w:rPr>
          <w:color w:val="414042" w:themeColor="text1"/>
          <w:szCs w:val="20"/>
        </w:rPr>
        <w:t>For information relating to the CCC’s financial statements, please call 07 3360 6060, email &lt;mailbox@ccc.qld.gov.au&gt; or visit the CCC’s website at &lt;www.ccc.qld.gov.au&gt;.</w:t>
      </w:r>
    </w:p>
    <w:p w14:paraId="4830671B" w14:textId="77777777" w:rsidR="00C30C67" w:rsidRPr="00DF3006" w:rsidRDefault="00C30C67" w:rsidP="009E1371">
      <w:pPr>
        <w:jc w:val="both"/>
        <w:rPr>
          <w:color w:val="414042" w:themeColor="text1"/>
          <w:szCs w:val="20"/>
        </w:rPr>
      </w:pPr>
    </w:p>
    <w:p w14:paraId="60DD5988" w14:textId="77777777" w:rsidR="00C30C67" w:rsidRPr="00DF3006" w:rsidRDefault="00C30C67" w:rsidP="00FC17BC">
      <w:pPr>
        <w:spacing w:line="260" w:lineRule="atLeast"/>
        <w:rPr>
          <w:rFonts w:cs="Arial"/>
          <w:snapToGrid w:val="0"/>
          <w:color w:val="414042" w:themeColor="text1"/>
          <w:szCs w:val="20"/>
        </w:rPr>
        <w:sectPr w:rsidR="00C30C67" w:rsidRPr="00DF3006" w:rsidSect="00C77834">
          <w:pgSz w:w="11906" w:h="16838"/>
          <w:pgMar w:top="2155" w:right="1134" w:bottom="964" w:left="1134" w:header="720" w:footer="283" w:gutter="0"/>
          <w:cols w:space="708"/>
          <w:docGrid w:linePitch="360"/>
        </w:sectPr>
      </w:pPr>
      <w:bookmarkStart w:id="1940" w:name="_Hlk141260903"/>
      <w:bookmarkStart w:id="1941" w:name="_Hlk141260740"/>
    </w:p>
    <w:tbl>
      <w:tblPr>
        <w:tblW w:w="9407" w:type="dxa"/>
        <w:tblLook w:val="04A0" w:firstRow="1" w:lastRow="0" w:firstColumn="1" w:lastColumn="0" w:noHBand="0" w:noVBand="1"/>
      </w:tblPr>
      <w:tblGrid>
        <w:gridCol w:w="4480"/>
        <w:gridCol w:w="823"/>
        <w:gridCol w:w="1020"/>
        <w:gridCol w:w="1020"/>
        <w:gridCol w:w="1044"/>
        <w:gridCol w:w="1020"/>
      </w:tblGrid>
      <w:tr w:rsidR="00DF3006" w:rsidRPr="00DF3006" w14:paraId="5C13F15B" w14:textId="77777777" w:rsidTr="00025E55">
        <w:trPr>
          <w:trHeight w:val="300"/>
        </w:trPr>
        <w:tc>
          <w:tcPr>
            <w:tcW w:w="4480" w:type="dxa"/>
            <w:tcBorders>
              <w:top w:val="nil"/>
              <w:left w:val="nil"/>
              <w:bottom w:val="nil"/>
              <w:right w:val="nil"/>
            </w:tcBorders>
            <w:shd w:val="clear" w:color="000000" w:fill="FFFFFF"/>
            <w:noWrap/>
            <w:vAlign w:val="bottom"/>
            <w:hideMark/>
          </w:tcPr>
          <w:p w14:paraId="34275AB7"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lastRenderedPageBreak/>
              <w:t> </w:t>
            </w:r>
          </w:p>
        </w:tc>
        <w:tc>
          <w:tcPr>
            <w:tcW w:w="823" w:type="dxa"/>
            <w:tcBorders>
              <w:top w:val="nil"/>
              <w:left w:val="nil"/>
              <w:bottom w:val="nil"/>
              <w:right w:val="nil"/>
            </w:tcBorders>
            <w:shd w:val="clear" w:color="000000" w:fill="FFFFFF"/>
            <w:noWrap/>
            <w:vAlign w:val="bottom"/>
            <w:hideMark/>
          </w:tcPr>
          <w:p w14:paraId="64CFEBF4"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20" w:type="dxa"/>
            <w:tcBorders>
              <w:top w:val="nil"/>
              <w:left w:val="nil"/>
              <w:bottom w:val="nil"/>
              <w:right w:val="nil"/>
            </w:tcBorders>
            <w:shd w:val="clear" w:color="000000" w:fill="FFFFFF"/>
            <w:noWrap/>
            <w:vAlign w:val="bottom"/>
            <w:hideMark/>
          </w:tcPr>
          <w:p w14:paraId="179BE8CD"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20" w:type="dxa"/>
            <w:tcBorders>
              <w:top w:val="nil"/>
              <w:left w:val="nil"/>
              <w:bottom w:val="nil"/>
              <w:right w:val="nil"/>
            </w:tcBorders>
            <w:shd w:val="clear" w:color="000000" w:fill="FFFFFF"/>
            <w:noWrap/>
            <w:vAlign w:val="bottom"/>
            <w:hideMark/>
          </w:tcPr>
          <w:p w14:paraId="533ECF4C"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44" w:type="dxa"/>
            <w:tcBorders>
              <w:top w:val="nil"/>
              <w:left w:val="nil"/>
              <w:bottom w:val="nil"/>
              <w:right w:val="nil"/>
            </w:tcBorders>
            <w:shd w:val="clear" w:color="000000" w:fill="FFFFFF"/>
            <w:noWrap/>
            <w:vAlign w:val="bottom"/>
            <w:hideMark/>
          </w:tcPr>
          <w:p w14:paraId="2BA373BF"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20" w:type="dxa"/>
            <w:tcBorders>
              <w:top w:val="nil"/>
              <w:left w:val="nil"/>
              <w:bottom w:val="nil"/>
              <w:right w:val="nil"/>
            </w:tcBorders>
            <w:shd w:val="clear" w:color="000000" w:fill="FFFFFF"/>
            <w:noWrap/>
            <w:vAlign w:val="bottom"/>
            <w:hideMark/>
          </w:tcPr>
          <w:p w14:paraId="389C37C2"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r w:rsidR="00DF3006" w:rsidRPr="00DF3006" w14:paraId="77A8A9BE" w14:textId="77777777" w:rsidTr="00025E55">
        <w:trPr>
          <w:trHeight w:val="780"/>
        </w:trPr>
        <w:tc>
          <w:tcPr>
            <w:tcW w:w="4480" w:type="dxa"/>
            <w:tcBorders>
              <w:top w:val="nil"/>
              <w:left w:val="nil"/>
              <w:bottom w:val="nil"/>
              <w:right w:val="nil"/>
            </w:tcBorders>
            <w:shd w:val="clear" w:color="000000" w:fill="FFFFFF"/>
            <w:noWrap/>
            <w:vAlign w:val="center"/>
            <w:hideMark/>
          </w:tcPr>
          <w:p w14:paraId="041F0EC6"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OPERATING RESULT</w:t>
            </w:r>
          </w:p>
        </w:tc>
        <w:tc>
          <w:tcPr>
            <w:tcW w:w="823" w:type="dxa"/>
            <w:tcBorders>
              <w:top w:val="nil"/>
              <w:left w:val="nil"/>
              <w:bottom w:val="nil"/>
              <w:right w:val="nil"/>
            </w:tcBorders>
            <w:shd w:val="clear" w:color="000000" w:fill="FFFFFF"/>
            <w:noWrap/>
            <w:vAlign w:val="center"/>
            <w:hideMark/>
          </w:tcPr>
          <w:p w14:paraId="368665D2"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Notes</w:t>
            </w:r>
          </w:p>
        </w:tc>
        <w:tc>
          <w:tcPr>
            <w:tcW w:w="1020" w:type="dxa"/>
            <w:tcBorders>
              <w:top w:val="nil"/>
              <w:left w:val="nil"/>
              <w:bottom w:val="nil"/>
              <w:right w:val="nil"/>
            </w:tcBorders>
            <w:shd w:val="clear" w:color="auto" w:fill="D9D9D9" w:themeFill="background1" w:themeFillShade="D9"/>
            <w:vAlign w:val="bottom"/>
            <w:hideMark/>
          </w:tcPr>
          <w:p w14:paraId="5CFD035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r w:rsidRPr="00DF3006">
              <w:rPr>
                <w:rFonts w:eastAsia="Times New Roman" w:cs="Calibri"/>
                <w:b/>
                <w:bCs/>
                <w:color w:val="414042" w:themeColor="text1"/>
                <w:szCs w:val="20"/>
                <w:lang w:eastAsia="en-AU"/>
              </w:rPr>
              <w:br/>
              <w:t>Actual</w:t>
            </w:r>
          </w:p>
        </w:tc>
        <w:tc>
          <w:tcPr>
            <w:tcW w:w="1020" w:type="dxa"/>
            <w:tcBorders>
              <w:top w:val="nil"/>
              <w:left w:val="nil"/>
              <w:bottom w:val="nil"/>
              <w:right w:val="nil"/>
            </w:tcBorders>
            <w:shd w:val="clear" w:color="000000" w:fill="FFFFFF"/>
            <w:vAlign w:val="bottom"/>
            <w:hideMark/>
          </w:tcPr>
          <w:p w14:paraId="71767A4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 Original Budget</w:t>
            </w:r>
          </w:p>
        </w:tc>
        <w:tc>
          <w:tcPr>
            <w:tcW w:w="1044" w:type="dxa"/>
            <w:tcBorders>
              <w:top w:val="nil"/>
              <w:left w:val="nil"/>
              <w:bottom w:val="nil"/>
              <w:right w:val="nil"/>
            </w:tcBorders>
            <w:shd w:val="clear" w:color="000000" w:fill="FFFFFF"/>
            <w:vAlign w:val="bottom"/>
            <w:hideMark/>
          </w:tcPr>
          <w:p w14:paraId="693D9C7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xml:space="preserve">Budget </w:t>
            </w:r>
            <w:r w:rsidRPr="00DF3006">
              <w:rPr>
                <w:rFonts w:eastAsia="Times New Roman" w:cs="Calibri"/>
                <w:b/>
                <w:bCs/>
                <w:color w:val="414042" w:themeColor="text1"/>
                <w:szCs w:val="20"/>
                <w:lang w:eastAsia="en-AU"/>
              </w:rPr>
              <w:br/>
              <w:t>Variance*</w:t>
            </w:r>
          </w:p>
        </w:tc>
        <w:tc>
          <w:tcPr>
            <w:tcW w:w="1020" w:type="dxa"/>
            <w:tcBorders>
              <w:top w:val="nil"/>
              <w:left w:val="nil"/>
              <w:bottom w:val="nil"/>
              <w:right w:val="nil"/>
            </w:tcBorders>
            <w:shd w:val="clear" w:color="000000" w:fill="FFFFFF"/>
            <w:vAlign w:val="bottom"/>
            <w:hideMark/>
          </w:tcPr>
          <w:p w14:paraId="7BA803D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r w:rsidRPr="00DF3006">
              <w:rPr>
                <w:rFonts w:eastAsia="Times New Roman" w:cs="Calibri"/>
                <w:b/>
                <w:bCs/>
                <w:color w:val="414042" w:themeColor="text1"/>
                <w:szCs w:val="20"/>
                <w:lang w:eastAsia="en-AU"/>
              </w:rPr>
              <w:br/>
              <w:t>Actual</w:t>
            </w:r>
          </w:p>
        </w:tc>
      </w:tr>
      <w:tr w:rsidR="00DF3006" w:rsidRPr="00DF3006" w14:paraId="0F30214A" w14:textId="77777777" w:rsidTr="00025E55">
        <w:trPr>
          <w:trHeight w:val="300"/>
        </w:trPr>
        <w:tc>
          <w:tcPr>
            <w:tcW w:w="4480" w:type="dxa"/>
            <w:tcBorders>
              <w:top w:val="nil"/>
              <w:left w:val="nil"/>
              <w:bottom w:val="nil"/>
              <w:right w:val="nil"/>
            </w:tcBorders>
            <w:shd w:val="clear" w:color="000000" w:fill="FFFFFF"/>
            <w:noWrap/>
            <w:vAlign w:val="bottom"/>
            <w:hideMark/>
          </w:tcPr>
          <w:p w14:paraId="1C84DF6D"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823" w:type="dxa"/>
            <w:tcBorders>
              <w:top w:val="nil"/>
              <w:left w:val="nil"/>
              <w:bottom w:val="nil"/>
              <w:right w:val="nil"/>
            </w:tcBorders>
            <w:shd w:val="clear" w:color="000000" w:fill="FFFFFF"/>
            <w:noWrap/>
            <w:vAlign w:val="center"/>
            <w:hideMark/>
          </w:tcPr>
          <w:p w14:paraId="307C26C0"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25E7588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020" w:type="dxa"/>
            <w:tcBorders>
              <w:top w:val="nil"/>
              <w:left w:val="nil"/>
              <w:bottom w:val="nil"/>
              <w:right w:val="nil"/>
            </w:tcBorders>
            <w:shd w:val="clear" w:color="000000" w:fill="FFFFFF"/>
            <w:vAlign w:val="center"/>
            <w:hideMark/>
          </w:tcPr>
          <w:p w14:paraId="373C4FD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044" w:type="dxa"/>
            <w:tcBorders>
              <w:top w:val="nil"/>
              <w:left w:val="nil"/>
              <w:bottom w:val="nil"/>
              <w:right w:val="nil"/>
            </w:tcBorders>
            <w:shd w:val="clear" w:color="000000" w:fill="FFFFFF"/>
            <w:noWrap/>
            <w:vAlign w:val="center"/>
            <w:hideMark/>
          </w:tcPr>
          <w:p w14:paraId="1FD0D82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020" w:type="dxa"/>
            <w:tcBorders>
              <w:top w:val="nil"/>
              <w:left w:val="nil"/>
              <w:bottom w:val="nil"/>
              <w:right w:val="nil"/>
            </w:tcBorders>
            <w:shd w:val="clear" w:color="000000" w:fill="FFFFFF"/>
            <w:vAlign w:val="center"/>
            <w:hideMark/>
          </w:tcPr>
          <w:p w14:paraId="2A014E9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r>
      <w:tr w:rsidR="00DF3006" w:rsidRPr="00DF3006" w14:paraId="7A8CC0CD" w14:textId="77777777" w:rsidTr="00025E55">
        <w:trPr>
          <w:trHeight w:val="300"/>
        </w:trPr>
        <w:tc>
          <w:tcPr>
            <w:tcW w:w="4480" w:type="dxa"/>
            <w:tcBorders>
              <w:top w:val="nil"/>
              <w:left w:val="nil"/>
              <w:bottom w:val="nil"/>
              <w:right w:val="nil"/>
            </w:tcBorders>
            <w:shd w:val="clear" w:color="000000" w:fill="FFFFFF"/>
            <w:noWrap/>
            <w:vAlign w:val="center"/>
            <w:hideMark/>
          </w:tcPr>
          <w:p w14:paraId="4479DD16"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12238098"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7708F46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2D94DB3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42AA0DF7"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10E69FC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597F0F60" w14:textId="77777777" w:rsidTr="00025E55">
        <w:trPr>
          <w:trHeight w:val="300"/>
        </w:trPr>
        <w:tc>
          <w:tcPr>
            <w:tcW w:w="4480" w:type="dxa"/>
            <w:tcBorders>
              <w:top w:val="nil"/>
              <w:left w:val="nil"/>
              <w:bottom w:val="nil"/>
              <w:right w:val="nil"/>
            </w:tcBorders>
            <w:shd w:val="clear" w:color="000000" w:fill="FFFFFF"/>
            <w:noWrap/>
            <w:vAlign w:val="center"/>
            <w:hideMark/>
          </w:tcPr>
          <w:p w14:paraId="04CD7010"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Income from Continuing Operations</w:t>
            </w:r>
          </w:p>
        </w:tc>
        <w:tc>
          <w:tcPr>
            <w:tcW w:w="823" w:type="dxa"/>
            <w:tcBorders>
              <w:top w:val="nil"/>
              <w:left w:val="nil"/>
              <w:bottom w:val="nil"/>
              <w:right w:val="nil"/>
            </w:tcBorders>
            <w:shd w:val="clear" w:color="000000" w:fill="FFFFFF"/>
            <w:noWrap/>
            <w:vAlign w:val="center"/>
            <w:hideMark/>
          </w:tcPr>
          <w:p w14:paraId="5850C564"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2DB1744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0BC6B7A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6180AF8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20D9AAED"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07B09417" w14:textId="77777777" w:rsidTr="00025E55">
        <w:trPr>
          <w:trHeight w:val="300"/>
        </w:trPr>
        <w:tc>
          <w:tcPr>
            <w:tcW w:w="4480" w:type="dxa"/>
            <w:tcBorders>
              <w:top w:val="nil"/>
              <w:left w:val="nil"/>
              <w:bottom w:val="nil"/>
              <w:right w:val="nil"/>
            </w:tcBorders>
            <w:shd w:val="clear" w:color="000000" w:fill="FFFFFF"/>
            <w:noWrap/>
            <w:vAlign w:val="center"/>
            <w:hideMark/>
          </w:tcPr>
          <w:p w14:paraId="7A7DC870" w14:textId="77777777" w:rsidR="00FC17BC" w:rsidRPr="00DF3006" w:rsidRDefault="00FC17BC" w:rsidP="00C30C67">
            <w:pPr>
              <w:spacing w:after="0"/>
              <w:rPr>
                <w:rFonts w:eastAsia="Times New Roman" w:cs="Calibri"/>
                <w:i/>
                <w:iCs/>
                <w:color w:val="414042" w:themeColor="text1"/>
                <w:szCs w:val="20"/>
                <w:lang w:eastAsia="en-AU"/>
              </w:rPr>
            </w:pPr>
            <w:r w:rsidRPr="00DF3006">
              <w:rPr>
                <w:rFonts w:eastAsia="Times New Roman" w:cs="Calibri"/>
                <w:i/>
                <w:iCs/>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467F667A"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208B1E7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141D0517"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385903D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49F6448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79AFB770" w14:textId="77777777" w:rsidTr="00025E55">
        <w:trPr>
          <w:trHeight w:val="300"/>
        </w:trPr>
        <w:tc>
          <w:tcPr>
            <w:tcW w:w="4480" w:type="dxa"/>
            <w:tcBorders>
              <w:top w:val="nil"/>
              <w:left w:val="nil"/>
              <w:bottom w:val="nil"/>
              <w:right w:val="nil"/>
            </w:tcBorders>
            <w:shd w:val="clear" w:color="000000" w:fill="FFFFFF"/>
            <w:noWrap/>
            <w:vAlign w:val="center"/>
            <w:hideMark/>
          </w:tcPr>
          <w:p w14:paraId="1C2DF90B"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Grants and other contributions</w:t>
            </w:r>
          </w:p>
        </w:tc>
        <w:tc>
          <w:tcPr>
            <w:tcW w:w="823" w:type="dxa"/>
            <w:tcBorders>
              <w:top w:val="nil"/>
              <w:left w:val="nil"/>
              <w:bottom w:val="nil"/>
              <w:right w:val="nil"/>
            </w:tcBorders>
            <w:shd w:val="clear" w:color="000000" w:fill="FFFFFF"/>
            <w:noWrap/>
            <w:vAlign w:val="center"/>
            <w:hideMark/>
          </w:tcPr>
          <w:p w14:paraId="2AB7E7CD"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2</w:t>
            </w:r>
          </w:p>
        </w:tc>
        <w:tc>
          <w:tcPr>
            <w:tcW w:w="1020" w:type="dxa"/>
            <w:tcBorders>
              <w:top w:val="nil"/>
              <w:left w:val="nil"/>
              <w:bottom w:val="nil"/>
              <w:right w:val="nil"/>
            </w:tcBorders>
            <w:shd w:val="clear" w:color="auto" w:fill="D9D9D9" w:themeFill="background1" w:themeFillShade="D9"/>
            <w:vAlign w:val="center"/>
          </w:tcPr>
          <w:p w14:paraId="6C445DE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68,347</w:t>
            </w:r>
          </w:p>
        </w:tc>
        <w:tc>
          <w:tcPr>
            <w:tcW w:w="1020" w:type="dxa"/>
            <w:tcBorders>
              <w:top w:val="nil"/>
              <w:left w:val="nil"/>
              <w:bottom w:val="nil"/>
              <w:right w:val="nil"/>
            </w:tcBorders>
            <w:shd w:val="clear" w:color="000000" w:fill="FFFFFF"/>
            <w:vAlign w:val="center"/>
          </w:tcPr>
          <w:p w14:paraId="15D3CDE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66,962</w:t>
            </w:r>
          </w:p>
        </w:tc>
        <w:tc>
          <w:tcPr>
            <w:tcW w:w="1044" w:type="dxa"/>
            <w:tcBorders>
              <w:top w:val="nil"/>
              <w:left w:val="nil"/>
              <w:bottom w:val="nil"/>
              <w:right w:val="nil"/>
            </w:tcBorders>
            <w:shd w:val="clear" w:color="000000" w:fill="FFFFFF"/>
            <w:noWrap/>
            <w:vAlign w:val="center"/>
          </w:tcPr>
          <w:p w14:paraId="798FB09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1,385</w:t>
            </w:r>
          </w:p>
        </w:tc>
        <w:tc>
          <w:tcPr>
            <w:tcW w:w="1020" w:type="dxa"/>
            <w:tcBorders>
              <w:top w:val="nil"/>
              <w:left w:val="nil"/>
              <w:bottom w:val="nil"/>
              <w:right w:val="nil"/>
            </w:tcBorders>
            <w:shd w:val="clear" w:color="000000" w:fill="FFFFFF"/>
            <w:vAlign w:val="center"/>
            <w:hideMark/>
          </w:tcPr>
          <w:p w14:paraId="1875C91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65,142</w:t>
            </w:r>
          </w:p>
        </w:tc>
      </w:tr>
      <w:tr w:rsidR="00DF3006" w:rsidRPr="00DF3006" w14:paraId="409BB41D" w14:textId="77777777" w:rsidTr="00025E55">
        <w:trPr>
          <w:trHeight w:val="300"/>
        </w:trPr>
        <w:tc>
          <w:tcPr>
            <w:tcW w:w="4480" w:type="dxa"/>
            <w:tcBorders>
              <w:top w:val="nil"/>
              <w:left w:val="nil"/>
              <w:bottom w:val="nil"/>
              <w:right w:val="nil"/>
            </w:tcBorders>
            <w:shd w:val="clear" w:color="000000" w:fill="FFFFFF"/>
            <w:noWrap/>
            <w:vAlign w:val="center"/>
            <w:hideMark/>
          </w:tcPr>
          <w:p w14:paraId="651D4636"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Interest</w:t>
            </w:r>
          </w:p>
        </w:tc>
        <w:tc>
          <w:tcPr>
            <w:tcW w:w="823" w:type="dxa"/>
            <w:tcBorders>
              <w:top w:val="nil"/>
              <w:left w:val="nil"/>
              <w:bottom w:val="nil"/>
              <w:right w:val="nil"/>
            </w:tcBorders>
            <w:shd w:val="clear" w:color="000000" w:fill="FFFFFF"/>
            <w:noWrap/>
            <w:vAlign w:val="center"/>
            <w:hideMark/>
          </w:tcPr>
          <w:p w14:paraId="2F1B6FA4"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4A96C13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993</w:t>
            </w:r>
          </w:p>
        </w:tc>
        <w:tc>
          <w:tcPr>
            <w:tcW w:w="1020" w:type="dxa"/>
            <w:tcBorders>
              <w:top w:val="nil"/>
              <w:left w:val="nil"/>
              <w:bottom w:val="nil"/>
              <w:right w:val="nil"/>
            </w:tcBorders>
            <w:shd w:val="clear" w:color="000000" w:fill="FFFFFF"/>
            <w:vAlign w:val="center"/>
          </w:tcPr>
          <w:p w14:paraId="1480392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150</w:t>
            </w:r>
          </w:p>
        </w:tc>
        <w:tc>
          <w:tcPr>
            <w:tcW w:w="1044" w:type="dxa"/>
            <w:tcBorders>
              <w:top w:val="nil"/>
              <w:left w:val="nil"/>
              <w:bottom w:val="nil"/>
              <w:right w:val="nil"/>
            </w:tcBorders>
            <w:shd w:val="clear" w:color="000000" w:fill="FFFFFF"/>
            <w:noWrap/>
            <w:vAlign w:val="center"/>
          </w:tcPr>
          <w:p w14:paraId="161C2CB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843</w:t>
            </w:r>
          </w:p>
        </w:tc>
        <w:tc>
          <w:tcPr>
            <w:tcW w:w="1020" w:type="dxa"/>
            <w:tcBorders>
              <w:top w:val="nil"/>
              <w:left w:val="nil"/>
              <w:bottom w:val="nil"/>
              <w:right w:val="nil"/>
            </w:tcBorders>
            <w:shd w:val="clear" w:color="000000" w:fill="FFFFFF"/>
            <w:vAlign w:val="center"/>
            <w:hideMark/>
          </w:tcPr>
          <w:p w14:paraId="51EB07E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139</w:t>
            </w:r>
          </w:p>
        </w:tc>
      </w:tr>
      <w:tr w:rsidR="00DF3006" w:rsidRPr="00DF3006" w14:paraId="78C3323F" w14:textId="77777777" w:rsidTr="00025E55">
        <w:trPr>
          <w:trHeight w:val="315"/>
        </w:trPr>
        <w:tc>
          <w:tcPr>
            <w:tcW w:w="4480" w:type="dxa"/>
            <w:tcBorders>
              <w:top w:val="nil"/>
              <w:left w:val="nil"/>
              <w:bottom w:val="nil"/>
              <w:right w:val="nil"/>
            </w:tcBorders>
            <w:shd w:val="clear" w:color="000000" w:fill="FFFFFF"/>
            <w:noWrap/>
            <w:vAlign w:val="center"/>
            <w:hideMark/>
          </w:tcPr>
          <w:p w14:paraId="30598C09"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 revenue</w:t>
            </w:r>
          </w:p>
        </w:tc>
        <w:tc>
          <w:tcPr>
            <w:tcW w:w="823" w:type="dxa"/>
            <w:tcBorders>
              <w:top w:val="nil"/>
              <w:left w:val="nil"/>
              <w:bottom w:val="nil"/>
              <w:right w:val="nil"/>
            </w:tcBorders>
            <w:shd w:val="clear" w:color="000000" w:fill="FFFFFF"/>
            <w:noWrap/>
            <w:vAlign w:val="center"/>
            <w:hideMark/>
          </w:tcPr>
          <w:p w14:paraId="765E0464"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single" w:sz="8" w:space="0" w:color="auto"/>
              <w:right w:val="nil"/>
            </w:tcBorders>
            <w:shd w:val="clear" w:color="auto" w:fill="D9D9D9" w:themeFill="background1" w:themeFillShade="D9"/>
            <w:vAlign w:val="center"/>
          </w:tcPr>
          <w:p w14:paraId="0FDB695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132</w:t>
            </w:r>
          </w:p>
        </w:tc>
        <w:tc>
          <w:tcPr>
            <w:tcW w:w="1020" w:type="dxa"/>
            <w:tcBorders>
              <w:top w:val="nil"/>
              <w:left w:val="nil"/>
              <w:bottom w:val="single" w:sz="8" w:space="0" w:color="auto"/>
              <w:right w:val="nil"/>
            </w:tcBorders>
            <w:shd w:val="clear" w:color="000000" w:fill="FFFFFF"/>
            <w:vAlign w:val="center"/>
          </w:tcPr>
          <w:p w14:paraId="6F64EF9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104</w:t>
            </w:r>
          </w:p>
        </w:tc>
        <w:tc>
          <w:tcPr>
            <w:tcW w:w="1044" w:type="dxa"/>
            <w:tcBorders>
              <w:top w:val="nil"/>
              <w:left w:val="nil"/>
              <w:bottom w:val="single" w:sz="8" w:space="0" w:color="auto"/>
              <w:right w:val="nil"/>
            </w:tcBorders>
            <w:shd w:val="clear" w:color="000000" w:fill="FFFFFF"/>
            <w:noWrap/>
            <w:vAlign w:val="center"/>
          </w:tcPr>
          <w:p w14:paraId="0E477A0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28</w:t>
            </w:r>
          </w:p>
        </w:tc>
        <w:tc>
          <w:tcPr>
            <w:tcW w:w="1020" w:type="dxa"/>
            <w:tcBorders>
              <w:top w:val="nil"/>
              <w:left w:val="nil"/>
              <w:bottom w:val="single" w:sz="8" w:space="0" w:color="auto"/>
              <w:right w:val="nil"/>
            </w:tcBorders>
            <w:shd w:val="clear" w:color="000000" w:fill="FFFFFF"/>
            <w:vAlign w:val="center"/>
            <w:hideMark/>
          </w:tcPr>
          <w:p w14:paraId="672104D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75</w:t>
            </w:r>
          </w:p>
        </w:tc>
      </w:tr>
      <w:tr w:rsidR="00DF3006" w:rsidRPr="00DF3006" w14:paraId="0706B8B4" w14:textId="77777777" w:rsidTr="00025E55">
        <w:trPr>
          <w:trHeight w:val="300"/>
        </w:trPr>
        <w:tc>
          <w:tcPr>
            <w:tcW w:w="4480" w:type="dxa"/>
            <w:tcBorders>
              <w:top w:val="nil"/>
              <w:left w:val="nil"/>
              <w:bottom w:val="nil"/>
              <w:right w:val="nil"/>
            </w:tcBorders>
            <w:shd w:val="clear" w:color="000000" w:fill="FFFFFF"/>
            <w:noWrap/>
            <w:vAlign w:val="center"/>
            <w:hideMark/>
          </w:tcPr>
          <w:p w14:paraId="736B970A"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Revenue</w:t>
            </w:r>
          </w:p>
        </w:tc>
        <w:tc>
          <w:tcPr>
            <w:tcW w:w="823" w:type="dxa"/>
            <w:tcBorders>
              <w:top w:val="nil"/>
              <w:left w:val="nil"/>
              <w:bottom w:val="nil"/>
              <w:right w:val="nil"/>
            </w:tcBorders>
            <w:shd w:val="clear" w:color="000000" w:fill="FFFFFF"/>
            <w:noWrap/>
            <w:vAlign w:val="center"/>
            <w:hideMark/>
          </w:tcPr>
          <w:p w14:paraId="018E5A17"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4D22D6C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69,472</w:t>
            </w:r>
          </w:p>
        </w:tc>
        <w:tc>
          <w:tcPr>
            <w:tcW w:w="1020" w:type="dxa"/>
            <w:tcBorders>
              <w:top w:val="nil"/>
              <w:left w:val="nil"/>
              <w:bottom w:val="nil"/>
              <w:right w:val="nil"/>
            </w:tcBorders>
            <w:shd w:val="clear" w:color="000000" w:fill="FFFFFF"/>
            <w:vAlign w:val="center"/>
          </w:tcPr>
          <w:p w14:paraId="4C9699D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67,216</w:t>
            </w:r>
          </w:p>
        </w:tc>
        <w:tc>
          <w:tcPr>
            <w:tcW w:w="1044" w:type="dxa"/>
            <w:tcBorders>
              <w:top w:val="nil"/>
              <w:left w:val="nil"/>
              <w:bottom w:val="nil"/>
              <w:right w:val="nil"/>
            </w:tcBorders>
            <w:shd w:val="clear" w:color="000000" w:fill="FFFFFF"/>
            <w:vAlign w:val="center"/>
          </w:tcPr>
          <w:p w14:paraId="4899851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2,256</w:t>
            </w:r>
          </w:p>
        </w:tc>
        <w:tc>
          <w:tcPr>
            <w:tcW w:w="1020" w:type="dxa"/>
            <w:tcBorders>
              <w:top w:val="nil"/>
              <w:left w:val="nil"/>
              <w:bottom w:val="nil"/>
              <w:right w:val="nil"/>
            </w:tcBorders>
            <w:shd w:val="clear" w:color="000000" w:fill="FFFFFF"/>
            <w:vAlign w:val="center"/>
            <w:hideMark/>
          </w:tcPr>
          <w:p w14:paraId="4494442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65,356</w:t>
            </w:r>
          </w:p>
        </w:tc>
      </w:tr>
      <w:tr w:rsidR="00DF3006" w:rsidRPr="00DF3006" w14:paraId="5864C66F" w14:textId="77777777" w:rsidTr="00025E55">
        <w:trPr>
          <w:trHeight w:val="300"/>
        </w:trPr>
        <w:tc>
          <w:tcPr>
            <w:tcW w:w="4480" w:type="dxa"/>
            <w:tcBorders>
              <w:top w:val="nil"/>
              <w:left w:val="nil"/>
              <w:bottom w:val="nil"/>
              <w:right w:val="nil"/>
            </w:tcBorders>
            <w:shd w:val="clear" w:color="000000" w:fill="FFFFFF"/>
            <w:noWrap/>
            <w:vAlign w:val="center"/>
            <w:hideMark/>
          </w:tcPr>
          <w:p w14:paraId="27E87788" w14:textId="77777777" w:rsidR="00FC17BC" w:rsidRPr="00DF3006" w:rsidRDefault="00FC17BC" w:rsidP="00C30C67">
            <w:pPr>
              <w:spacing w:after="0"/>
              <w:rPr>
                <w:rFonts w:eastAsia="Times New Roman" w:cs="Calibri"/>
                <w:i/>
                <w:iCs/>
                <w:color w:val="414042" w:themeColor="text1"/>
                <w:szCs w:val="20"/>
                <w:lang w:eastAsia="en-AU"/>
              </w:rPr>
            </w:pPr>
            <w:r w:rsidRPr="00DF3006">
              <w:rPr>
                <w:rFonts w:eastAsia="Times New Roman" w:cs="Calibri"/>
                <w:i/>
                <w:iCs/>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1C3E6158"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202924A5"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nil"/>
              <w:right w:val="nil"/>
            </w:tcBorders>
            <w:shd w:val="clear" w:color="000000" w:fill="FFFFFF"/>
            <w:vAlign w:val="center"/>
            <w:hideMark/>
          </w:tcPr>
          <w:p w14:paraId="656F7FD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44" w:type="dxa"/>
            <w:tcBorders>
              <w:top w:val="nil"/>
              <w:left w:val="nil"/>
              <w:bottom w:val="nil"/>
              <w:right w:val="nil"/>
            </w:tcBorders>
            <w:shd w:val="clear" w:color="000000" w:fill="FFFFFF"/>
            <w:noWrap/>
            <w:vAlign w:val="center"/>
          </w:tcPr>
          <w:p w14:paraId="01885A43"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nil"/>
              <w:right w:val="nil"/>
            </w:tcBorders>
            <w:shd w:val="clear" w:color="000000" w:fill="FFFFFF"/>
            <w:vAlign w:val="center"/>
            <w:hideMark/>
          </w:tcPr>
          <w:p w14:paraId="66FB792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7BF07B39" w14:textId="77777777" w:rsidTr="00025E55">
        <w:trPr>
          <w:trHeight w:val="300"/>
        </w:trPr>
        <w:tc>
          <w:tcPr>
            <w:tcW w:w="4480" w:type="dxa"/>
            <w:tcBorders>
              <w:top w:val="nil"/>
              <w:left w:val="nil"/>
              <w:bottom w:val="nil"/>
              <w:right w:val="nil"/>
            </w:tcBorders>
            <w:shd w:val="clear" w:color="000000" w:fill="FFFFFF"/>
            <w:noWrap/>
            <w:vAlign w:val="center"/>
            <w:hideMark/>
          </w:tcPr>
          <w:p w14:paraId="2D1D64C5"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Gains on disposal of property, </w:t>
            </w:r>
            <w:proofErr w:type="gramStart"/>
            <w:r w:rsidRPr="00DF3006">
              <w:rPr>
                <w:rFonts w:eastAsia="Times New Roman" w:cs="Calibri"/>
                <w:color w:val="414042" w:themeColor="text1"/>
                <w:szCs w:val="20"/>
                <w:lang w:eastAsia="en-AU"/>
              </w:rPr>
              <w:t>plant</w:t>
            </w:r>
            <w:proofErr w:type="gramEnd"/>
            <w:r w:rsidRPr="00DF3006">
              <w:rPr>
                <w:rFonts w:eastAsia="Times New Roman" w:cs="Calibri"/>
                <w:color w:val="414042" w:themeColor="text1"/>
                <w:szCs w:val="20"/>
                <w:lang w:eastAsia="en-AU"/>
              </w:rPr>
              <w:t xml:space="preserve"> and equipment</w:t>
            </w:r>
          </w:p>
        </w:tc>
        <w:tc>
          <w:tcPr>
            <w:tcW w:w="823" w:type="dxa"/>
            <w:tcBorders>
              <w:top w:val="nil"/>
              <w:left w:val="nil"/>
              <w:bottom w:val="nil"/>
              <w:right w:val="nil"/>
            </w:tcBorders>
            <w:shd w:val="clear" w:color="000000" w:fill="FFFFFF"/>
            <w:noWrap/>
            <w:vAlign w:val="center"/>
            <w:hideMark/>
          </w:tcPr>
          <w:p w14:paraId="5BAFA83D"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7CD621B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91</w:t>
            </w:r>
          </w:p>
        </w:tc>
        <w:tc>
          <w:tcPr>
            <w:tcW w:w="1020" w:type="dxa"/>
            <w:tcBorders>
              <w:top w:val="nil"/>
              <w:left w:val="nil"/>
              <w:bottom w:val="nil"/>
              <w:right w:val="nil"/>
            </w:tcBorders>
            <w:shd w:val="clear" w:color="000000" w:fill="FFFFFF"/>
            <w:vAlign w:val="center"/>
          </w:tcPr>
          <w:p w14:paraId="3DD88FD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25</w:t>
            </w:r>
          </w:p>
        </w:tc>
        <w:tc>
          <w:tcPr>
            <w:tcW w:w="1044" w:type="dxa"/>
            <w:tcBorders>
              <w:top w:val="nil"/>
              <w:left w:val="nil"/>
              <w:bottom w:val="nil"/>
              <w:right w:val="nil"/>
            </w:tcBorders>
            <w:shd w:val="clear" w:color="000000" w:fill="FFFFFF"/>
            <w:noWrap/>
            <w:vAlign w:val="center"/>
          </w:tcPr>
          <w:p w14:paraId="38124E6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66</w:t>
            </w:r>
          </w:p>
        </w:tc>
        <w:tc>
          <w:tcPr>
            <w:tcW w:w="1020" w:type="dxa"/>
            <w:tcBorders>
              <w:top w:val="nil"/>
              <w:left w:val="nil"/>
              <w:bottom w:val="nil"/>
              <w:right w:val="nil"/>
            </w:tcBorders>
            <w:shd w:val="clear" w:color="000000" w:fill="FFFFFF"/>
            <w:vAlign w:val="center"/>
            <w:hideMark/>
          </w:tcPr>
          <w:p w14:paraId="315744A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123</w:t>
            </w:r>
          </w:p>
        </w:tc>
      </w:tr>
      <w:tr w:rsidR="00DF3006" w:rsidRPr="00DF3006" w14:paraId="70B7B8BD" w14:textId="77777777" w:rsidTr="00025E55">
        <w:trPr>
          <w:trHeight w:val="315"/>
        </w:trPr>
        <w:tc>
          <w:tcPr>
            <w:tcW w:w="4480" w:type="dxa"/>
            <w:tcBorders>
              <w:top w:val="nil"/>
              <w:left w:val="nil"/>
              <w:bottom w:val="nil"/>
              <w:right w:val="nil"/>
            </w:tcBorders>
            <w:shd w:val="clear" w:color="000000" w:fill="FFFFFF"/>
            <w:noWrap/>
            <w:vAlign w:val="center"/>
            <w:hideMark/>
          </w:tcPr>
          <w:p w14:paraId="53B4366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43975765"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single" w:sz="8" w:space="0" w:color="auto"/>
              <w:right w:val="nil"/>
            </w:tcBorders>
            <w:shd w:val="clear" w:color="auto" w:fill="D9D9D9" w:themeFill="background1" w:themeFillShade="D9"/>
            <w:vAlign w:val="center"/>
          </w:tcPr>
          <w:p w14:paraId="200098F5"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tcPr>
          <w:p w14:paraId="51F8AB9F"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single" w:sz="8" w:space="0" w:color="auto"/>
              <w:right w:val="nil"/>
            </w:tcBorders>
            <w:shd w:val="clear" w:color="000000" w:fill="FFFFFF"/>
            <w:noWrap/>
            <w:vAlign w:val="center"/>
          </w:tcPr>
          <w:p w14:paraId="4BDCCA94"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hideMark/>
          </w:tcPr>
          <w:p w14:paraId="7054651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0F5CBA8F" w14:textId="77777777" w:rsidTr="00025E55">
        <w:trPr>
          <w:trHeight w:val="300"/>
        </w:trPr>
        <w:tc>
          <w:tcPr>
            <w:tcW w:w="4480" w:type="dxa"/>
            <w:tcBorders>
              <w:top w:val="nil"/>
              <w:left w:val="nil"/>
              <w:bottom w:val="nil"/>
              <w:right w:val="nil"/>
            </w:tcBorders>
            <w:shd w:val="clear" w:color="000000" w:fill="FFFFFF"/>
            <w:noWrap/>
            <w:vAlign w:val="center"/>
            <w:hideMark/>
          </w:tcPr>
          <w:p w14:paraId="53371548"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Income from Continuing Operations</w:t>
            </w:r>
          </w:p>
        </w:tc>
        <w:tc>
          <w:tcPr>
            <w:tcW w:w="823" w:type="dxa"/>
            <w:tcBorders>
              <w:top w:val="nil"/>
              <w:left w:val="nil"/>
              <w:bottom w:val="nil"/>
              <w:right w:val="nil"/>
            </w:tcBorders>
            <w:shd w:val="clear" w:color="000000" w:fill="FFFFFF"/>
            <w:noWrap/>
            <w:vAlign w:val="center"/>
            <w:hideMark/>
          </w:tcPr>
          <w:p w14:paraId="03385748"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23791CC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69,563</w:t>
            </w:r>
          </w:p>
        </w:tc>
        <w:tc>
          <w:tcPr>
            <w:tcW w:w="1020" w:type="dxa"/>
            <w:tcBorders>
              <w:top w:val="nil"/>
              <w:left w:val="nil"/>
              <w:bottom w:val="nil"/>
              <w:right w:val="nil"/>
            </w:tcBorders>
            <w:shd w:val="clear" w:color="000000" w:fill="FFFFFF"/>
            <w:vAlign w:val="center"/>
          </w:tcPr>
          <w:p w14:paraId="7850E96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67,241</w:t>
            </w:r>
          </w:p>
        </w:tc>
        <w:tc>
          <w:tcPr>
            <w:tcW w:w="1044" w:type="dxa"/>
            <w:tcBorders>
              <w:top w:val="nil"/>
              <w:left w:val="nil"/>
              <w:bottom w:val="nil"/>
              <w:right w:val="nil"/>
            </w:tcBorders>
            <w:shd w:val="clear" w:color="000000" w:fill="FFFFFF"/>
            <w:vAlign w:val="center"/>
          </w:tcPr>
          <w:p w14:paraId="5317550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2,322</w:t>
            </w:r>
          </w:p>
        </w:tc>
        <w:tc>
          <w:tcPr>
            <w:tcW w:w="1020" w:type="dxa"/>
            <w:tcBorders>
              <w:top w:val="nil"/>
              <w:left w:val="nil"/>
              <w:bottom w:val="nil"/>
              <w:right w:val="nil"/>
            </w:tcBorders>
            <w:shd w:val="clear" w:color="000000" w:fill="FFFFFF"/>
            <w:vAlign w:val="center"/>
            <w:hideMark/>
          </w:tcPr>
          <w:p w14:paraId="4126FA4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65,479</w:t>
            </w:r>
          </w:p>
        </w:tc>
      </w:tr>
      <w:tr w:rsidR="00DF3006" w:rsidRPr="00DF3006" w14:paraId="44769CF7" w14:textId="77777777" w:rsidTr="00025E55">
        <w:trPr>
          <w:trHeight w:val="300"/>
        </w:trPr>
        <w:tc>
          <w:tcPr>
            <w:tcW w:w="4480" w:type="dxa"/>
            <w:tcBorders>
              <w:top w:val="nil"/>
              <w:left w:val="nil"/>
              <w:bottom w:val="nil"/>
              <w:right w:val="nil"/>
            </w:tcBorders>
            <w:shd w:val="clear" w:color="000000" w:fill="FFFFFF"/>
            <w:noWrap/>
            <w:vAlign w:val="center"/>
            <w:hideMark/>
          </w:tcPr>
          <w:p w14:paraId="736DB2F9"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5277EF0B"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5E1A6B1C"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nil"/>
              <w:right w:val="nil"/>
            </w:tcBorders>
            <w:shd w:val="clear" w:color="000000" w:fill="FFFFFF"/>
            <w:vAlign w:val="center"/>
            <w:hideMark/>
          </w:tcPr>
          <w:p w14:paraId="368C038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346F997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385F8B7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4D793926" w14:textId="77777777" w:rsidTr="00025E55">
        <w:trPr>
          <w:trHeight w:val="300"/>
        </w:trPr>
        <w:tc>
          <w:tcPr>
            <w:tcW w:w="4480" w:type="dxa"/>
            <w:tcBorders>
              <w:top w:val="nil"/>
              <w:left w:val="nil"/>
              <w:bottom w:val="nil"/>
              <w:right w:val="nil"/>
            </w:tcBorders>
            <w:shd w:val="clear" w:color="000000" w:fill="FFFFFF"/>
            <w:noWrap/>
            <w:vAlign w:val="center"/>
            <w:hideMark/>
          </w:tcPr>
          <w:p w14:paraId="15707AD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17243131"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627FDE0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5E76438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7A08A13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381D0C9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0ED6B6DC" w14:textId="77777777" w:rsidTr="00025E55">
        <w:trPr>
          <w:trHeight w:val="300"/>
        </w:trPr>
        <w:tc>
          <w:tcPr>
            <w:tcW w:w="4480" w:type="dxa"/>
            <w:tcBorders>
              <w:top w:val="nil"/>
              <w:left w:val="nil"/>
              <w:bottom w:val="nil"/>
              <w:right w:val="nil"/>
            </w:tcBorders>
            <w:shd w:val="clear" w:color="000000" w:fill="FFFFFF"/>
            <w:noWrap/>
            <w:vAlign w:val="center"/>
            <w:hideMark/>
          </w:tcPr>
          <w:p w14:paraId="3E925267"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Expenses from Continuing Operations</w:t>
            </w:r>
          </w:p>
        </w:tc>
        <w:tc>
          <w:tcPr>
            <w:tcW w:w="823" w:type="dxa"/>
            <w:tcBorders>
              <w:top w:val="nil"/>
              <w:left w:val="nil"/>
              <w:bottom w:val="nil"/>
              <w:right w:val="nil"/>
            </w:tcBorders>
            <w:shd w:val="clear" w:color="000000" w:fill="FFFFFF"/>
            <w:noWrap/>
            <w:vAlign w:val="center"/>
            <w:hideMark/>
          </w:tcPr>
          <w:p w14:paraId="0E700CF7"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7BAE278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632EA6E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0FC4DAE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0E0FCA7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55259A35" w14:textId="77777777" w:rsidTr="00025E55">
        <w:trPr>
          <w:trHeight w:val="300"/>
        </w:trPr>
        <w:tc>
          <w:tcPr>
            <w:tcW w:w="4480" w:type="dxa"/>
            <w:tcBorders>
              <w:top w:val="nil"/>
              <w:left w:val="nil"/>
              <w:bottom w:val="nil"/>
              <w:right w:val="nil"/>
            </w:tcBorders>
            <w:shd w:val="clear" w:color="000000" w:fill="FFFFFF"/>
            <w:noWrap/>
            <w:vAlign w:val="center"/>
            <w:hideMark/>
          </w:tcPr>
          <w:p w14:paraId="5E31CCEB"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378F39A6"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hideMark/>
          </w:tcPr>
          <w:p w14:paraId="0CA36CD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7492941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44" w:type="dxa"/>
            <w:tcBorders>
              <w:top w:val="nil"/>
              <w:left w:val="nil"/>
              <w:bottom w:val="nil"/>
              <w:right w:val="nil"/>
            </w:tcBorders>
            <w:shd w:val="clear" w:color="000000" w:fill="FFFFFF"/>
            <w:noWrap/>
            <w:vAlign w:val="center"/>
            <w:hideMark/>
          </w:tcPr>
          <w:p w14:paraId="36494F5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000000" w:fill="FFFFFF"/>
            <w:vAlign w:val="center"/>
            <w:hideMark/>
          </w:tcPr>
          <w:p w14:paraId="3574993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35069C76" w14:textId="77777777" w:rsidTr="00025E55">
        <w:trPr>
          <w:trHeight w:val="300"/>
        </w:trPr>
        <w:tc>
          <w:tcPr>
            <w:tcW w:w="4480" w:type="dxa"/>
            <w:tcBorders>
              <w:top w:val="nil"/>
              <w:left w:val="nil"/>
              <w:bottom w:val="nil"/>
              <w:right w:val="nil"/>
            </w:tcBorders>
            <w:shd w:val="clear" w:color="000000" w:fill="FFFFFF"/>
            <w:noWrap/>
            <w:vAlign w:val="center"/>
            <w:hideMark/>
          </w:tcPr>
          <w:p w14:paraId="1E99BFF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Employee expenses</w:t>
            </w:r>
          </w:p>
        </w:tc>
        <w:tc>
          <w:tcPr>
            <w:tcW w:w="823" w:type="dxa"/>
            <w:tcBorders>
              <w:top w:val="nil"/>
              <w:left w:val="nil"/>
              <w:bottom w:val="nil"/>
              <w:right w:val="nil"/>
            </w:tcBorders>
            <w:shd w:val="clear" w:color="000000" w:fill="FFFFFF"/>
            <w:noWrap/>
            <w:vAlign w:val="center"/>
            <w:hideMark/>
          </w:tcPr>
          <w:p w14:paraId="0B654E7B"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3</w:t>
            </w:r>
          </w:p>
        </w:tc>
        <w:tc>
          <w:tcPr>
            <w:tcW w:w="1020" w:type="dxa"/>
            <w:tcBorders>
              <w:top w:val="nil"/>
              <w:left w:val="nil"/>
              <w:bottom w:val="nil"/>
              <w:right w:val="nil"/>
            </w:tcBorders>
            <w:shd w:val="clear" w:color="auto" w:fill="D9D9D9" w:themeFill="background1" w:themeFillShade="D9"/>
            <w:vAlign w:val="center"/>
          </w:tcPr>
          <w:p w14:paraId="4880749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45,137</w:t>
            </w:r>
          </w:p>
        </w:tc>
        <w:tc>
          <w:tcPr>
            <w:tcW w:w="1020" w:type="dxa"/>
            <w:tcBorders>
              <w:top w:val="nil"/>
              <w:left w:val="nil"/>
              <w:bottom w:val="nil"/>
              <w:right w:val="nil"/>
            </w:tcBorders>
            <w:shd w:val="clear" w:color="000000" w:fill="FFFFFF"/>
            <w:vAlign w:val="center"/>
          </w:tcPr>
          <w:p w14:paraId="030494C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47,969</w:t>
            </w:r>
          </w:p>
        </w:tc>
        <w:tc>
          <w:tcPr>
            <w:tcW w:w="1044" w:type="dxa"/>
            <w:tcBorders>
              <w:top w:val="nil"/>
              <w:left w:val="nil"/>
              <w:bottom w:val="nil"/>
              <w:right w:val="nil"/>
            </w:tcBorders>
            <w:shd w:val="clear" w:color="000000" w:fill="FFFFFF"/>
            <w:noWrap/>
            <w:vAlign w:val="center"/>
          </w:tcPr>
          <w:p w14:paraId="61CC4F5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(2,832)</w:t>
            </w:r>
          </w:p>
        </w:tc>
        <w:tc>
          <w:tcPr>
            <w:tcW w:w="1020" w:type="dxa"/>
            <w:tcBorders>
              <w:top w:val="nil"/>
              <w:left w:val="nil"/>
              <w:bottom w:val="nil"/>
              <w:right w:val="nil"/>
            </w:tcBorders>
            <w:shd w:val="clear" w:color="000000" w:fill="FFFFFF"/>
            <w:vAlign w:val="center"/>
            <w:hideMark/>
          </w:tcPr>
          <w:p w14:paraId="760B92A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45,613</w:t>
            </w:r>
          </w:p>
        </w:tc>
      </w:tr>
      <w:tr w:rsidR="00DF3006" w:rsidRPr="00DF3006" w14:paraId="6E614CE6" w14:textId="77777777" w:rsidTr="00025E55">
        <w:trPr>
          <w:trHeight w:val="300"/>
        </w:trPr>
        <w:tc>
          <w:tcPr>
            <w:tcW w:w="4480" w:type="dxa"/>
            <w:tcBorders>
              <w:top w:val="nil"/>
              <w:left w:val="nil"/>
              <w:bottom w:val="nil"/>
              <w:right w:val="nil"/>
            </w:tcBorders>
            <w:shd w:val="clear" w:color="000000" w:fill="FFFFFF"/>
            <w:noWrap/>
            <w:vAlign w:val="center"/>
            <w:hideMark/>
          </w:tcPr>
          <w:p w14:paraId="59AD3BE6"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Supplies and services</w:t>
            </w:r>
          </w:p>
        </w:tc>
        <w:tc>
          <w:tcPr>
            <w:tcW w:w="823" w:type="dxa"/>
            <w:tcBorders>
              <w:top w:val="nil"/>
              <w:left w:val="nil"/>
              <w:bottom w:val="nil"/>
              <w:right w:val="nil"/>
            </w:tcBorders>
            <w:shd w:val="clear" w:color="000000" w:fill="FFFFFF"/>
            <w:noWrap/>
            <w:vAlign w:val="center"/>
            <w:hideMark/>
          </w:tcPr>
          <w:p w14:paraId="65DFC902"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5</w:t>
            </w:r>
          </w:p>
        </w:tc>
        <w:tc>
          <w:tcPr>
            <w:tcW w:w="1020" w:type="dxa"/>
            <w:tcBorders>
              <w:top w:val="nil"/>
              <w:left w:val="nil"/>
              <w:bottom w:val="nil"/>
              <w:right w:val="nil"/>
            </w:tcBorders>
            <w:shd w:val="clear" w:color="auto" w:fill="D9D9D9" w:themeFill="background1" w:themeFillShade="D9"/>
            <w:vAlign w:val="center"/>
          </w:tcPr>
          <w:p w14:paraId="552F457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14,209</w:t>
            </w:r>
          </w:p>
        </w:tc>
        <w:tc>
          <w:tcPr>
            <w:tcW w:w="1020" w:type="dxa"/>
            <w:tcBorders>
              <w:top w:val="nil"/>
              <w:left w:val="nil"/>
              <w:bottom w:val="nil"/>
              <w:right w:val="nil"/>
            </w:tcBorders>
            <w:shd w:val="clear" w:color="000000" w:fill="FFFFFF"/>
            <w:vAlign w:val="center"/>
          </w:tcPr>
          <w:p w14:paraId="1189BE9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15,391</w:t>
            </w:r>
          </w:p>
        </w:tc>
        <w:tc>
          <w:tcPr>
            <w:tcW w:w="1044" w:type="dxa"/>
            <w:tcBorders>
              <w:top w:val="nil"/>
              <w:left w:val="nil"/>
              <w:bottom w:val="nil"/>
              <w:right w:val="nil"/>
            </w:tcBorders>
            <w:shd w:val="clear" w:color="000000" w:fill="FFFFFF"/>
            <w:noWrap/>
            <w:vAlign w:val="center"/>
          </w:tcPr>
          <w:p w14:paraId="6C61ECE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(1,182)</w:t>
            </w:r>
          </w:p>
        </w:tc>
        <w:tc>
          <w:tcPr>
            <w:tcW w:w="1020" w:type="dxa"/>
            <w:tcBorders>
              <w:top w:val="nil"/>
              <w:left w:val="nil"/>
              <w:bottom w:val="nil"/>
              <w:right w:val="nil"/>
            </w:tcBorders>
            <w:shd w:val="clear" w:color="000000" w:fill="FFFFFF"/>
            <w:vAlign w:val="center"/>
            <w:hideMark/>
          </w:tcPr>
          <w:p w14:paraId="03C9C39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14,343</w:t>
            </w:r>
          </w:p>
        </w:tc>
      </w:tr>
      <w:tr w:rsidR="00DF3006" w:rsidRPr="00DF3006" w14:paraId="180319BF" w14:textId="77777777" w:rsidTr="00025E55">
        <w:trPr>
          <w:trHeight w:val="300"/>
        </w:trPr>
        <w:tc>
          <w:tcPr>
            <w:tcW w:w="4480" w:type="dxa"/>
            <w:tcBorders>
              <w:top w:val="nil"/>
              <w:left w:val="nil"/>
              <w:bottom w:val="nil"/>
              <w:right w:val="nil"/>
            </w:tcBorders>
            <w:shd w:val="clear" w:color="000000" w:fill="FFFFFF"/>
            <w:noWrap/>
            <w:vAlign w:val="center"/>
            <w:hideMark/>
          </w:tcPr>
          <w:p w14:paraId="25CFF39D"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Depreciation and amortisation</w:t>
            </w:r>
          </w:p>
        </w:tc>
        <w:tc>
          <w:tcPr>
            <w:tcW w:w="823" w:type="dxa"/>
            <w:tcBorders>
              <w:top w:val="nil"/>
              <w:left w:val="nil"/>
              <w:bottom w:val="nil"/>
              <w:right w:val="nil"/>
            </w:tcBorders>
            <w:shd w:val="clear" w:color="000000" w:fill="FFFFFF"/>
            <w:noWrap/>
            <w:vAlign w:val="center"/>
            <w:hideMark/>
          </w:tcPr>
          <w:p w14:paraId="35C1A2C8"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8,10,11</w:t>
            </w:r>
          </w:p>
        </w:tc>
        <w:tc>
          <w:tcPr>
            <w:tcW w:w="1020" w:type="dxa"/>
            <w:tcBorders>
              <w:top w:val="nil"/>
              <w:left w:val="nil"/>
              <w:bottom w:val="nil"/>
              <w:right w:val="nil"/>
            </w:tcBorders>
            <w:shd w:val="clear" w:color="auto" w:fill="D9D9D9" w:themeFill="background1" w:themeFillShade="D9"/>
            <w:vAlign w:val="center"/>
          </w:tcPr>
          <w:p w14:paraId="608E96D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2,288</w:t>
            </w:r>
          </w:p>
        </w:tc>
        <w:tc>
          <w:tcPr>
            <w:tcW w:w="1020" w:type="dxa"/>
            <w:tcBorders>
              <w:top w:val="nil"/>
              <w:left w:val="nil"/>
              <w:bottom w:val="nil"/>
              <w:right w:val="nil"/>
            </w:tcBorders>
            <w:shd w:val="clear" w:color="000000" w:fill="FFFFFF"/>
            <w:vAlign w:val="center"/>
          </w:tcPr>
          <w:p w14:paraId="593D9B2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2,533</w:t>
            </w:r>
          </w:p>
        </w:tc>
        <w:tc>
          <w:tcPr>
            <w:tcW w:w="1044" w:type="dxa"/>
            <w:tcBorders>
              <w:top w:val="nil"/>
              <w:left w:val="nil"/>
              <w:bottom w:val="nil"/>
              <w:right w:val="nil"/>
            </w:tcBorders>
            <w:shd w:val="clear" w:color="000000" w:fill="FFFFFF"/>
            <w:noWrap/>
            <w:vAlign w:val="center"/>
          </w:tcPr>
          <w:p w14:paraId="2B77353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(245)</w:t>
            </w:r>
          </w:p>
        </w:tc>
        <w:tc>
          <w:tcPr>
            <w:tcW w:w="1020" w:type="dxa"/>
            <w:tcBorders>
              <w:top w:val="nil"/>
              <w:left w:val="nil"/>
              <w:bottom w:val="nil"/>
              <w:right w:val="nil"/>
            </w:tcBorders>
            <w:shd w:val="clear" w:color="000000" w:fill="FFFFFF"/>
            <w:vAlign w:val="center"/>
            <w:hideMark/>
          </w:tcPr>
          <w:p w14:paraId="1740477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2,406</w:t>
            </w:r>
          </w:p>
        </w:tc>
      </w:tr>
      <w:tr w:rsidR="00DF3006" w:rsidRPr="00DF3006" w14:paraId="544C3204" w14:textId="77777777" w:rsidTr="00025E55">
        <w:trPr>
          <w:trHeight w:val="300"/>
        </w:trPr>
        <w:tc>
          <w:tcPr>
            <w:tcW w:w="4480" w:type="dxa"/>
            <w:tcBorders>
              <w:top w:val="nil"/>
              <w:left w:val="nil"/>
              <w:bottom w:val="nil"/>
              <w:right w:val="nil"/>
            </w:tcBorders>
            <w:shd w:val="clear" w:color="000000" w:fill="FFFFFF"/>
            <w:noWrap/>
            <w:vAlign w:val="center"/>
            <w:hideMark/>
          </w:tcPr>
          <w:p w14:paraId="49FF629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Finance costs</w:t>
            </w:r>
          </w:p>
        </w:tc>
        <w:tc>
          <w:tcPr>
            <w:tcW w:w="823" w:type="dxa"/>
            <w:tcBorders>
              <w:top w:val="nil"/>
              <w:left w:val="nil"/>
              <w:bottom w:val="nil"/>
              <w:right w:val="nil"/>
            </w:tcBorders>
            <w:shd w:val="clear" w:color="000000" w:fill="FFFFFF"/>
            <w:noWrap/>
            <w:vAlign w:val="center"/>
            <w:hideMark/>
          </w:tcPr>
          <w:p w14:paraId="65772402"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26AD4E0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w:t>
            </w:r>
          </w:p>
        </w:tc>
        <w:tc>
          <w:tcPr>
            <w:tcW w:w="1020" w:type="dxa"/>
            <w:tcBorders>
              <w:top w:val="nil"/>
              <w:left w:val="nil"/>
              <w:bottom w:val="nil"/>
              <w:right w:val="nil"/>
            </w:tcBorders>
            <w:shd w:val="clear" w:color="000000" w:fill="FFFFFF"/>
            <w:vAlign w:val="center"/>
          </w:tcPr>
          <w:p w14:paraId="6197FCB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w:t>
            </w:r>
          </w:p>
        </w:tc>
        <w:tc>
          <w:tcPr>
            <w:tcW w:w="1044" w:type="dxa"/>
            <w:tcBorders>
              <w:top w:val="nil"/>
              <w:left w:val="nil"/>
              <w:bottom w:val="nil"/>
              <w:right w:val="nil"/>
            </w:tcBorders>
            <w:shd w:val="clear" w:color="000000" w:fill="FFFFFF"/>
            <w:noWrap/>
            <w:vAlign w:val="center"/>
          </w:tcPr>
          <w:p w14:paraId="1EC7214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w:t>
            </w:r>
          </w:p>
        </w:tc>
        <w:tc>
          <w:tcPr>
            <w:tcW w:w="1020" w:type="dxa"/>
            <w:tcBorders>
              <w:top w:val="nil"/>
              <w:left w:val="nil"/>
              <w:bottom w:val="nil"/>
              <w:right w:val="nil"/>
            </w:tcBorders>
            <w:shd w:val="clear" w:color="000000" w:fill="FFFFFF"/>
            <w:vAlign w:val="center"/>
            <w:hideMark/>
          </w:tcPr>
          <w:p w14:paraId="58551D2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w:t>
            </w:r>
          </w:p>
        </w:tc>
      </w:tr>
      <w:tr w:rsidR="00DF3006" w:rsidRPr="00DF3006" w14:paraId="6E0D93CC" w14:textId="77777777" w:rsidTr="00025E55">
        <w:trPr>
          <w:trHeight w:val="300"/>
        </w:trPr>
        <w:tc>
          <w:tcPr>
            <w:tcW w:w="4480" w:type="dxa"/>
            <w:tcBorders>
              <w:top w:val="nil"/>
              <w:left w:val="nil"/>
              <w:bottom w:val="nil"/>
              <w:right w:val="nil"/>
            </w:tcBorders>
            <w:shd w:val="clear" w:color="000000" w:fill="FFFFFF"/>
            <w:noWrap/>
            <w:vAlign w:val="center"/>
            <w:hideMark/>
          </w:tcPr>
          <w:p w14:paraId="0A279CEC"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 expenses</w:t>
            </w:r>
          </w:p>
        </w:tc>
        <w:tc>
          <w:tcPr>
            <w:tcW w:w="823" w:type="dxa"/>
            <w:tcBorders>
              <w:top w:val="nil"/>
              <w:left w:val="nil"/>
              <w:bottom w:val="nil"/>
              <w:right w:val="nil"/>
            </w:tcBorders>
            <w:shd w:val="clear" w:color="000000" w:fill="FFFFFF"/>
            <w:noWrap/>
            <w:vAlign w:val="center"/>
            <w:hideMark/>
          </w:tcPr>
          <w:p w14:paraId="2CBBB891"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6</w:t>
            </w:r>
          </w:p>
        </w:tc>
        <w:tc>
          <w:tcPr>
            <w:tcW w:w="1020" w:type="dxa"/>
            <w:tcBorders>
              <w:top w:val="nil"/>
              <w:left w:val="nil"/>
              <w:bottom w:val="nil"/>
              <w:right w:val="nil"/>
            </w:tcBorders>
            <w:shd w:val="clear" w:color="auto" w:fill="D9D9D9" w:themeFill="background1" w:themeFillShade="D9"/>
            <w:vAlign w:val="center"/>
          </w:tcPr>
          <w:p w14:paraId="38A45A4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1,474</w:t>
            </w:r>
          </w:p>
        </w:tc>
        <w:tc>
          <w:tcPr>
            <w:tcW w:w="1020" w:type="dxa"/>
            <w:tcBorders>
              <w:top w:val="nil"/>
              <w:left w:val="nil"/>
              <w:bottom w:val="nil"/>
              <w:right w:val="nil"/>
            </w:tcBorders>
            <w:shd w:val="clear" w:color="000000" w:fill="FFFFFF"/>
            <w:vAlign w:val="center"/>
          </w:tcPr>
          <w:p w14:paraId="1429550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1,288</w:t>
            </w:r>
          </w:p>
        </w:tc>
        <w:tc>
          <w:tcPr>
            <w:tcW w:w="1044" w:type="dxa"/>
            <w:tcBorders>
              <w:top w:val="nil"/>
              <w:left w:val="nil"/>
              <w:bottom w:val="nil"/>
              <w:right w:val="nil"/>
            </w:tcBorders>
            <w:shd w:val="clear" w:color="000000" w:fill="FFFFFF"/>
            <w:noWrap/>
            <w:vAlign w:val="center"/>
          </w:tcPr>
          <w:p w14:paraId="10B0B11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186</w:t>
            </w:r>
          </w:p>
        </w:tc>
        <w:tc>
          <w:tcPr>
            <w:tcW w:w="1020" w:type="dxa"/>
            <w:tcBorders>
              <w:top w:val="nil"/>
              <w:left w:val="nil"/>
              <w:bottom w:val="nil"/>
              <w:right w:val="nil"/>
            </w:tcBorders>
            <w:shd w:val="clear" w:color="000000" w:fill="FFFFFF"/>
            <w:vAlign w:val="center"/>
            <w:hideMark/>
          </w:tcPr>
          <w:p w14:paraId="658658E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1,385</w:t>
            </w:r>
          </w:p>
        </w:tc>
      </w:tr>
      <w:tr w:rsidR="00DF3006" w:rsidRPr="00DF3006" w14:paraId="4A61613D" w14:textId="77777777" w:rsidTr="00025E55">
        <w:trPr>
          <w:trHeight w:val="300"/>
        </w:trPr>
        <w:tc>
          <w:tcPr>
            <w:tcW w:w="4480" w:type="dxa"/>
            <w:tcBorders>
              <w:top w:val="nil"/>
              <w:left w:val="nil"/>
              <w:bottom w:val="nil"/>
              <w:right w:val="nil"/>
            </w:tcBorders>
            <w:shd w:val="clear" w:color="000000" w:fill="FFFFFF"/>
            <w:noWrap/>
            <w:vAlign w:val="center"/>
          </w:tcPr>
          <w:p w14:paraId="19EBD8F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Impairment losses</w:t>
            </w:r>
          </w:p>
        </w:tc>
        <w:tc>
          <w:tcPr>
            <w:tcW w:w="823" w:type="dxa"/>
            <w:tcBorders>
              <w:top w:val="nil"/>
              <w:left w:val="nil"/>
              <w:bottom w:val="nil"/>
              <w:right w:val="nil"/>
            </w:tcBorders>
            <w:shd w:val="clear" w:color="000000" w:fill="FFFFFF"/>
            <w:noWrap/>
            <w:vAlign w:val="center"/>
          </w:tcPr>
          <w:p w14:paraId="07EE7BAF"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8,9</w:t>
            </w:r>
          </w:p>
        </w:tc>
        <w:tc>
          <w:tcPr>
            <w:tcW w:w="1020" w:type="dxa"/>
            <w:tcBorders>
              <w:top w:val="nil"/>
              <w:left w:val="nil"/>
              <w:bottom w:val="nil"/>
              <w:right w:val="nil"/>
            </w:tcBorders>
            <w:shd w:val="clear" w:color="auto" w:fill="D9D9D9" w:themeFill="background1" w:themeFillShade="D9"/>
            <w:vAlign w:val="center"/>
          </w:tcPr>
          <w:p w14:paraId="630B8BC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020" w:type="dxa"/>
            <w:tcBorders>
              <w:top w:val="nil"/>
              <w:left w:val="nil"/>
              <w:bottom w:val="nil"/>
              <w:right w:val="nil"/>
            </w:tcBorders>
            <w:shd w:val="clear" w:color="000000" w:fill="FFFFFF"/>
            <w:vAlign w:val="center"/>
          </w:tcPr>
          <w:p w14:paraId="4CFEAC7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50</w:t>
            </w:r>
          </w:p>
        </w:tc>
        <w:tc>
          <w:tcPr>
            <w:tcW w:w="1044" w:type="dxa"/>
            <w:tcBorders>
              <w:top w:val="nil"/>
              <w:left w:val="nil"/>
              <w:bottom w:val="nil"/>
              <w:right w:val="nil"/>
            </w:tcBorders>
            <w:shd w:val="clear" w:color="000000" w:fill="FFFFFF"/>
            <w:noWrap/>
            <w:vAlign w:val="center"/>
          </w:tcPr>
          <w:p w14:paraId="612AE9C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(50)</w:t>
            </w:r>
          </w:p>
        </w:tc>
        <w:tc>
          <w:tcPr>
            <w:tcW w:w="1020" w:type="dxa"/>
            <w:tcBorders>
              <w:top w:val="nil"/>
              <w:left w:val="nil"/>
              <w:bottom w:val="nil"/>
              <w:right w:val="nil"/>
            </w:tcBorders>
            <w:shd w:val="clear" w:color="000000" w:fill="FFFFFF"/>
            <w:vAlign w:val="center"/>
          </w:tcPr>
          <w:p w14:paraId="465873D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2,275</w:t>
            </w:r>
          </w:p>
        </w:tc>
      </w:tr>
      <w:tr w:rsidR="00DF3006" w:rsidRPr="00DF3006" w14:paraId="6A365A61" w14:textId="77777777" w:rsidTr="00025E55">
        <w:trPr>
          <w:trHeight w:val="315"/>
        </w:trPr>
        <w:tc>
          <w:tcPr>
            <w:tcW w:w="4480" w:type="dxa"/>
            <w:tcBorders>
              <w:top w:val="nil"/>
              <w:left w:val="nil"/>
              <w:bottom w:val="nil"/>
              <w:right w:val="nil"/>
            </w:tcBorders>
            <w:shd w:val="clear" w:color="000000" w:fill="FFFFFF"/>
            <w:noWrap/>
            <w:vAlign w:val="center"/>
            <w:hideMark/>
          </w:tcPr>
          <w:p w14:paraId="14DC4258"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60E9F3FF"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single" w:sz="8" w:space="0" w:color="auto"/>
              <w:right w:val="nil"/>
            </w:tcBorders>
            <w:shd w:val="clear" w:color="auto" w:fill="D9D9D9" w:themeFill="background1" w:themeFillShade="D9"/>
            <w:vAlign w:val="center"/>
          </w:tcPr>
          <w:p w14:paraId="0A42692A"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tcPr>
          <w:p w14:paraId="30C9167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single" w:sz="8" w:space="0" w:color="auto"/>
              <w:right w:val="nil"/>
            </w:tcBorders>
            <w:shd w:val="clear" w:color="000000" w:fill="FFFFFF"/>
            <w:noWrap/>
            <w:vAlign w:val="center"/>
          </w:tcPr>
          <w:p w14:paraId="2D6FEBDC"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hideMark/>
          </w:tcPr>
          <w:p w14:paraId="39B830D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4D2DE85C" w14:textId="77777777" w:rsidTr="00025E55">
        <w:trPr>
          <w:trHeight w:val="300"/>
        </w:trPr>
        <w:tc>
          <w:tcPr>
            <w:tcW w:w="4480" w:type="dxa"/>
            <w:tcBorders>
              <w:top w:val="nil"/>
              <w:left w:val="nil"/>
              <w:bottom w:val="nil"/>
              <w:right w:val="nil"/>
            </w:tcBorders>
            <w:shd w:val="clear" w:color="000000" w:fill="FFFFFF"/>
            <w:noWrap/>
            <w:vAlign w:val="center"/>
            <w:hideMark/>
          </w:tcPr>
          <w:p w14:paraId="423636DF"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Expenses from Continuing Operations</w:t>
            </w:r>
          </w:p>
        </w:tc>
        <w:tc>
          <w:tcPr>
            <w:tcW w:w="823" w:type="dxa"/>
            <w:tcBorders>
              <w:top w:val="nil"/>
              <w:left w:val="nil"/>
              <w:bottom w:val="nil"/>
              <w:right w:val="nil"/>
            </w:tcBorders>
            <w:shd w:val="clear" w:color="000000" w:fill="FFFFFF"/>
            <w:noWrap/>
            <w:vAlign w:val="center"/>
            <w:hideMark/>
          </w:tcPr>
          <w:p w14:paraId="34E3D79D"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23D36A4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63,132</w:t>
            </w:r>
          </w:p>
        </w:tc>
        <w:tc>
          <w:tcPr>
            <w:tcW w:w="1020" w:type="dxa"/>
            <w:tcBorders>
              <w:top w:val="nil"/>
              <w:left w:val="nil"/>
              <w:bottom w:val="nil"/>
              <w:right w:val="nil"/>
            </w:tcBorders>
            <w:shd w:val="clear" w:color="000000" w:fill="FFFFFF"/>
            <w:vAlign w:val="center"/>
          </w:tcPr>
          <w:p w14:paraId="00A0907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67,241</w:t>
            </w:r>
          </w:p>
        </w:tc>
        <w:tc>
          <w:tcPr>
            <w:tcW w:w="1044" w:type="dxa"/>
            <w:tcBorders>
              <w:top w:val="nil"/>
              <w:left w:val="nil"/>
              <w:bottom w:val="nil"/>
              <w:right w:val="nil"/>
            </w:tcBorders>
            <w:shd w:val="clear" w:color="000000" w:fill="FFFFFF"/>
            <w:vAlign w:val="center"/>
          </w:tcPr>
          <w:p w14:paraId="2AD1FB7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(4,109)</w:t>
            </w:r>
          </w:p>
        </w:tc>
        <w:tc>
          <w:tcPr>
            <w:tcW w:w="1020" w:type="dxa"/>
            <w:tcBorders>
              <w:top w:val="nil"/>
              <w:left w:val="nil"/>
              <w:bottom w:val="nil"/>
              <w:right w:val="nil"/>
            </w:tcBorders>
            <w:shd w:val="clear" w:color="000000" w:fill="FFFFFF"/>
            <w:vAlign w:val="center"/>
            <w:hideMark/>
          </w:tcPr>
          <w:p w14:paraId="54A8075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66,030</w:t>
            </w:r>
          </w:p>
        </w:tc>
      </w:tr>
      <w:tr w:rsidR="00DF3006" w:rsidRPr="00DF3006" w14:paraId="466D361F" w14:textId="77777777" w:rsidTr="00025E55">
        <w:trPr>
          <w:trHeight w:val="315"/>
        </w:trPr>
        <w:tc>
          <w:tcPr>
            <w:tcW w:w="4480" w:type="dxa"/>
            <w:tcBorders>
              <w:top w:val="nil"/>
              <w:left w:val="nil"/>
              <w:bottom w:val="nil"/>
              <w:right w:val="nil"/>
            </w:tcBorders>
            <w:shd w:val="clear" w:color="000000" w:fill="FFFFFF"/>
            <w:noWrap/>
            <w:vAlign w:val="center"/>
            <w:hideMark/>
          </w:tcPr>
          <w:p w14:paraId="7537F479"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7EAACB1A"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single" w:sz="8" w:space="0" w:color="auto"/>
              <w:right w:val="nil"/>
            </w:tcBorders>
            <w:shd w:val="clear" w:color="auto" w:fill="D9D9D9" w:themeFill="background1" w:themeFillShade="D9"/>
            <w:vAlign w:val="center"/>
          </w:tcPr>
          <w:p w14:paraId="793E9C1A"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tcPr>
          <w:p w14:paraId="71F794CB"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single" w:sz="8" w:space="0" w:color="auto"/>
              <w:right w:val="nil"/>
            </w:tcBorders>
            <w:shd w:val="clear" w:color="000000" w:fill="FFFFFF"/>
            <w:noWrap/>
            <w:vAlign w:val="center"/>
          </w:tcPr>
          <w:p w14:paraId="4214199F"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hideMark/>
          </w:tcPr>
          <w:p w14:paraId="1827B59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69A3E69A" w14:textId="77777777" w:rsidTr="00025E55">
        <w:trPr>
          <w:trHeight w:val="315"/>
        </w:trPr>
        <w:tc>
          <w:tcPr>
            <w:tcW w:w="4480" w:type="dxa"/>
            <w:tcBorders>
              <w:top w:val="nil"/>
              <w:left w:val="nil"/>
              <w:bottom w:val="nil"/>
              <w:right w:val="nil"/>
            </w:tcBorders>
            <w:shd w:val="clear" w:color="000000" w:fill="FFFFFF"/>
            <w:noWrap/>
            <w:vAlign w:val="center"/>
            <w:hideMark/>
          </w:tcPr>
          <w:p w14:paraId="66C210CF"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Operating Result from Continuing Operations</w:t>
            </w:r>
          </w:p>
        </w:tc>
        <w:tc>
          <w:tcPr>
            <w:tcW w:w="823" w:type="dxa"/>
            <w:tcBorders>
              <w:top w:val="nil"/>
              <w:left w:val="nil"/>
              <w:bottom w:val="nil"/>
              <w:right w:val="nil"/>
            </w:tcBorders>
            <w:shd w:val="clear" w:color="000000" w:fill="FFFFFF"/>
            <w:noWrap/>
            <w:vAlign w:val="center"/>
            <w:hideMark/>
          </w:tcPr>
          <w:p w14:paraId="3E0BD554"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20" w:type="dxa"/>
            <w:tcBorders>
              <w:top w:val="nil"/>
              <w:left w:val="nil"/>
              <w:bottom w:val="double" w:sz="6" w:space="0" w:color="auto"/>
              <w:right w:val="nil"/>
            </w:tcBorders>
            <w:shd w:val="clear" w:color="auto" w:fill="D9D9D9" w:themeFill="background1" w:themeFillShade="D9"/>
            <w:vAlign w:val="center"/>
          </w:tcPr>
          <w:p w14:paraId="6703C23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6,431</w:t>
            </w:r>
          </w:p>
        </w:tc>
        <w:tc>
          <w:tcPr>
            <w:tcW w:w="1020" w:type="dxa"/>
            <w:tcBorders>
              <w:top w:val="nil"/>
              <w:left w:val="nil"/>
              <w:bottom w:val="double" w:sz="6" w:space="0" w:color="auto"/>
              <w:right w:val="nil"/>
            </w:tcBorders>
            <w:shd w:val="clear" w:color="000000" w:fill="FFFFFF"/>
            <w:vAlign w:val="center"/>
          </w:tcPr>
          <w:p w14:paraId="163EBBD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color w:val="414042" w:themeColor="text1"/>
                <w:szCs w:val="20"/>
                <w:lang w:eastAsia="en-AU"/>
              </w:rPr>
              <w:t>-</w:t>
            </w:r>
          </w:p>
        </w:tc>
        <w:tc>
          <w:tcPr>
            <w:tcW w:w="1044" w:type="dxa"/>
            <w:tcBorders>
              <w:top w:val="nil"/>
              <w:left w:val="nil"/>
              <w:bottom w:val="double" w:sz="6" w:space="0" w:color="auto"/>
              <w:right w:val="nil"/>
            </w:tcBorders>
            <w:shd w:val="clear" w:color="000000" w:fill="FFFFFF"/>
            <w:vAlign w:val="center"/>
          </w:tcPr>
          <w:p w14:paraId="7FB98E6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6,431</w:t>
            </w:r>
          </w:p>
        </w:tc>
        <w:tc>
          <w:tcPr>
            <w:tcW w:w="1020" w:type="dxa"/>
            <w:tcBorders>
              <w:top w:val="nil"/>
              <w:left w:val="nil"/>
              <w:bottom w:val="double" w:sz="6" w:space="0" w:color="auto"/>
              <w:right w:val="nil"/>
            </w:tcBorders>
            <w:shd w:val="clear" w:color="000000" w:fill="FFFFFF"/>
            <w:vAlign w:val="center"/>
            <w:hideMark/>
          </w:tcPr>
          <w:p w14:paraId="0C99216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(551)</w:t>
            </w:r>
          </w:p>
        </w:tc>
      </w:tr>
      <w:tr w:rsidR="00DF3006" w:rsidRPr="00DF3006" w14:paraId="110CD644" w14:textId="77777777" w:rsidTr="00025E55">
        <w:trPr>
          <w:trHeight w:val="315"/>
        </w:trPr>
        <w:tc>
          <w:tcPr>
            <w:tcW w:w="4480" w:type="dxa"/>
            <w:tcBorders>
              <w:top w:val="nil"/>
              <w:left w:val="nil"/>
              <w:bottom w:val="nil"/>
              <w:right w:val="nil"/>
            </w:tcBorders>
            <w:shd w:val="clear" w:color="000000" w:fill="FFFFFF"/>
            <w:noWrap/>
            <w:vAlign w:val="center"/>
            <w:hideMark/>
          </w:tcPr>
          <w:p w14:paraId="4FD28EE4"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5BC09EB6"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nil"/>
              <w:right w:val="nil"/>
            </w:tcBorders>
            <w:shd w:val="clear" w:color="auto" w:fill="D9D9D9" w:themeFill="background1" w:themeFillShade="D9"/>
            <w:vAlign w:val="center"/>
          </w:tcPr>
          <w:p w14:paraId="07959CD0"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nil"/>
              <w:right w:val="nil"/>
            </w:tcBorders>
            <w:shd w:val="clear" w:color="000000" w:fill="FFFFFF"/>
            <w:vAlign w:val="center"/>
          </w:tcPr>
          <w:p w14:paraId="11AD923C"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nil"/>
              <w:right w:val="nil"/>
            </w:tcBorders>
            <w:shd w:val="clear" w:color="000000" w:fill="FFFFFF"/>
            <w:noWrap/>
            <w:vAlign w:val="center"/>
          </w:tcPr>
          <w:p w14:paraId="4ACFC3E4"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nil"/>
              <w:right w:val="nil"/>
            </w:tcBorders>
            <w:shd w:val="clear" w:color="000000" w:fill="FFFFFF"/>
            <w:vAlign w:val="center"/>
            <w:hideMark/>
          </w:tcPr>
          <w:p w14:paraId="1F9ACF3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3EFD3087" w14:textId="77777777" w:rsidTr="00025E55">
        <w:trPr>
          <w:trHeight w:val="315"/>
        </w:trPr>
        <w:tc>
          <w:tcPr>
            <w:tcW w:w="4480" w:type="dxa"/>
            <w:tcBorders>
              <w:top w:val="nil"/>
              <w:left w:val="nil"/>
              <w:bottom w:val="nil"/>
              <w:right w:val="nil"/>
            </w:tcBorders>
            <w:shd w:val="clear" w:color="000000" w:fill="FFFFFF"/>
            <w:noWrap/>
            <w:vAlign w:val="center"/>
            <w:hideMark/>
          </w:tcPr>
          <w:p w14:paraId="34849B49"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823" w:type="dxa"/>
            <w:tcBorders>
              <w:top w:val="nil"/>
              <w:left w:val="nil"/>
              <w:bottom w:val="nil"/>
              <w:right w:val="nil"/>
            </w:tcBorders>
            <w:shd w:val="clear" w:color="000000" w:fill="FFFFFF"/>
            <w:noWrap/>
            <w:vAlign w:val="center"/>
            <w:hideMark/>
          </w:tcPr>
          <w:p w14:paraId="5E461C47"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single" w:sz="8" w:space="0" w:color="auto"/>
              <w:right w:val="nil"/>
            </w:tcBorders>
            <w:shd w:val="clear" w:color="auto" w:fill="D9D9D9" w:themeFill="background1" w:themeFillShade="D9"/>
            <w:vAlign w:val="center"/>
          </w:tcPr>
          <w:p w14:paraId="42B7CB0D"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tcPr>
          <w:p w14:paraId="1FF583D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single" w:sz="8" w:space="0" w:color="auto"/>
              <w:right w:val="nil"/>
            </w:tcBorders>
            <w:shd w:val="clear" w:color="000000" w:fill="FFFFFF"/>
            <w:noWrap/>
            <w:vAlign w:val="center"/>
          </w:tcPr>
          <w:p w14:paraId="28CFD24F" w14:textId="77777777" w:rsidR="00FC17BC" w:rsidRPr="00DF3006" w:rsidRDefault="00FC17BC" w:rsidP="00C30C67">
            <w:pPr>
              <w:spacing w:after="0"/>
              <w:jc w:val="right"/>
              <w:rPr>
                <w:rFonts w:eastAsia="Times New Roman" w:cs="Calibri"/>
                <w:color w:val="414042" w:themeColor="text1"/>
                <w:szCs w:val="20"/>
                <w:lang w:eastAsia="en-AU"/>
              </w:rPr>
            </w:pPr>
          </w:p>
        </w:tc>
        <w:tc>
          <w:tcPr>
            <w:tcW w:w="1020" w:type="dxa"/>
            <w:tcBorders>
              <w:top w:val="nil"/>
              <w:left w:val="nil"/>
              <w:bottom w:val="single" w:sz="8" w:space="0" w:color="auto"/>
              <w:right w:val="nil"/>
            </w:tcBorders>
            <w:shd w:val="clear" w:color="000000" w:fill="FFFFFF"/>
            <w:vAlign w:val="center"/>
            <w:hideMark/>
          </w:tcPr>
          <w:p w14:paraId="47C3D63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13AA6945" w14:textId="77777777" w:rsidTr="00025E55">
        <w:trPr>
          <w:trHeight w:val="315"/>
        </w:trPr>
        <w:tc>
          <w:tcPr>
            <w:tcW w:w="4480" w:type="dxa"/>
            <w:tcBorders>
              <w:top w:val="nil"/>
              <w:left w:val="nil"/>
              <w:bottom w:val="nil"/>
              <w:right w:val="nil"/>
            </w:tcBorders>
            <w:shd w:val="clear" w:color="000000" w:fill="FFFFFF"/>
            <w:noWrap/>
            <w:vAlign w:val="center"/>
            <w:hideMark/>
          </w:tcPr>
          <w:p w14:paraId="123B8842"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Comprehensive Income</w:t>
            </w:r>
          </w:p>
        </w:tc>
        <w:tc>
          <w:tcPr>
            <w:tcW w:w="823" w:type="dxa"/>
            <w:tcBorders>
              <w:top w:val="nil"/>
              <w:left w:val="nil"/>
              <w:bottom w:val="nil"/>
              <w:right w:val="nil"/>
            </w:tcBorders>
            <w:shd w:val="clear" w:color="000000" w:fill="FFFFFF"/>
            <w:noWrap/>
            <w:vAlign w:val="center"/>
            <w:hideMark/>
          </w:tcPr>
          <w:p w14:paraId="10E6FDF5"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20" w:type="dxa"/>
            <w:tcBorders>
              <w:top w:val="nil"/>
              <w:left w:val="nil"/>
              <w:bottom w:val="double" w:sz="6" w:space="0" w:color="auto"/>
              <w:right w:val="nil"/>
            </w:tcBorders>
            <w:shd w:val="clear" w:color="auto" w:fill="D9D9D9" w:themeFill="background1" w:themeFillShade="D9"/>
            <w:vAlign w:val="center"/>
          </w:tcPr>
          <w:p w14:paraId="08A95967"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6,431</w:t>
            </w:r>
          </w:p>
        </w:tc>
        <w:tc>
          <w:tcPr>
            <w:tcW w:w="1020" w:type="dxa"/>
            <w:tcBorders>
              <w:top w:val="nil"/>
              <w:left w:val="nil"/>
              <w:bottom w:val="double" w:sz="6" w:space="0" w:color="auto"/>
              <w:right w:val="nil"/>
            </w:tcBorders>
            <w:shd w:val="clear" w:color="000000" w:fill="FFFFFF"/>
            <w:vAlign w:val="center"/>
          </w:tcPr>
          <w:p w14:paraId="63D77D2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color w:val="414042" w:themeColor="text1"/>
                <w:szCs w:val="20"/>
                <w:lang w:eastAsia="en-AU"/>
              </w:rPr>
              <w:t>-</w:t>
            </w:r>
          </w:p>
        </w:tc>
        <w:tc>
          <w:tcPr>
            <w:tcW w:w="1044" w:type="dxa"/>
            <w:tcBorders>
              <w:top w:val="nil"/>
              <w:left w:val="nil"/>
              <w:bottom w:val="double" w:sz="6" w:space="0" w:color="auto"/>
              <w:right w:val="nil"/>
            </w:tcBorders>
            <w:shd w:val="clear" w:color="000000" w:fill="FFFFFF"/>
            <w:vAlign w:val="center"/>
          </w:tcPr>
          <w:p w14:paraId="5CE894C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6,431</w:t>
            </w:r>
          </w:p>
        </w:tc>
        <w:tc>
          <w:tcPr>
            <w:tcW w:w="1020" w:type="dxa"/>
            <w:tcBorders>
              <w:top w:val="nil"/>
              <w:left w:val="nil"/>
              <w:bottom w:val="double" w:sz="6" w:space="0" w:color="auto"/>
              <w:right w:val="nil"/>
            </w:tcBorders>
            <w:shd w:val="clear" w:color="000000" w:fill="FFFFFF"/>
            <w:vAlign w:val="center"/>
            <w:hideMark/>
          </w:tcPr>
          <w:p w14:paraId="61A1B50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(551)</w:t>
            </w:r>
          </w:p>
        </w:tc>
      </w:tr>
      <w:tr w:rsidR="00DF3006" w:rsidRPr="00DF3006" w14:paraId="6366E749" w14:textId="77777777" w:rsidTr="00025E55">
        <w:trPr>
          <w:trHeight w:val="315"/>
        </w:trPr>
        <w:tc>
          <w:tcPr>
            <w:tcW w:w="4480" w:type="dxa"/>
            <w:tcBorders>
              <w:top w:val="nil"/>
              <w:left w:val="nil"/>
              <w:bottom w:val="nil"/>
              <w:right w:val="nil"/>
            </w:tcBorders>
            <w:shd w:val="clear" w:color="000000" w:fill="FFFFFF"/>
            <w:noWrap/>
            <w:vAlign w:val="bottom"/>
            <w:hideMark/>
          </w:tcPr>
          <w:p w14:paraId="0B95377D"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823" w:type="dxa"/>
            <w:tcBorders>
              <w:top w:val="nil"/>
              <w:left w:val="nil"/>
              <w:bottom w:val="nil"/>
              <w:right w:val="nil"/>
            </w:tcBorders>
            <w:shd w:val="clear" w:color="000000" w:fill="FFFFFF"/>
            <w:noWrap/>
            <w:vAlign w:val="bottom"/>
            <w:hideMark/>
          </w:tcPr>
          <w:p w14:paraId="767E6B75"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20" w:type="dxa"/>
            <w:tcBorders>
              <w:top w:val="nil"/>
              <w:left w:val="nil"/>
              <w:bottom w:val="nil"/>
              <w:right w:val="nil"/>
            </w:tcBorders>
            <w:shd w:val="clear" w:color="000000" w:fill="FFFFFF"/>
            <w:noWrap/>
            <w:vAlign w:val="bottom"/>
            <w:hideMark/>
          </w:tcPr>
          <w:p w14:paraId="6AED586B"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20" w:type="dxa"/>
            <w:tcBorders>
              <w:top w:val="nil"/>
              <w:left w:val="nil"/>
              <w:bottom w:val="nil"/>
              <w:right w:val="nil"/>
            </w:tcBorders>
            <w:shd w:val="clear" w:color="000000" w:fill="FFFFFF"/>
            <w:noWrap/>
            <w:vAlign w:val="bottom"/>
            <w:hideMark/>
          </w:tcPr>
          <w:p w14:paraId="2E65F6E2"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44" w:type="dxa"/>
            <w:tcBorders>
              <w:top w:val="nil"/>
              <w:left w:val="nil"/>
              <w:bottom w:val="nil"/>
              <w:right w:val="nil"/>
            </w:tcBorders>
            <w:shd w:val="clear" w:color="000000" w:fill="FFFFFF"/>
            <w:noWrap/>
            <w:vAlign w:val="bottom"/>
            <w:hideMark/>
          </w:tcPr>
          <w:p w14:paraId="18BD193D"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020" w:type="dxa"/>
            <w:tcBorders>
              <w:top w:val="nil"/>
              <w:left w:val="nil"/>
              <w:bottom w:val="nil"/>
              <w:right w:val="nil"/>
            </w:tcBorders>
            <w:shd w:val="clear" w:color="000000" w:fill="FFFFFF"/>
            <w:noWrap/>
            <w:vAlign w:val="bottom"/>
            <w:hideMark/>
          </w:tcPr>
          <w:p w14:paraId="297E0A89"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bl>
    <w:p w14:paraId="7DC3BA3A" w14:textId="77777777" w:rsidR="00FC17BC" w:rsidRPr="00DF3006" w:rsidRDefault="00FC17BC" w:rsidP="00FC17BC">
      <w:pPr>
        <w:pStyle w:val="Notes"/>
      </w:pPr>
    </w:p>
    <w:p w14:paraId="58CC33B0" w14:textId="77777777" w:rsidR="00FC17BC" w:rsidRPr="00DF3006" w:rsidRDefault="00FC17BC" w:rsidP="00FC17BC">
      <w:pPr>
        <w:pStyle w:val="Notes"/>
      </w:pPr>
    </w:p>
    <w:p w14:paraId="2CE7C114" w14:textId="77777777" w:rsidR="00FC17BC" w:rsidRPr="00DF3006" w:rsidRDefault="00FC17BC" w:rsidP="00FC17BC">
      <w:pPr>
        <w:tabs>
          <w:tab w:val="left" w:pos="4500"/>
        </w:tabs>
        <w:rPr>
          <w:rFonts w:cs="Arial"/>
          <w:i/>
          <w:color w:val="414042" w:themeColor="text1"/>
          <w:sz w:val="17"/>
          <w:szCs w:val="17"/>
        </w:rPr>
      </w:pPr>
      <w:r w:rsidRPr="00DF3006">
        <w:rPr>
          <w:rFonts w:cs="Arial"/>
          <w:i/>
          <w:color w:val="414042" w:themeColor="text1"/>
          <w:sz w:val="17"/>
          <w:szCs w:val="17"/>
        </w:rPr>
        <w:t>* An explanation of major variances is included at Note 19.</w:t>
      </w:r>
    </w:p>
    <w:p w14:paraId="51E6E372" w14:textId="77777777" w:rsidR="00FC17BC" w:rsidRPr="00DF3006" w:rsidRDefault="00FC17BC" w:rsidP="00FC17BC">
      <w:pPr>
        <w:tabs>
          <w:tab w:val="left" w:pos="4500"/>
        </w:tabs>
        <w:rPr>
          <w:rFonts w:cs="Arial"/>
          <w:i/>
          <w:color w:val="414042" w:themeColor="text1"/>
          <w:sz w:val="17"/>
          <w:szCs w:val="17"/>
        </w:rPr>
      </w:pPr>
      <w:r w:rsidRPr="00DF3006">
        <w:rPr>
          <w:i/>
          <w:color w:val="414042" w:themeColor="text1"/>
          <w:sz w:val="17"/>
          <w:szCs w:val="17"/>
        </w:rPr>
        <w:t>The accompanying notes form part of these statements.</w:t>
      </w:r>
    </w:p>
    <w:p w14:paraId="21B07BAF" w14:textId="77777777" w:rsidR="00FC17BC" w:rsidRPr="00DF3006" w:rsidRDefault="00FC17BC" w:rsidP="00FC17BC">
      <w:pPr>
        <w:tabs>
          <w:tab w:val="left" w:pos="4500"/>
        </w:tabs>
        <w:rPr>
          <w:rFonts w:cs="Arial"/>
          <w:i/>
          <w:color w:val="414042" w:themeColor="text1"/>
          <w:sz w:val="17"/>
          <w:szCs w:val="17"/>
        </w:rPr>
      </w:pPr>
    </w:p>
    <w:p w14:paraId="0A85B84D" w14:textId="77777777" w:rsidR="00FC17BC" w:rsidRPr="00DF3006" w:rsidRDefault="00FC17BC" w:rsidP="00FC17BC">
      <w:pPr>
        <w:tabs>
          <w:tab w:val="left" w:pos="4500"/>
        </w:tabs>
        <w:rPr>
          <w:rFonts w:cs="Arial"/>
          <w:i/>
          <w:color w:val="414042" w:themeColor="text1"/>
          <w:sz w:val="17"/>
          <w:szCs w:val="17"/>
        </w:rPr>
        <w:sectPr w:rsidR="00FC17BC" w:rsidRPr="00DF3006" w:rsidSect="004C56F1">
          <w:headerReference w:type="even" r:id="rId320"/>
          <w:headerReference w:type="default" r:id="rId321"/>
          <w:footerReference w:type="default" r:id="rId322"/>
          <w:headerReference w:type="first" r:id="rId323"/>
          <w:pgSz w:w="11906" w:h="16838"/>
          <w:pgMar w:top="2155" w:right="1134" w:bottom="964" w:left="1134" w:header="709" w:footer="283" w:gutter="0"/>
          <w:cols w:space="708"/>
          <w:docGrid w:linePitch="360"/>
        </w:sectPr>
      </w:pPr>
    </w:p>
    <w:tbl>
      <w:tblPr>
        <w:tblW w:w="9389" w:type="dxa"/>
        <w:tblLayout w:type="fixed"/>
        <w:tblLook w:val="04A0" w:firstRow="1" w:lastRow="0" w:firstColumn="1" w:lastColumn="0" w:noHBand="0" w:noVBand="1"/>
      </w:tblPr>
      <w:tblGrid>
        <w:gridCol w:w="4253"/>
        <w:gridCol w:w="262"/>
        <w:gridCol w:w="706"/>
        <w:gridCol w:w="1016"/>
        <w:gridCol w:w="984"/>
        <w:gridCol w:w="1176"/>
        <w:gridCol w:w="992"/>
      </w:tblGrid>
      <w:tr w:rsidR="00DF3006" w:rsidRPr="00DF3006" w14:paraId="0C868C82" w14:textId="77777777" w:rsidTr="00025E55">
        <w:trPr>
          <w:trHeight w:val="780"/>
        </w:trPr>
        <w:tc>
          <w:tcPr>
            <w:tcW w:w="4253" w:type="dxa"/>
            <w:tcBorders>
              <w:top w:val="nil"/>
              <w:left w:val="nil"/>
              <w:bottom w:val="nil"/>
              <w:right w:val="nil"/>
            </w:tcBorders>
            <w:shd w:val="clear" w:color="000000" w:fill="FFFFFF"/>
            <w:noWrap/>
            <w:vAlign w:val="center"/>
            <w:hideMark/>
          </w:tcPr>
          <w:p w14:paraId="51569CDC"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lastRenderedPageBreak/>
              <w:t> </w:t>
            </w:r>
          </w:p>
        </w:tc>
        <w:tc>
          <w:tcPr>
            <w:tcW w:w="262" w:type="dxa"/>
            <w:tcBorders>
              <w:top w:val="nil"/>
              <w:left w:val="nil"/>
              <w:bottom w:val="nil"/>
              <w:right w:val="nil"/>
            </w:tcBorders>
            <w:shd w:val="clear" w:color="000000" w:fill="FFFFFF"/>
            <w:noWrap/>
            <w:vAlign w:val="center"/>
          </w:tcPr>
          <w:p w14:paraId="02CC8C4D"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bottom w:val="nil"/>
              <w:right w:val="nil"/>
            </w:tcBorders>
            <w:shd w:val="clear" w:color="auto" w:fill="auto"/>
            <w:vAlign w:val="center"/>
          </w:tcPr>
          <w:p w14:paraId="7C2F1A6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Notes</w:t>
            </w:r>
          </w:p>
        </w:tc>
        <w:tc>
          <w:tcPr>
            <w:tcW w:w="1016" w:type="dxa"/>
            <w:tcBorders>
              <w:top w:val="nil"/>
              <w:left w:val="nil"/>
              <w:bottom w:val="nil"/>
              <w:right w:val="nil"/>
            </w:tcBorders>
            <w:shd w:val="clear" w:color="auto" w:fill="D9D9D9" w:themeFill="background1" w:themeFillShade="D9"/>
            <w:vAlign w:val="bottom"/>
            <w:hideMark/>
          </w:tcPr>
          <w:p w14:paraId="361580C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r w:rsidRPr="00DF3006">
              <w:rPr>
                <w:rFonts w:eastAsia="Times New Roman" w:cs="Calibri"/>
                <w:b/>
                <w:bCs/>
                <w:color w:val="414042" w:themeColor="text1"/>
                <w:szCs w:val="20"/>
                <w:lang w:eastAsia="en-AU"/>
              </w:rPr>
              <w:br/>
              <w:t>Actual</w:t>
            </w:r>
          </w:p>
        </w:tc>
        <w:tc>
          <w:tcPr>
            <w:tcW w:w="984" w:type="dxa"/>
            <w:tcBorders>
              <w:top w:val="nil"/>
              <w:left w:val="nil"/>
              <w:bottom w:val="nil"/>
              <w:right w:val="nil"/>
            </w:tcBorders>
            <w:shd w:val="clear" w:color="000000" w:fill="FFFFFF"/>
            <w:vAlign w:val="bottom"/>
          </w:tcPr>
          <w:p w14:paraId="71F9E6B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 Original Budget</w:t>
            </w:r>
          </w:p>
        </w:tc>
        <w:tc>
          <w:tcPr>
            <w:tcW w:w="1176" w:type="dxa"/>
            <w:tcBorders>
              <w:top w:val="nil"/>
              <w:left w:val="nil"/>
              <w:bottom w:val="nil"/>
              <w:right w:val="nil"/>
            </w:tcBorders>
            <w:shd w:val="clear" w:color="000000" w:fill="FFFFFF"/>
            <w:vAlign w:val="bottom"/>
          </w:tcPr>
          <w:p w14:paraId="1B161DC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xml:space="preserve">Budget </w:t>
            </w:r>
            <w:r w:rsidRPr="00DF3006">
              <w:rPr>
                <w:rFonts w:eastAsia="Times New Roman" w:cs="Calibri"/>
                <w:b/>
                <w:bCs/>
                <w:color w:val="414042" w:themeColor="text1"/>
                <w:szCs w:val="20"/>
                <w:lang w:eastAsia="en-AU"/>
              </w:rPr>
              <w:br/>
              <w:t>Variance*</w:t>
            </w:r>
          </w:p>
        </w:tc>
        <w:tc>
          <w:tcPr>
            <w:tcW w:w="992" w:type="dxa"/>
            <w:tcBorders>
              <w:top w:val="nil"/>
              <w:left w:val="nil"/>
              <w:bottom w:val="nil"/>
              <w:right w:val="nil"/>
            </w:tcBorders>
            <w:shd w:val="clear" w:color="000000" w:fill="FFFFFF"/>
            <w:vAlign w:val="bottom"/>
            <w:hideMark/>
          </w:tcPr>
          <w:p w14:paraId="3A8146D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r w:rsidRPr="00DF3006">
              <w:rPr>
                <w:rFonts w:eastAsia="Times New Roman" w:cs="Calibri"/>
                <w:b/>
                <w:bCs/>
                <w:color w:val="414042" w:themeColor="text1"/>
                <w:szCs w:val="20"/>
                <w:lang w:eastAsia="en-AU"/>
              </w:rPr>
              <w:br/>
              <w:t>Actual</w:t>
            </w:r>
          </w:p>
        </w:tc>
      </w:tr>
      <w:tr w:rsidR="00DF3006" w:rsidRPr="00DF3006" w14:paraId="3957F67A" w14:textId="77777777" w:rsidTr="00025E55">
        <w:trPr>
          <w:trHeight w:val="300"/>
        </w:trPr>
        <w:tc>
          <w:tcPr>
            <w:tcW w:w="4253" w:type="dxa"/>
            <w:tcBorders>
              <w:top w:val="nil"/>
              <w:left w:val="nil"/>
              <w:bottom w:val="nil"/>
              <w:right w:val="nil"/>
            </w:tcBorders>
            <w:shd w:val="clear" w:color="000000" w:fill="FFFFFF"/>
            <w:noWrap/>
            <w:vAlign w:val="bottom"/>
            <w:hideMark/>
          </w:tcPr>
          <w:p w14:paraId="20C8FCC5"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262" w:type="dxa"/>
            <w:tcBorders>
              <w:top w:val="nil"/>
              <w:left w:val="nil"/>
              <w:bottom w:val="nil"/>
              <w:right w:val="nil"/>
            </w:tcBorders>
            <w:shd w:val="clear" w:color="000000" w:fill="FFFFFF"/>
            <w:noWrap/>
            <w:vAlign w:val="center"/>
          </w:tcPr>
          <w:p w14:paraId="5995C51E"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61B7E88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hideMark/>
          </w:tcPr>
          <w:p w14:paraId="6760CB6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84" w:type="dxa"/>
            <w:tcBorders>
              <w:top w:val="nil"/>
              <w:left w:val="nil"/>
              <w:bottom w:val="nil"/>
              <w:right w:val="nil"/>
            </w:tcBorders>
            <w:shd w:val="clear" w:color="000000" w:fill="FFFFFF"/>
            <w:vAlign w:val="center"/>
          </w:tcPr>
          <w:p w14:paraId="0767FD0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176" w:type="dxa"/>
            <w:tcBorders>
              <w:top w:val="nil"/>
              <w:left w:val="nil"/>
              <w:bottom w:val="nil"/>
              <w:right w:val="nil"/>
            </w:tcBorders>
            <w:shd w:val="clear" w:color="000000" w:fill="FFFFFF"/>
            <w:vAlign w:val="center"/>
          </w:tcPr>
          <w:p w14:paraId="3B62710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92" w:type="dxa"/>
            <w:tcBorders>
              <w:top w:val="nil"/>
              <w:left w:val="nil"/>
              <w:bottom w:val="nil"/>
              <w:right w:val="nil"/>
            </w:tcBorders>
            <w:shd w:val="clear" w:color="000000" w:fill="FFFFFF"/>
            <w:vAlign w:val="center"/>
            <w:hideMark/>
          </w:tcPr>
          <w:p w14:paraId="4A97B71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r>
      <w:tr w:rsidR="00DF3006" w:rsidRPr="00DF3006" w14:paraId="69ADA54C" w14:textId="77777777" w:rsidTr="00025E55">
        <w:trPr>
          <w:trHeight w:val="300"/>
        </w:trPr>
        <w:tc>
          <w:tcPr>
            <w:tcW w:w="4253" w:type="dxa"/>
            <w:tcBorders>
              <w:top w:val="nil"/>
              <w:left w:val="nil"/>
              <w:bottom w:val="nil"/>
              <w:right w:val="nil"/>
            </w:tcBorders>
            <w:shd w:val="clear" w:color="000000" w:fill="FFFFFF"/>
            <w:noWrap/>
            <w:vAlign w:val="center"/>
            <w:hideMark/>
          </w:tcPr>
          <w:p w14:paraId="7E97693A"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Current Assets</w:t>
            </w:r>
          </w:p>
        </w:tc>
        <w:tc>
          <w:tcPr>
            <w:tcW w:w="262" w:type="dxa"/>
            <w:tcBorders>
              <w:top w:val="nil"/>
              <w:left w:val="nil"/>
              <w:bottom w:val="nil"/>
              <w:right w:val="nil"/>
            </w:tcBorders>
            <w:shd w:val="clear" w:color="000000" w:fill="FFFFFF"/>
            <w:noWrap/>
            <w:vAlign w:val="center"/>
          </w:tcPr>
          <w:p w14:paraId="11ACDE25"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bottom w:val="nil"/>
              <w:right w:val="nil"/>
            </w:tcBorders>
            <w:shd w:val="clear" w:color="auto" w:fill="auto"/>
            <w:vAlign w:val="center"/>
          </w:tcPr>
          <w:p w14:paraId="2FD2DF8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hideMark/>
          </w:tcPr>
          <w:p w14:paraId="47D5E65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984" w:type="dxa"/>
            <w:tcBorders>
              <w:top w:val="nil"/>
              <w:left w:val="nil"/>
              <w:bottom w:val="nil"/>
              <w:right w:val="nil"/>
            </w:tcBorders>
            <w:shd w:val="clear" w:color="000000" w:fill="FFFFFF"/>
          </w:tcPr>
          <w:p w14:paraId="73F30041"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76" w:type="dxa"/>
            <w:tcBorders>
              <w:top w:val="nil"/>
              <w:left w:val="nil"/>
              <w:bottom w:val="nil"/>
              <w:right w:val="nil"/>
            </w:tcBorders>
            <w:shd w:val="clear" w:color="000000" w:fill="FFFFFF"/>
          </w:tcPr>
          <w:p w14:paraId="4C5DBD97"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433F2CF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4FC17D8A" w14:textId="77777777" w:rsidTr="00025E55">
        <w:trPr>
          <w:trHeight w:val="300"/>
        </w:trPr>
        <w:tc>
          <w:tcPr>
            <w:tcW w:w="4253" w:type="dxa"/>
            <w:tcBorders>
              <w:top w:val="nil"/>
              <w:left w:val="nil"/>
              <w:bottom w:val="nil"/>
              <w:right w:val="nil"/>
            </w:tcBorders>
            <w:shd w:val="clear" w:color="000000" w:fill="FFFFFF"/>
            <w:noWrap/>
            <w:vAlign w:val="center"/>
            <w:hideMark/>
          </w:tcPr>
          <w:p w14:paraId="45AB481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Cash and cash equivalents</w:t>
            </w:r>
          </w:p>
        </w:tc>
        <w:tc>
          <w:tcPr>
            <w:tcW w:w="262" w:type="dxa"/>
            <w:tcBorders>
              <w:top w:val="nil"/>
              <w:left w:val="nil"/>
              <w:bottom w:val="nil"/>
              <w:right w:val="nil"/>
            </w:tcBorders>
            <w:shd w:val="clear" w:color="000000" w:fill="FFFFFF"/>
            <w:noWrap/>
            <w:vAlign w:val="center"/>
          </w:tcPr>
          <w:p w14:paraId="56F8D738"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236562C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w:t>
            </w:r>
          </w:p>
        </w:tc>
        <w:tc>
          <w:tcPr>
            <w:tcW w:w="1016" w:type="dxa"/>
            <w:tcBorders>
              <w:top w:val="nil"/>
              <w:left w:val="nil"/>
              <w:bottom w:val="nil"/>
              <w:right w:val="nil"/>
            </w:tcBorders>
            <w:shd w:val="clear" w:color="auto" w:fill="D9D9D9" w:themeFill="background1" w:themeFillShade="D9"/>
            <w:vAlign w:val="center"/>
          </w:tcPr>
          <w:p w14:paraId="038B213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25,215</w:t>
            </w:r>
          </w:p>
        </w:tc>
        <w:tc>
          <w:tcPr>
            <w:tcW w:w="984" w:type="dxa"/>
            <w:tcBorders>
              <w:top w:val="nil"/>
              <w:left w:val="nil"/>
              <w:bottom w:val="nil"/>
              <w:right w:val="nil"/>
            </w:tcBorders>
            <w:shd w:val="clear" w:color="000000" w:fill="FFFFFF"/>
            <w:vAlign w:val="center"/>
          </w:tcPr>
          <w:p w14:paraId="0B8537C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18,610</w:t>
            </w:r>
          </w:p>
        </w:tc>
        <w:tc>
          <w:tcPr>
            <w:tcW w:w="1176" w:type="dxa"/>
            <w:tcBorders>
              <w:top w:val="nil"/>
              <w:left w:val="nil"/>
              <w:bottom w:val="nil"/>
              <w:right w:val="nil"/>
            </w:tcBorders>
            <w:shd w:val="clear" w:color="000000" w:fill="FFFFFF"/>
            <w:vAlign w:val="center"/>
          </w:tcPr>
          <w:p w14:paraId="10B9CB7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6,605</w:t>
            </w:r>
          </w:p>
        </w:tc>
        <w:tc>
          <w:tcPr>
            <w:tcW w:w="992" w:type="dxa"/>
            <w:tcBorders>
              <w:top w:val="nil"/>
              <w:left w:val="nil"/>
              <w:bottom w:val="nil"/>
              <w:right w:val="nil"/>
            </w:tcBorders>
            <w:shd w:val="clear" w:color="000000" w:fill="FFFFFF"/>
            <w:noWrap/>
            <w:vAlign w:val="center"/>
            <w:hideMark/>
          </w:tcPr>
          <w:p w14:paraId="42BFB64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18,895</w:t>
            </w:r>
          </w:p>
        </w:tc>
      </w:tr>
      <w:tr w:rsidR="00DF3006" w:rsidRPr="00DF3006" w14:paraId="40E5BDD6" w14:textId="77777777" w:rsidTr="00025E55">
        <w:trPr>
          <w:trHeight w:val="300"/>
        </w:trPr>
        <w:tc>
          <w:tcPr>
            <w:tcW w:w="4253" w:type="dxa"/>
            <w:tcBorders>
              <w:top w:val="nil"/>
              <w:left w:val="nil"/>
              <w:bottom w:val="nil"/>
              <w:right w:val="nil"/>
            </w:tcBorders>
            <w:shd w:val="clear" w:color="000000" w:fill="FFFFFF"/>
            <w:noWrap/>
            <w:vAlign w:val="center"/>
            <w:hideMark/>
          </w:tcPr>
          <w:p w14:paraId="4CFA019B"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Receivables</w:t>
            </w:r>
          </w:p>
        </w:tc>
        <w:tc>
          <w:tcPr>
            <w:tcW w:w="262" w:type="dxa"/>
            <w:tcBorders>
              <w:top w:val="nil"/>
              <w:left w:val="nil"/>
              <w:bottom w:val="nil"/>
              <w:right w:val="nil"/>
            </w:tcBorders>
            <w:shd w:val="clear" w:color="000000" w:fill="FFFFFF"/>
            <w:noWrap/>
            <w:vAlign w:val="center"/>
          </w:tcPr>
          <w:p w14:paraId="2E1C756C"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14D1691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40BA057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1,005</w:t>
            </w:r>
          </w:p>
        </w:tc>
        <w:tc>
          <w:tcPr>
            <w:tcW w:w="984" w:type="dxa"/>
            <w:tcBorders>
              <w:top w:val="nil"/>
              <w:left w:val="nil"/>
              <w:bottom w:val="nil"/>
              <w:right w:val="nil"/>
            </w:tcBorders>
            <w:shd w:val="clear" w:color="000000" w:fill="FFFFFF"/>
            <w:vAlign w:val="center"/>
          </w:tcPr>
          <w:p w14:paraId="3B70FCE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881</w:t>
            </w:r>
          </w:p>
        </w:tc>
        <w:tc>
          <w:tcPr>
            <w:tcW w:w="1176" w:type="dxa"/>
            <w:tcBorders>
              <w:top w:val="nil"/>
              <w:left w:val="nil"/>
              <w:bottom w:val="nil"/>
              <w:right w:val="nil"/>
            </w:tcBorders>
            <w:shd w:val="clear" w:color="000000" w:fill="FFFFFF"/>
            <w:vAlign w:val="center"/>
          </w:tcPr>
          <w:p w14:paraId="78A2ECC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124</w:t>
            </w:r>
          </w:p>
        </w:tc>
        <w:tc>
          <w:tcPr>
            <w:tcW w:w="992" w:type="dxa"/>
            <w:tcBorders>
              <w:top w:val="nil"/>
              <w:left w:val="nil"/>
              <w:bottom w:val="nil"/>
              <w:right w:val="nil"/>
            </w:tcBorders>
            <w:shd w:val="clear" w:color="000000" w:fill="FFFFFF"/>
            <w:noWrap/>
            <w:vAlign w:val="center"/>
            <w:hideMark/>
          </w:tcPr>
          <w:p w14:paraId="1D6182D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987</w:t>
            </w:r>
          </w:p>
        </w:tc>
      </w:tr>
      <w:tr w:rsidR="00DF3006" w:rsidRPr="00DF3006" w14:paraId="130A2452" w14:textId="77777777" w:rsidTr="00025E55">
        <w:trPr>
          <w:trHeight w:val="315"/>
        </w:trPr>
        <w:tc>
          <w:tcPr>
            <w:tcW w:w="4253" w:type="dxa"/>
            <w:tcBorders>
              <w:top w:val="nil"/>
              <w:left w:val="nil"/>
              <w:bottom w:val="nil"/>
              <w:right w:val="nil"/>
            </w:tcBorders>
            <w:shd w:val="clear" w:color="000000" w:fill="FFFFFF"/>
            <w:noWrap/>
            <w:vAlign w:val="center"/>
            <w:hideMark/>
          </w:tcPr>
          <w:p w14:paraId="48B0900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 assets</w:t>
            </w:r>
          </w:p>
        </w:tc>
        <w:tc>
          <w:tcPr>
            <w:tcW w:w="262" w:type="dxa"/>
            <w:tcBorders>
              <w:top w:val="nil"/>
              <w:left w:val="nil"/>
              <w:bottom w:val="nil"/>
              <w:right w:val="nil"/>
            </w:tcBorders>
            <w:shd w:val="clear" w:color="000000" w:fill="FFFFFF"/>
            <w:noWrap/>
            <w:vAlign w:val="center"/>
          </w:tcPr>
          <w:p w14:paraId="389191B1"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438EFB8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5F546E2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1,343</w:t>
            </w:r>
          </w:p>
        </w:tc>
        <w:tc>
          <w:tcPr>
            <w:tcW w:w="984" w:type="dxa"/>
            <w:tcBorders>
              <w:top w:val="nil"/>
              <w:left w:val="nil"/>
              <w:bottom w:val="nil"/>
              <w:right w:val="nil"/>
            </w:tcBorders>
            <w:shd w:val="clear" w:color="000000" w:fill="FFFFFF"/>
            <w:vAlign w:val="center"/>
          </w:tcPr>
          <w:p w14:paraId="45123DD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1,253</w:t>
            </w:r>
          </w:p>
        </w:tc>
        <w:tc>
          <w:tcPr>
            <w:tcW w:w="1176" w:type="dxa"/>
            <w:tcBorders>
              <w:top w:val="nil"/>
              <w:left w:val="nil"/>
              <w:bottom w:val="nil"/>
              <w:right w:val="nil"/>
            </w:tcBorders>
            <w:shd w:val="clear" w:color="000000" w:fill="FFFFFF"/>
            <w:vAlign w:val="center"/>
          </w:tcPr>
          <w:p w14:paraId="67DAFDA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90</w:t>
            </w:r>
          </w:p>
        </w:tc>
        <w:tc>
          <w:tcPr>
            <w:tcW w:w="992" w:type="dxa"/>
            <w:tcBorders>
              <w:top w:val="nil"/>
              <w:left w:val="nil"/>
              <w:bottom w:val="nil"/>
              <w:right w:val="nil"/>
            </w:tcBorders>
            <w:shd w:val="clear" w:color="000000" w:fill="FFFFFF"/>
            <w:noWrap/>
            <w:vAlign w:val="center"/>
            <w:hideMark/>
          </w:tcPr>
          <w:p w14:paraId="5741D16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1,146</w:t>
            </w:r>
          </w:p>
        </w:tc>
      </w:tr>
      <w:tr w:rsidR="00DF3006" w:rsidRPr="00DF3006" w14:paraId="4A1FC712" w14:textId="77777777" w:rsidTr="00025E55">
        <w:trPr>
          <w:trHeight w:val="315"/>
        </w:trPr>
        <w:tc>
          <w:tcPr>
            <w:tcW w:w="4253" w:type="dxa"/>
            <w:tcBorders>
              <w:top w:val="nil"/>
              <w:left w:val="nil"/>
              <w:bottom w:val="nil"/>
              <w:right w:val="nil"/>
            </w:tcBorders>
            <w:shd w:val="clear" w:color="000000" w:fill="FFFFFF"/>
            <w:noWrap/>
            <w:vAlign w:val="center"/>
            <w:hideMark/>
          </w:tcPr>
          <w:p w14:paraId="07202C78"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Current Assets</w:t>
            </w:r>
          </w:p>
        </w:tc>
        <w:tc>
          <w:tcPr>
            <w:tcW w:w="262" w:type="dxa"/>
            <w:tcBorders>
              <w:top w:val="nil"/>
              <w:left w:val="nil"/>
              <w:bottom w:val="nil"/>
              <w:right w:val="nil"/>
            </w:tcBorders>
            <w:shd w:val="clear" w:color="000000" w:fill="FFFFFF"/>
            <w:noWrap/>
            <w:vAlign w:val="center"/>
          </w:tcPr>
          <w:p w14:paraId="7856A06D"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left w:val="nil"/>
              <w:right w:val="nil"/>
            </w:tcBorders>
            <w:shd w:val="clear" w:color="auto" w:fill="auto"/>
            <w:vAlign w:val="center"/>
          </w:tcPr>
          <w:p w14:paraId="2E55759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single" w:sz="8" w:space="0" w:color="auto"/>
              <w:left w:val="nil"/>
              <w:bottom w:val="single" w:sz="8" w:space="0" w:color="auto"/>
              <w:right w:val="nil"/>
            </w:tcBorders>
            <w:shd w:val="clear" w:color="auto" w:fill="D9D9D9" w:themeFill="background1" w:themeFillShade="D9"/>
            <w:vAlign w:val="center"/>
          </w:tcPr>
          <w:p w14:paraId="1F8C6B8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27,563</w:t>
            </w:r>
          </w:p>
        </w:tc>
        <w:tc>
          <w:tcPr>
            <w:tcW w:w="984" w:type="dxa"/>
            <w:tcBorders>
              <w:top w:val="single" w:sz="8" w:space="0" w:color="auto"/>
              <w:left w:val="nil"/>
              <w:bottom w:val="single" w:sz="8" w:space="0" w:color="auto"/>
              <w:right w:val="nil"/>
            </w:tcBorders>
            <w:shd w:val="clear" w:color="000000" w:fill="FFFFFF"/>
            <w:vAlign w:val="center"/>
          </w:tcPr>
          <w:p w14:paraId="6906262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20,744</w:t>
            </w:r>
          </w:p>
        </w:tc>
        <w:tc>
          <w:tcPr>
            <w:tcW w:w="1176" w:type="dxa"/>
            <w:tcBorders>
              <w:top w:val="single" w:sz="8" w:space="0" w:color="auto"/>
              <w:left w:val="nil"/>
              <w:bottom w:val="single" w:sz="8" w:space="0" w:color="auto"/>
              <w:right w:val="nil"/>
            </w:tcBorders>
            <w:shd w:val="clear" w:color="000000" w:fill="FFFFFF"/>
            <w:vAlign w:val="center"/>
          </w:tcPr>
          <w:p w14:paraId="2BF2BFF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6,819</w:t>
            </w:r>
          </w:p>
        </w:tc>
        <w:tc>
          <w:tcPr>
            <w:tcW w:w="992" w:type="dxa"/>
            <w:tcBorders>
              <w:top w:val="single" w:sz="8" w:space="0" w:color="auto"/>
              <w:left w:val="nil"/>
              <w:bottom w:val="single" w:sz="8" w:space="0" w:color="auto"/>
              <w:right w:val="nil"/>
            </w:tcBorders>
            <w:shd w:val="clear" w:color="000000" w:fill="FFFFFF"/>
            <w:vAlign w:val="center"/>
            <w:hideMark/>
          </w:tcPr>
          <w:p w14:paraId="1ABC6FF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21,028</w:t>
            </w:r>
          </w:p>
        </w:tc>
      </w:tr>
      <w:tr w:rsidR="00DF3006" w:rsidRPr="00DF3006" w14:paraId="47169CE7" w14:textId="77777777" w:rsidTr="00025E55">
        <w:trPr>
          <w:trHeight w:val="199"/>
        </w:trPr>
        <w:tc>
          <w:tcPr>
            <w:tcW w:w="4253" w:type="dxa"/>
            <w:tcBorders>
              <w:top w:val="nil"/>
              <w:left w:val="nil"/>
              <w:bottom w:val="nil"/>
              <w:right w:val="nil"/>
            </w:tcBorders>
            <w:shd w:val="clear" w:color="000000" w:fill="FFFFFF"/>
            <w:noWrap/>
            <w:vAlign w:val="center"/>
            <w:hideMark/>
          </w:tcPr>
          <w:p w14:paraId="4024D8CD"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tcPr>
          <w:p w14:paraId="609E1374"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2B5D20F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2EC62C59"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nil"/>
              <w:right w:val="nil"/>
            </w:tcBorders>
            <w:shd w:val="clear" w:color="000000" w:fill="FFFFFF"/>
            <w:vAlign w:val="center"/>
          </w:tcPr>
          <w:p w14:paraId="03A027E7"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nil"/>
              <w:right w:val="nil"/>
            </w:tcBorders>
            <w:shd w:val="clear" w:color="000000" w:fill="FFFFFF"/>
            <w:vAlign w:val="center"/>
          </w:tcPr>
          <w:p w14:paraId="32278D07"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325A23A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53F53268" w14:textId="77777777" w:rsidTr="00025E55">
        <w:trPr>
          <w:trHeight w:val="300"/>
        </w:trPr>
        <w:tc>
          <w:tcPr>
            <w:tcW w:w="4253" w:type="dxa"/>
            <w:tcBorders>
              <w:top w:val="nil"/>
              <w:left w:val="nil"/>
              <w:bottom w:val="nil"/>
              <w:right w:val="nil"/>
            </w:tcBorders>
            <w:shd w:val="clear" w:color="000000" w:fill="FFFFFF"/>
            <w:noWrap/>
            <w:vAlign w:val="center"/>
            <w:hideMark/>
          </w:tcPr>
          <w:p w14:paraId="498E1E96"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Non-Current Assets</w:t>
            </w:r>
          </w:p>
        </w:tc>
        <w:tc>
          <w:tcPr>
            <w:tcW w:w="262" w:type="dxa"/>
            <w:tcBorders>
              <w:top w:val="nil"/>
              <w:left w:val="nil"/>
              <w:bottom w:val="nil"/>
              <w:right w:val="nil"/>
            </w:tcBorders>
            <w:shd w:val="clear" w:color="000000" w:fill="FFFFFF"/>
            <w:noWrap/>
            <w:vAlign w:val="center"/>
          </w:tcPr>
          <w:p w14:paraId="6C384412"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bottom w:val="nil"/>
              <w:right w:val="nil"/>
            </w:tcBorders>
            <w:shd w:val="clear" w:color="auto" w:fill="auto"/>
            <w:vAlign w:val="center"/>
          </w:tcPr>
          <w:p w14:paraId="45984FBD"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7F37E065"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84" w:type="dxa"/>
            <w:tcBorders>
              <w:top w:val="nil"/>
              <w:left w:val="nil"/>
              <w:bottom w:val="nil"/>
              <w:right w:val="nil"/>
            </w:tcBorders>
            <w:shd w:val="clear" w:color="000000" w:fill="FFFFFF"/>
            <w:vAlign w:val="center"/>
          </w:tcPr>
          <w:p w14:paraId="1DA8819F"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76" w:type="dxa"/>
            <w:tcBorders>
              <w:top w:val="nil"/>
              <w:left w:val="nil"/>
              <w:bottom w:val="nil"/>
              <w:right w:val="nil"/>
            </w:tcBorders>
            <w:shd w:val="clear" w:color="000000" w:fill="FFFFFF"/>
            <w:vAlign w:val="center"/>
          </w:tcPr>
          <w:p w14:paraId="64817F36"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56FA1B4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240CE7C4" w14:textId="77777777" w:rsidTr="00025E55">
        <w:trPr>
          <w:trHeight w:val="300"/>
        </w:trPr>
        <w:tc>
          <w:tcPr>
            <w:tcW w:w="4253" w:type="dxa"/>
            <w:tcBorders>
              <w:top w:val="nil"/>
              <w:left w:val="nil"/>
              <w:bottom w:val="nil"/>
              <w:right w:val="nil"/>
            </w:tcBorders>
            <w:shd w:val="clear" w:color="000000" w:fill="FFFFFF"/>
            <w:noWrap/>
            <w:vAlign w:val="center"/>
            <w:hideMark/>
          </w:tcPr>
          <w:p w14:paraId="009BA1CB"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Intangible assets</w:t>
            </w:r>
          </w:p>
        </w:tc>
        <w:tc>
          <w:tcPr>
            <w:tcW w:w="262" w:type="dxa"/>
            <w:tcBorders>
              <w:top w:val="nil"/>
              <w:left w:val="nil"/>
              <w:bottom w:val="nil"/>
              <w:right w:val="nil"/>
            </w:tcBorders>
            <w:shd w:val="clear" w:color="000000" w:fill="FFFFFF"/>
            <w:noWrap/>
            <w:vAlign w:val="center"/>
          </w:tcPr>
          <w:p w14:paraId="6D9A8C56"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5D06A3C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8,9</w:t>
            </w:r>
          </w:p>
        </w:tc>
        <w:tc>
          <w:tcPr>
            <w:tcW w:w="1016" w:type="dxa"/>
            <w:tcBorders>
              <w:top w:val="nil"/>
              <w:left w:val="nil"/>
              <w:bottom w:val="nil"/>
              <w:right w:val="nil"/>
            </w:tcBorders>
            <w:shd w:val="clear" w:color="auto" w:fill="D9D9D9" w:themeFill="background1" w:themeFillShade="D9"/>
            <w:vAlign w:val="center"/>
          </w:tcPr>
          <w:p w14:paraId="62C6A55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606</w:t>
            </w:r>
          </w:p>
        </w:tc>
        <w:tc>
          <w:tcPr>
            <w:tcW w:w="984" w:type="dxa"/>
            <w:tcBorders>
              <w:top w:val="nil"/>
              <w:left w:val="nil"/>
              <w:bottom w:val="nil"/>
              <w:right w:val="nil"/>
            </w:tcBorders>
            <w:shd w:val="clear" w:color="000000" w:fill="FFFFFF"/>
            <w:vAlign w:val="center"/>
          </w:tcPr>
          <w:p w14:paraId="79C211C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707</w:t>
            </w:r>
          </w:p>
        </w:tc>
        <w:tc>
          <w:tcPr>
            <w:tcW w:w="1176" w:type="dxa"/>
            <w:tcBorders>
              <w:top w:val="nil"/>
              <w:left w:val="nil"/>
              <w:bottom w:val="nil"/>
              <w:right w:val="nil"/>
            </w:tcBorders>
            <w:shd w:val="clear" w:color="000000" w:fill="FFFFFF"/>
            <w:vAlign w:val="center"/>
          </w:tcPr>
          <w:p w14:paraId="2532212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(101)</w:t>
            </w:r>
          </w:p>
        </w:tc>
        <w:tc>
          <w:tcPr>
            <w:tcW w:w="992" w:type="dxa"/>
            <w:tcBorders>
              <w:top w:val="nil"/>
              <w:left w:val="nil"/>
              <w:bottom w:val="nil"/>
              <w:right w:val="nil"/>
            </w:tcBorders>
            <w:shd w:val="clear" w:color="000000" w:fill="FFFFFF"/>
            <w:noWrap/>
            <w:vAlign w:val="center"/>
            <w:hideMark/>
          </w:tcPr>
          <w:p w14:paraId="0F2F48E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890</w:t>
            </w:r>
          </w:p>
        </w:tc>
      </w:tr>
      <w:tr w:rsidR="00DF3006" w:rsidRPr="00DF3006" w14:paraId="3DF39125" w14:textId="77777777" w:rsidTr="00025E55">
        <w:trPr>
          <w:trHeight w:val="300"/>
        </w:trPr>
        <w:tc>
          <w:tcPr>
            <w:tcW w:w="4253" w:type="dxa"/>
            <w:tcBorders>
              <w:top w:val="nil"/>
              <w:left w:val="nil"/>
              <w:bottom w:val="nil"/>
              <w:right w:val="nil"/>
            </w:tcBorders>
            <w:shd w:val="clear" w:color="000000" w:fill="FFFFFF"/>
            <w:noWrap/>
            <w:vAlign w:val="center"/>
            <w:hideMark/>
          </w:tcPr>
          <w:p w14:paraId="1E240AD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Property, </w:t>
            </w:r>
            <w:proofErr w:type="gramStart"/>
            <w:r w:rsidRPr="00DF3006">
              <w:rPr>
                <w:rFonts w:eastAsia="Times New Roman" w:cs="Calibri"/>
                <w:color w:val="414042" w:themeColor="text1"/>
                <w:szCs w:val="20"/>
                <w:lang w:eastAsia="en-AU"/>
              </w:rPr>
              <w:t>plant</w:t>
            </w:r>
            <w:proofErr w:type="gramEnd"/>
            <w:r w:rsidRPr="00DF3006">
              <w:rPr>
                <w:rFonts w:eastAsia="Times New Roman" w:cs="Calibri"/>
                <w:color w:val="414042" w:themeColor="text1"/>
                <w:szCs w:val="20"/>
                <w:lang w:eastAsia="en-AU"/>
              </w:rPr>
              <w:t xml:space="preserve"> and equipment</w:t>
            </w:r>
          </w:p>
        </w:tc>
        <w:tc>
          <w:tcPr>
            <w:tcW w:w="262" w:type="dxa"/>
            <w:tcBorders>
              <w:top w:val="nil"/>
              <w:left w:val="nil"/>
              <w:bottom w:val="nil"/>
              <w:right w:val="nil"/>
            </w:tcBorders>
            <w:shd w:val="clear" w:color="000000" w:fill="FFFFFF"/>
            <w:noWrap/>
            <w:vAlign w:val="center"/>
          </w:tcPr>
          <w:p w14:paraId="67C1B71F"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0D9AFD4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w:t>
            </w:r>
          </w:p>
        </w:tc>
        <w:tc>
          <w:tcPr>
            <w:tcW w:w="1016" w:type="dxa"/>
            <w:tcBorders>
              <w:top w:val="nil"/>
              <w:left w:val="nil"/>
              <w:bottom w:val="nil"/>
              <w:right w:val="nil"/>
            </w:tcBorders>
            <w:shd w:val="clear" w:color="auto" w:fill="D9D9D9" w:themeFill="background1" w:themeFillShade="D9"/>
            <w:vAlign w:val="center"/>
          </w:tcPr>
          <w:p w14:paraId="0DF243B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5,389</w:t>
            </w:r>
          </w:p>
        </w:tc>
        <w:tc>
          <w:tcPr>
            <w:tcW w:w="984" w:type="dxa"/>
            <w:tcBorders>
              <w:top w:val="nil"/>
              <w:left w:val="nil"/>
              <w:bottom w:val="nil"/>
              <w:right w:val="nil"/>
            </w:tcBorders>
            <w:shd w:val="clear" w:color="000000" w:fill="FFFFFF"/>
            <w:vAlign w:val="center"/>
          </w:tcPr>
          <w:p w14:paraId="221B7CB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6,013</w:t>
            </w:r>
          </w:p>
        </w:tc>
        <w:tc>
          <w:tcPr>
            <w:tcW w:w="1176" w:type="dxa"/>
            <w:tcBorders>
              <w:top w:val="nil"/>
              <w:left w:val="nil"/>
              <w:bottom w:val="nil"/>
              <w:right w:val="nil"/>
            </w:tcBorders>
            <w:shd w:val="clear" w:color="000000" w:fill="FFFFFF"/>
            <w:vAlign w:val="center"/>
          </w:tcPr>
          <w:p w14:paraId="138B96A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(624)</w:t>
            </w:r>
          </w:p>
        </w:tc>
        <w:tc>
          <w:tcPr>
            <w:tcW w:w="992" w:type="dxa"/>
            <w:tcBorders>
              <w:top w:val="nil"/>
              <w:left w:val="nil"/>
              <w:bottom w:val="nil"/>
              <w:right w:val="nil"/>
            </w:tcBorders>
            <w:shd w:val="clear" w:color="000000" w:fill="FFFFFF"/>
            <w:noWrap/>
            <w:vAlign w:val="center"/>
            <w:hideMark/>
          </w:tcPr>
          <w:p w14:paraId="6D1E496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5,963</w:t>
            </w:r>
          </w:p>
        </w:tc>
      </w:tr>
      <w:tr w:rsidR="00DF3006" w:rsidRPr="00DF3006" w14:paraId="7C92F415" w14:textId="77777777" w:rsidTr="00025E55">
        <w:trPr>
          <w:trHeight w:val="300"/>
        </w:trPr>
        <w:tc>
          <w:tcPr>
            <w:tcW w:w="4253" w:type="dxa"/>
            <w:tcBorders>
              <w:top w:val="nil"/>
              <w:left w:val="nil"/>
              <w:bottom w:val="nil"/>
              <w:right w:val="nil"/>
            </w:tcBorders>
            <w:shd w:val="clear" w:color="000000" w:fill="FFFFFF"/>
            <w:noWrap/>
            <w:vAlign w:val="center"/>
            <w:hideMark/>
          </w:tcPr>
          <w:p w14:paraId="44141B46"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Right-of-use assets</w:t>
            </w:r>
          </w:p>
        </w:tc>
        <w:tc>
          <w:tcPr>
            <w:tcW w:w="262" w:type="dxa"/>
            <w:tcBorders>
              <w:top w:val="nil"/>
              <w:left w:val="nil"/>
              <w:bottom w:val="nil"/>
              <w:right w:val="nil"/>
            </w:tcBorders>
            <w:shd w:val="clear" w:color="000000" w:fill="FFFFFF"/>
            <w:noWrap/>
            <w:vAlign w:val="center"/>
          </w:tcPr>
          <w:p w14:paraId="5267164F"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57CFB24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w:t>
            </w:r>
          </w:p>
        </w:tc>
        <w:tc>
          <w:tcPr>
            <w:tcW w:w="1016" w:type="dxa"/>
            <w:tcBorders>
              <w:top w:val="nil"/>
              <w:left w:val="nil"/>
              <w:bottom w:val="nil"/>
              <w:right w:val="nil"/>
            </w:tcBorders>
            <w:shd w:val="clear" w:color="auto" w:fill="D9D9D9" w:themeFill="background1" w:themeFillShade="D9"/>
            <w:vAlign w:val="center"/>
          </w:tcPr>
          <w:p w14:paraId="55F76F5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945</w:t>
            </w:r>
          </w:p>
        </w:tc>
        <w:tc>
          <w:tcPr>
            <w:tcW w:w="984" w:type="dxa"/>
            <w:tcBorders>
              <w:top w:val="nil"/>
              <w:left w:val="nil"/>
              <w:bottom w:val="nil"/>
              <w:right w:val="nil"/>
            </w:tcBorders>
            <w:shd w:val="clear" w:color="000000" w:fill="FFFFFF"/>
            <w:vAlign w:val="center"/>
          </w:tcPr>
          <w:p w14:paraId="107727C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w:t>
            </w:r>
          </w:p>
        </w:tc>
        <w:tc>
          <w:tcPr>
            <w:tcW w:w="1176" w:type="dxa"/>
            <w:tcBorders>
              <w:top w:val="nil"/>
              <w:left w:val="nil"/>
              <w:bottom w:val="nil"/>
              <w:right w:val="nil"/>
            </w:tcBorders>
            <w:shd w:val="clear" w:color="000000" w:fill="FFFFFF"/>
            <w:vAlign w:val="center"/>
          </w:tcPr>
          <w:p w14:paraId="463D1E6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944</w:t>
            </w:r>
          </w:p>
        </w:tc>
        <w:tc>
          <w:tcPr>
            <w:tcW w:w="992" w:type="dxa"/>
            <w:tcBorders>
              <w:top w:val="nil"/>
              <w:left w:val="nil"/>
              <w:bottom w:val="nil"/>
              <w:right w:val="nil"/>
            </w:tcBorders>
            <w:shd w:val="clear" w:color="000000" w:fill="FFFFFF"/>
            <w:noWrap/>
            <w:vAlign w:val="center"/>
            <w:hideMark/>
          </w:tcPr>
          <w:p w14:paraId="31C563D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309</w:t>
            </w:r>
          </w:p>
        </w:tc>
      </w:tr>
      <w:tr w:rsidR="00DF3006" w:rsidRPr="00DF3006" w14:paraId="6F1165AA" w14:textId="77777777" w:rsidTr="00025E55">
        <w:trPr>
          <w:trHeight w:val="315"/>
        </w:trPr>
        <w:tc>
          <w:tcPr>
            <w:tcW w:w="4253" w:type="dxa"/>
            <w:tcBorders>
              <w:top w:val="nil"/>
              <w:left w:val="nil"/>
              <w:bottom w:val="nil"/>
              <w:right w:val="nil"/>
            </w:tcBorders>
            <w:shd w:val="clear" w:color="000000" w:fill="FFFFFF"/>
            <w:noWrap/>
            <w:vAlign w:val="center"/>
            <w:hideMark/>
          </w:tcPr>
          <w:p w14:paraId="2CAABB7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 assets</w:t>
            </w:r>
          </w:p>
        </w:tc>
        <w:tc>
          <w:tcPr>
            <w:tcW w:w="262" w:type="dxa"/>
            <w:tcBorders>
              <w:top w:val="nil"/>
              <w:left w:val="nil"/>
              <w:bottom w:val="nil"/>
              <w:right w:val="nil"/>
            </w:tcBorders>
            <w:shd w:val="clear" w:color="000000" w:fill="FFFFFF"/>
            <w:noWrap/>
            <w:vAlign w:val="center"/>
          </w:tcPr>
          <w:p w14:paraId="2CE5DAF5"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090DBAF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6ECAD7B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48</w:t>
            </w:r>
          </w:p>
        </w:tc>
        <w:tc>
          <w:tcPr>
            <w:tcW w:w="984" w:type="dxa"/>
            <w:tcBorders>
              <w:top w:val="nil"/>
              <w:left w:val="nil"/>
              <w:bottom w:val="nil"/>
              <w:right w:val="nil"/>
            </w:tcBorders>
            <w:shd w:val="clear" w:color="000000" w:fill="FFFFFF"/>
            <w:vAlign w:val="center"/>
          </w:tcPr>
          <w:p w14:paraId="76C291F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126</w:t>
            </w:r>
          </w:p>
        </w:tc>
        <w:tc>
          <w:tcPr>
            <w:tcW w:w="1176" w:type="dxa"/>
            <w:tcBorders>
              <w:top w:val="nil"/>
              <w:left w:val="nil"/>
              <w:bottom w:val="nil"/>
              <w:right w:val="nil"/>
            </w:tcBorders>
            <w:shd w:val="clear" w:color="000000" w:fill="FFFFFF"/>
            <w:vAlign w:val="center"/>
          </w:tcPr>
          <w:p w14:paraId="2165E48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(78)</w:t>
            </w:r>
          </w:p>
        </w:tc>
        <w:tc>
          <w:tcPr>
            <w:tcW w:w="992" w:type="dxa"/>
            <w:tcBorders>
              <w:top w:val="nil"/>
              <w:left w:val="nil"/>
              <w:bottom w:val="nil"/>
              <w:right w:val="nil"/>
            </w:tcBorders>
            <w:shd w:val="clear" w:color="000000" w:fill="FFFFFF"/>
            <w:noWrap/>
            <w:vAlign w:val="center"/>
            <w:hideMark/>
          </w:tcPr>
          <w:p w14:paraId="5CFCF35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49</w:t>
            </w:r>
          </w:p>
        </w:tc>
      </w:tr>
      <w:tr w:rsidR="00DF3006" w:rsidRPr="00DF3006" w14:paraId="5460CDBD" w14:textId="77777777" w:rsidTr="00025E55">
        <w:trPr>
          <w:trHeight w:val="315"/>
        </w:trPr>
        <w:tc>
          <w:tcPr>
            <w:tcW w:w="4253" w:type="dxa"/>
            <w:tcBorders>
              <w:top w:val="nil"/>
              <w:left w:val="nil"/>
              <w:bottom w:val="nil"/>
              <w:right w:val="nil"/>
            </w:tcBorders>
            <w:shd w:val="clear" w:color="000000" w:fill="FFFFFF"/>
            <w:noWrap/>
            <w:vAlign w:val="center"/>
            <w:hideMark/>
          </w:tcPr>
          <w:p w14:paraId="09762904"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Non-Current Assets</w:t>
            </w:r>
          </w:p>
        </w:tc>
        <w:tc>
          <w:tcPr>
            <w:tcW w:w="262" w:type="dxa"/>
            <w:tcBorders>
              <w:top w:val="nil"/>
              <w:left w:val="nil"/>
              <w:bottom w:val="nil"/>
              <w:right w:val="nil"/>
            </w:tcBorders>
            <w:shd w:val="clear" w:color="000000" w:fill="FFFFFF"/>
            <w:noWrap/>
            <w:vAlign w:val="center"/>
          </w:tcPr>
          <w:p w14:paraId="1510347B"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left w:val="nil"/>
              <w:right w:val="nil"/>
            </w:tcBorders>
            <w:shd w:val="clear" w:color="auto" w:fill="auto"/>
            <w:vAlign w:val="center"/>
          </w:tcPr>
          <w:p w14:paraId="29BA04BD"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single" w:sz="8" w:space="0" w:color="auto"/>
              <w:left w:val="nil"/>
              <w:bottom w:val="single" w:sz="8" w:space="0" w:color="auto"/>
              <w:right w:val="nil"/>
            </w:tcBorders>
            <w:shd w:val="clear" w:color="auto" w:fill="D9D9D9" w:themeFill="background1" w:themeFillShade="D9"/>
            <w:vAlign w:val="center"/>
          </w:tcPr>
          <w:p w14:paraId="6054870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6,988</w:t>
            </w:r>
          </w:p>
        </w:tc>
        <w:tc>
          <w:tcPr>
            <w:tcW w:w="984" w:type="dxa"/>
            <w:tcBorders>
              <w:top w:val="single" w:sz="8" w:space="0" w:color="auto"/>
              <w:left w:val="nil"/>
              <w:bottom w:val="single" w:sz="8" w:space="0" w:color="auto"/>
              <w:right w:val="nil"/>
            </w:tcBorders>
            <w:shd w:val="clear" w:color="000000" w:fill="FFFFFF"/>
            <w:vAlign w:val="center"/>
          </w:tcPr>
          <w:p w14:paraId="25CCCC2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6,847</w:t>
            </w:r>
          </w:p>
        </w:tc>
        <w:tc>
          <w:tcPr>
            <w:tcW w:w="1176" w:type="dxa"/>
            <w:tcBorders>
              <w:top w:val="single" w:sz="8" w:space="0" w:color="auto"/>
              <w:left w:val="nil"/>
              <w:bottom w:val="single" w:sz="8" w:space="0" w:color="auto"/>
              <w:right w:val="nil"/>
            </w:tcBorders>
            <w:shd w:val="clear" w:color="000000" w:fill="FFFFFF"/>
            <w:vAlign w:val="center"/>
          </w:tcPr>
          <w:p w14:paraId="3CC06E8D"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141</w:t>
            </w:r>
          </w:p>
        </w:tc>
        <w:tc>
          <w:tcPr>
            <w:tcW w:w="992" w:type="dxa"/>
            <w:tcBorders>
              <w:top w:val="single" w:sz="8" w:space="0" w:color="auto"/>
              <w:left w:val="nil"/>
              <w:bottom w:val="single" w:sz="8" w:space="0" w:color="auto"/>
              <w:right w:val="nil"/>
            </w:tcBorders>
            <w:shd w:val="clear" w:color="000000" w:fill="FFFFFF"/>
            <w:vAlign w:val="center"/>
            <w:hideMark/>
          </w:tcPr>
          <w:p w14:paraId="3D5DD92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7,211</w:t>
            </w:r>
          </w:p>
        </w:tc>
      </w:tr>
      <w:tr w:rsidR="00DF3006" w:rsidRPr="00DF3006" w14:paraId="78370E1B" w14:textId="77777777" w:rsidTr="00025E55">
        <w:trPr>
          <w:trHeight w:val="199"/>
        </w:trPr>
        <w:tc>
          <w:tcPr>
            <w:tcW w:w="4253" w:type="dxa"/>
            <w:tcBorders>
              <w:top w:val="nil"/>
              <w:left w:val="nil"/>
              <w:bottom w:val="nil"/>
              <w:right w:val="nil"/>
            </w:tcBorders>
            <w:shd w:val="clear" w:color="000000" w:fill="FFFFFF"/>
            <w:noWrap/>
            <w:vAlign w:val="center"/>
            <w:hideMark/>
          </w:tcPr>
          <w:p w14:paraId="20C1AF5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tcPr>
          <w:p w14:paraId="416F803B"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right w:val="nil"/>
            </w:tcBorders>
            <w:shd w:val="clear" w:color="auto" w:fill="auto"/>
            <w:vAlign w:val="center"/>
          </w:tcPr>
          <w:p w14:paraId="6D972E0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single" w:sz="8" w:space="0" w:color="auto"/>
              <w:right w:val="nil"/>
            </w:tcBorders>
            <w:shd w:val="clear" w:color="auto" w:fill="D9D9D9" w:themeFill="background1" w:themeFillShade="D9"/>
            <w:vAlign w:val="center"/>
          </w:tcPr>
          <w:p w14:paraId="5BCE81A9"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single" w:sz="8" w:space="0" w:color="auto"/>
              <w:right w:val="nil"/>
            </w:tcBorders>
            <w:shd w:val="clear" w:color="000000" w:fill="FFFFFF"/>
            <w:vAlign w:val="center"/>
          </w:tcPr>
          <w:p w14:paraId="1C51219D"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single" w:sz="8" w:space="0" w:color="auto"/>
              <w:right w:val="nil"/>
            </w:tcBorders>
            <w:shd w:val="clear" w:color="000000" w:fill="FFFFFF"/>
            <w:vAlign w:val="center"/>
          </w:tcPr>
          <w:p w14:paraId="6F83491E"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single" w:sz="8" w:space="0" w:color="auto"/>
              <w:right w:val="nil"/>
            </w:tcBorders>
            <w:shd w:val="clear" w:color="000000" w:fill="FFFFFF"/>
            <w:noWrap/>
            <w:vAlign w:val="center"/>
            <w:hideMark/>
          </w:tcPr>
          <w:p w14:paraId="1A98EFDF" w14:textId="77777777" w:rsidR="00FC17BC" w:rsidRPr="00DF3006" w:rsidRDefault="00FC17BC" w:rsidP="00C30C67">
            <w:pPr>
              <w:spacing w:after="0"/>
              <w:jc w:val="right"/>
              <w:rPr>
                <w:rFonts w:eastAsia="Times New Roman" w:cs="Calibri"/>
                <w:color w:val="414042" w:themeColor="text1"/>
                <w:szCs w:val="20"/>
                <w:lang w:eastAsia="en-AU"/>
              </w:rPr>
            </w:pPr>
          </w:p>
        </w:tc>
      </w:tr>
      <w:tr w:rsidR="00DF3006" w:rsidRPr="00DF3006" w14:paraId="28C16D4A" w14:textId="77777777" w:rsidTr="00025E55">
        <w:trPr>
          <w:trHeight w:val="315"/>
        </w:trPr>
        <w:tc>
          <w:tcPr>
            <w:tcW w:w="4253" w:type="dxa"/>
            <w:tcBorders>
              <w:top w:val="nil"/>
              <w:left w:val="nil"/>
              <w:bottom w:val="nil"/>
              <w:right w:val="nil"/>
            </w:tcBorders>
            <w:shd w:val="clear" w:color="000000" w:fill="FFFFFF"/>
            <w:noWrap/>
            <w:vAlign w:val="center"/>
            <w:hideMark/>
          </w:tcPr>
          <w:p w14:paraId="732528AD"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Assets</w:t>
            </w:r>
          </w:p>
        </w:tc>
        <w:tc>
          <w:tcPr>
            <w:tcW w:w="262" w:type="dxa"/>
            <w:tcBorders>
              <w:top w:val="nil"/>
              <w:left w:val="nil"/>
              <w:bottom w:val="nil"/>
              <w:right w:val="nil"/>
            </w:tcBorders>
            <w:shd w:val="clear" w:color="000000" w:fill="FFFFFF"/>
            <w:noWrap/>
            <w:vAlign w:val="center"/>
          </w:tcPr>
          <w:p w14:paraId="73967340"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right w:val="nil"/>
            </w:tcBorders>
            <w:shd w:val="clear" w:color="auto" w:fill="auto"/>
            <w:vAlign w:val="center"/>
          </w:tcPr>
          <w:p w14:paraId="6DD0489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nil"/>
              <w:left w:val="nil"/>
              <w:bottom w:val="double" w:sz="6" w:space="0" w:color="auto"/>
              <w:right w:val="nil"/>
            </w:tcBorders>
            <w:shd w:val="clear" w:color="auto" w:fill="D9D9D9" w:themeFill="background1" w:themeFillShade="D9"/>
            <w:vAlign w:val="center"/>
          </w:tcPr>
          <w:p w14:paraId="6A7CFFA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34,551</w:t>
            </w:r>
          </w:p>
        </w:tc>
        <w:tc>
          <w:tcPr>
            <w:tcW w:w="984" w:type="dxa"/>
            <w:tcBorders>
              <w:top w:val="nil"/>
              <w:left w:val="nil"/>
              <w:bottom w:val="double" w:sz="6" w:space="0" w:color="auto"/>
              <w:right w:val="nil"/>
            </w:tcBorders>
            <w:shd w:val="clear" w:color="000000" w:fill="FFFFFF"/>
            <w:vAlign w:val="center"/>
          </w:tcPr>
          <w:p w14:paraId="586871D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27,591</w:t>
            </w:r>
          </w:p>
        </w:tc>
        <w:tc>
          <w:tcPr>
            <w:tcW w:w="1176" w:type="dxa"/>
            <w:tcBorders>
              <w:top w:val="nil"/>
              <w:left w:val="nil"/>
              <w:bottom w:val="double" w:sz="6" w:space="0" w:color="auto"/>
              <w:right w:val="nil"/>
            </w:tcBorders>
            <w:shd w:val="clear" w:color="000000" w:fill="FFFFFF"/>
            <w:vAlign w:val="center"/>
          </w:tcPr>
          <w:p w14:paraId="39E3826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6,960</w:t>
            </w:r>
          </w:p>
        </w:tc>
        <w:tc>
          <w:tcPr>
            <w:tcW w:w="992" w:type="dxa"/>
            <w:tcBorders>
              <w:top w:val="nil"/>
              <w:left w:val="nil"/>
              <w:bottom w:val="double" w:sz="6" w:space="0" w:color="auto"/>
              <w:right w:val="nil"/>
            </w:tcBorders>
            <w:shd w:val="clear" w:color="000000" w:fill="FFFFFF"/>
            <w:vAlign w:val="center"/>
            <w:hideMark/>
          </w:tcPr>
          <w:p w14:paraId="680F29B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28,239</w:t>
            </w:r>
          </w:p>
        </w:tc>
      </w:tr>
      <w:tr w:rsidR="00DF3006" w:rsidRPr="00DF3006" w14:paraId="20426444" w14:textId="77777777" w:rsidTr="00025E55">
        <w:trPr>
          <w:trHeight w:val="199"/>
        </w:trPr>
        <w:tc>
          <w:tcPr>
            <w:tcW w:w="4253" w:type="dxa"/>
            <w:tcBorders>
              <w:top w:val="nil"/>
              <w:left w:val="nil"/>
              <w:bottom w:val="nil"/>
              <w:right w:val="nil"/>
            </w:tcBorders>
            <w:shd w:val="clear" w:color="000000" w:fill="FFFFFF"/>
            <w:noWrap/>
            <w:vAlign w:val="center"/>
            <w:hideMark/>
          </w:tcPr>
          <w:p w14:paraId="1F8A6EC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tcPr>
          <w:p w14:paraId="1CC77E70"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2C4A5B7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3BA4AB38"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nil"/>
              <w:right w:val="nil"/>
            </w:tcBorders>
            <w:shd w:val="clear" w:color="000000" w:fill="FFFFFF"/>
            <w:vAlign w:val="center"/>
          </w:tcPr>
          <w:p w14:paraId="374950E5"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nil"/>
              <w:right w:val="nil"/>
            </w:tcBorders>
            <w:shd w:val="clear" w:color="000000" w:fill="FFFFFF"/>
            <w:vAlign w:val="center"/>
          </w:tcPr>
          <w:p w14:paraId="12B13AF5"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342F93B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5FE9C01C" w14:textId="77777777" w:rsidTr="00025E55">
        <w:trPr>
          <w:trHeight w:val="300"/>
        </w:trPr>
        <w:tc>
          <w:tcPr>
            <w:tcW w:w="4253" w:type="dxa"/>
            <w:tcBorders>
              <w:top w:val="nil"/>
              <w:left w:val="nil"/>
              <w:bottom w:val="nil"/>
              <w:right w:val="nil"/>
            </w:tcBorders>
            <w:shd w:val="clear" w:color="000000" w:fill="FFFFFF"/>
            <w:noWrap/>
            <w:vAlign w:val="center"/>
            <w:hideMark/>
          </w:tcPr>
          <w:p w14:paraId="2E0D528E"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Current Liabilities</w:t>
            </w:r>
          </w:p>
        </w:tc>
        <w:tc>
          <w:tcPr>
            <w:tcW w:w="262" w:type="dxa"/>
            <w:tcBorders>
              <w:top w:val="nil"/>
              <w:left w:val="nil"/>
              <w:bottom w:val="nil"/>
              <w:right w:val="nil"/>
            </w:tcBorders>
            <w:shd w:val="clear" w:color="000000" w:fill="FFFFFF"/>
            <w:noWrap/>
            <w:vAlign w:val="center"/>
          </w:tcPr>
          <w:p w14:paraId="5024E0DC"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bottom w:val="nil"/>
              <w:right w:val="nil"/>
            </w:tcBorders>
            <w:shd w:val="clear" w:color="auto" w:fill="auto"/>
            <w:vAlign w:val="center"/>
          </w:tcPr>
          <w:p w14:paraId="31D3388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0F2B8BE0"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84" w:type="dxa"/>
            <w:tcBorders>
              <w:top w:val="nil"/>
              <w:left w:val="nil"/>
              <w:bottom w:val="nil"/>
              <w:right w:val="nil"/>
            </w:tcBorders>
            <w:shd w:val="clear" w:color="000000" w:fill="FFFFFF"/>
            <w:vAlign w:val="center"/>
          </w:tcPr>
          <w:p w14:paraId="14A1D024"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76" w:type="dxa"/>
            <w:tcBorders>
              <w:top w:val="nil"/>
              <w:left w:val="nil"/>
              <w:bottom w:val="nil"/>
              <w:right w:val="nil"/>
            </w:tcBorders>
            <w:shd w:val="clear" w:color="000000" w:fill="FFFFFF"/>
            <w:vAlign w:val="center"/>
          </w:tcPr>
          <w:p w14:paraId="1EBABEA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7D311B1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67B287A1" w14:textId="77777777" w:rsidTr="00025E55">
        <w:trPr>
          <w:trHeight w:val="300"/>
        </w:trPr>
        <w:tc>
          <w:tcPr>
            <w:tcW w:w="4253" w:type="dxa"/>
            <w:tcBorders>
              <w:top w:val="nil"/>
              <w:left w:val="nil"/>
              <w:bottom w:val="nil"/>
              <w:right w:val="nil"/>
            </w:tcBorders>
            <w:shd w:val="clear" w:color="000000" w:fill="FFFFFF"/>
            <w:noWrap/>
            <w:vAlign w:val="center"/>
            <w:hideMark/>
          </w:tcPr>
          <w:p w14:paraId="257BE23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Payables</w:t>
            </w:r>
          </w:p>
        </w:tc>
        <w:tc>
          <w:tcPr>
            <w:tcW w:w="262" w:type="dxa"/>
            <w:tcBorders>
              <w:top w:val="nil"/>
              <w:left w:val="nil"/>
              <w:bottom w:val="nil"/>
              <w:right w:val="nil"/>
            </w:tcBorders>
            <w:shd w:val="clear" w:color="000000" w:fill="FFFFFF"/>
            <w:noWrap/>
            <w:vAlign w:val="center"/>
          </w:tcPr>
          <w:p w14:paraId="1CA13A7C"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704D61D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w:t>
            </w:r>
          </w:p>
        </w:tc>
        <w:tc>
          <w:tcPr>
            <w:tcW w:w="1016" w:type="dxa"/>
            <w:tcBorders>
              <w:top w:val="nil"/>
              <w:left w:val="nil"/>
              <w:bottom w:val="nil"/>
              <w:right w:val="nil"/>
            </w:tcBorders>
            <w:shd w:val="clear" w:color="auto" w:fill="D9D9D9" w:themeFill="background1" w:themeFillShade="D9"/>
            <w:vAlign w:val="center"/>
          </w:tcPr>
          <w:p w14:paraId="63B04BA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2,351</w:t>
            </w:r>
          </w:p>
        </w:tc>
        <w:tc>
          <w:tcPr>
            <w:tcW w:w="984" w:type="dxa"/>
            <w:tcBorders>
              <w:top w:val="nil"/>
              <w:left w:val="nil"/>
              <w:bottom w:val="nil"/>
              <w:right w:val="nil"/>
            </w:tcBorders>
            <w:shd w:val="clear" w:color="000000" w:fill="FFFFFF"/>
            <w:vAlign w:val="center"/>
          </w:tcPr>
          <w:p w14:paraId="7D54175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2,288</w:t>
            </w:r>
          </w:p>
        </w:tc>
        <w:tc>
          <w:tcPr>
            <w:tcW w:w="1176" w:type="dxa"/>
            <w:tcBorders>
              <w:top w:val="nil"/>
              <w:left w:val="nil"/>
              <w:bottom w:val="nil"/>
              <w:right w:val="nil"/>
            </w:tcBorders>
            <w:shd w:val="clear" w:color="000000" w:fill="FFFFFF"/>
            <w:vAlign w:val="center"/>
          </w:tcPr>
          <w:p w14:paraId="1E11641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63</w:t>
            </w:r>
          </w:p>
        </w:tc>
        <w:tc>
          <w:tcPr>
            <w:tcW w:w="992" w:type="dxa"/>
            <w:tcBorders>
              <w:top w:val="nil"/>
              <w:left w:val="nil"/>
              <w:bottom w:val="nil"/>
              <w:right w:val="nil"/>
            </w:tcBorders>
            <w:shd w:val="clear" w:color="000000" w:fill="FFFFFF"/>
            <w:noWrap/>
            <w:vAlign w:val="center"/>
            <w:hideMark/>
          </w:tcPr>
          <w:p w14:paraId="1C39926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2,798</w:t>
            </w:r>
          </w:p>
        </w:tc>
      </w:tr>
      <w:tr w:rsidR="00DF3006" w:rsidRPr="00DF3006" w14:paraId="17AB1CFC" w14:textId="77777777" w:rsidTr="00025E55">
        <w:trPr>
          <w:trHeight w:val="300"/>
        </w:trPr>
        <w:tc>
          <w:tcPr>
            <w:tcW w:w="4253" w:type="dxa"/>
            <w:tcBorders>
              <w:top w:val="nil"/>
              <w:left w:val="nil"/>
              <w:bottom w:val="nil"/>
              <w:right w:val="nil"/>
            </w:tcBorders>
            <w:shd w:val="clear" w:color="000000" w:fill="FFFFFF"/>
            <w:noWrap/>
            <w:vAlign w:val="center"/>
            <w:hideMark/>
          </w:tcPr>
          <w:p w14:paraId="470A224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Lease liabilities</w:t>
            </w:r>
          </w:p>
        </w:tc>
        <w:tc>
          <w:tcPr>
            <w:tcW w:w="262" w:type="dxa"/>
            <w:tcBorders>
              <w:top w:val="nil"/>
              <w:left w:val="nil"/>
              <w:bottom w:val="nil"/>
              <w:right w:val="nil"/>
            </w:tcBorders>
            <w:shd w:val="clear" w:color="000000" w:fill="FFFFFF"/>
            <w:noWrap/>
            <w:vAlign w:val="center"/>
          </w:tcPr>
          <w:p w14:paraId="6AD0C744"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6679699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w:t>
            </w:r>
          </w:p>
        </w:tc>
        <w:tc>
          <w:tcPr>
            <w:tcW w:w="1016" w:type="dxa"/>
            <w:tcBorders>
              <w:top w:val="nil"/>
              <w:left w:val="nil"/>
              <w:bottom w:val="nil"/>
              <w:right w:val="nil"/>
            </w:tcBorders>
            <w:shd w:val="clear" w:color="auto" w:fill="D9D9D9" w:themeFill="background1" w:themeFillShade="D9"/>
            <w:vAlign w:val="center"/>
          </w:tcPr>
          <w:p w14:paraId="5AD5E49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300</w:t>
            </w:r>
          </w:p>
        </w:tc>
        <w:tc>
          <w:tcPr>
            <w:tcW w:w="984" w:type="dxa"/>
            <w:tcBorders>
              <w:top w:val="nil"/>
              <w:left w:val="nil"/>
              <w:bottom w:val="nil"/>
              <w:right w:val="nil"/>
            </w:tcBorders>
            <w:shd w:val="clear" w:color="000000" w:fill="FFFFFF"/>
            <w:vAlign w:val="center"/>
          </w:tcPr>
          <w:p w14:paraId="5AAF109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176" w:type="dxa"/>
            <w:tcBorders>
              <w:top w:val="nil"/>
              <w:left w:val="nil"/>
              <w:bottom w:val="nil"/>
              <w:right w:val="nil"/>
            </w:tcBorders>
            <w:shd w:val="clear" w:color="000000" w:fill="FFFFFF"/>
            <w:vAlign w:val="center"/>
          </w:tcPr>
          <w:p w14:paraId="091BDF8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300</w:t>
            </w:r>
          </w:p>
        </w:tc>
        <w:tc>
          <w:tcPr>
            <w:tcW w:w="992" w:type="dxa"/>
            <w:tcBorders>
              <w:top w:val="nil"/>
              <w:left w:val="nil"/>
              <w:bottom w:val="nil"/>
              <w:right w:val="nil"/>
            </w:tcBorders>
            <w:shd w:val="clear" w:color="000000" w:fill="FFFFFF"/>
            <w:noWrap/>
            <w:vAlign w:val="center"/>
            <w:hideMark/>
          </w:tcPr>
          <w:p w14:paraId="0D5BD94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330</w:t>
            </w:r>
          </w:p>
        </w:tc>
      </w:tr>
      <w:tr w:rsidR="00DF3006" w:rsidRPr="00DF3006" w14:paraId="1301B511" w14:textId="77777777" w:rsidTr="00025E55">
        <w:trPr>
          <w:trHeight w:val="300"/>
        </w:trPr>
        <w:tc>
          <w:tcPr>
            <w:tcW w:w="4253" w:type="dxa"/>
            <w:tcBorders>
              <w:top w:val="nil"/>
              <w:left w:val="nil"/>
              <w:bottom w:val="nil"/>
              <w:right w:val="nil"/>
            </w:tcBorders>
            <w:shd w:val="clear" w:color="000000" w:fill="FFFFFF"/>
            <w:noWrap/>
            <w:vAlign w:val="center"/>
            <w:hideMark/>
          </w:tcPr>
          <w:p w14:paraId="1A83BF2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Accrued employee benefits</w:t>
            </w:r>
          </w:p>
        </w:tc>
        <w:tc>
          <w:tcPr>
            <w:tcW w:w="262" w:type="dxa"/>
            <w:tcBorders>
              <w:top w:val="nil"/>
              <w:left w:val="nil"/>
              <w:bottom w:val="nil"/>
              <w:right w:val="nil"/>
            </w:tcBorders>
            <w:shd w:val="clear" w:color="000000" w:fill="FFFFFF"/>
            <w:noWrap/>
            <w:vAlign w:val="center"/>
          </w:tcPr>
          <w:p w14:paraId="4B47DE5B" w14:textId="77777777" w:rsidR="00FC17BC" w:rsidRPr="00DF3006" w:rsidRDefault="00FC17BC" w:rsidP="00C30C67">
            <w:pPr>
              <w:spacing w:after="0"/>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1F2A179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13      </w:t>
            </w:r>
          </w:p>
        </w:tc>
        <w:tc>
          <w:tcPr>
            <w:tcW w:w="1016" w:type="dxa"/>
            <w:tcBorders>
              <w:top w:val="nil"/>
              <w:left w:val="nil"/>
              <w:bottom w:val="nil"/>
              <w:right w:val="nil"/>
            </w:tcBorders>
            <w:shd w:val="clear" w:color="auto" w:fill="D9D9D9" w:themeFill="background1" w:themeFillShade="D9"/>
            <w:vAlign w:val="center"/>
          </w:tcPr>
          <w:p w14:paraId="2CD796C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948</w:t>
            </w:r>
          </w:p>
        </w:tc>
        <w:tc>
          <w:tcPr>
            <w:tcW w:w="984" w:type="dxa"/>
            <w:tcBorders>
              <w:top w:val="nil"/>
              <w:left w:val="nil"/>
              <w:bottom w:val="nil"/>
              <w:right w:val="nil"/>
            </w:tcBorders>
            <w:shd w:val="clear" w:color="000000" w:fill="FFFFFF"/>
            <w:vAlign w:val="center"/>
          </w:tcPr>
          <w:p w14:paraId="65BF4BF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1,293</w:t>
            </w:r>
          </w:p>
        </w:tc>
        <w:tc>
          <w:tcPr>
            <w:tcW w:w="1176" w:type="dxa"/>
            <w:tcBorders>
              <w:top w:val="nil"/>
              <w:left w:val="nil"/>
              <w:bottom w:val="nil"/>
              <w:right w:val="nil"/>
            </w:tcBorders>
            <w:shd w:val="clear" w:color="000000" w:fill="FFFFFF"/>
            <w:vAlign w:val="center"/>
          </w:tcPr>
          <w:p w14:paraId="76D24B7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(345)</w:t>
            </w:r>
          </w:p>
        </w:tc>
        <w:tc>
          <w:tcPr>
            <w:tcW w:w="992" w:type="dxa"/>
            <w:tcBorders>
              <w:top w:val="nil"/>
              <w:left w:val="nil"/>
              <w:bottom w:val="nil"/>
              <w:right w:val="nil"/>
            </w:tcBorders>
            <w:shd w:val="clear" w:color="000000" w:fill="FFFFFF"/>
            <w:noWrap/>
            <w:vAlign w:val="center"/>
            <w:hideMark/>
          </w:tcPr>
          <w:p w14:paraId="7CA64DC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1,300</w:t>
            </w:r>
          </w:p>
        </w:tc>
      </w:tr>
      <w:tr w:rsidR="00DF3006" w:rsidRPr="00DF3006" w14:paraId="0BDFC2DC" w14:textId="77777777" w:rsidTr="00025E55">
        <w:trPr>
          <w:trHeight w:val="315"/>
        </w:trPr>
        <w:tc>
          <w:tcPr>
            <w:tcW w:w="4253" w:type="dxa"/>
            <w:tcBorders>
              <w:top w:val="nil"/>
              <w:left w:val="nil"/>
              <w:bottom w:val="nil"/>
              <w:right w:val="nil"/>
            </w:tcBorders>
            <w:shd w:val="clear" w:color="000000" w:fill="FFFFFF"/>
            <w:noWrap/>
            <w:vAlign w:val="center"/>
            <w:hideMark/>
          </w:tcPr>
          <w:p w14:paraId="438BF975"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w:t>
            </w:r>
          </w:p>
        </w:tc>
        <w:tc>
          <w:tcPr>
            <w:tcW w:w="262" w:type="dxa"/>
            <w:tcBorders>
              <w:top w:val="nil"/>
              <w:left w:val="nil"/>
              <w:bottom w:val="nil"/>
              <w:right w:val="nil"/>
            </w:tcBorders>
            <w:shd w:val="clear" w:color="000000" w:fill="FFFFFF"/>
            <w:noWrap/>
            <w:vAlign w:val="center"/>
          </w:tcPr>
          <w:p w14:paraId="6BEDE4C1"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206DA57E"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nil"/>
              <w:right w:val="nil"/>
            </w:tcBorders>
            <w:shd w:val="clear" w:color="auto" w:fill="D9D9D9" w:themeFill="background1" w:themeFillShade="D9"/>
            <w:vAlign w:val="center"/>
          </w:tcPr>
          <w:p w14:paraId="2972A37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w:t>
            </w:r>
          </w:p>
        </w:tc>
        <w:tc>
          <w:tcPr>
            <w:tcW w:w="984" w:type="dxa"/>
            <w:tcBorders>
              <w:top w:val="nil"/>
              <w:left w:val="nil"/>
              <w:bottom w:val="nil"/>
              <w:right w:val="nil"/>
            </w:tcBorders>
            <w:shd w:val="clear" w:color="000000" w:fill="FFFFFF"/>
            <w:vAlign w:val="center"/>
          </w:tcPr>
          <w:p w14:paraId="2DF6247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176" w:type="dxa"/>
            <w:tcBorders>
              <w:top w:val="nil"/>
              <w:left w:val="nil"/>
              <w:bottom w:val="nil"/>
              <w:right w:val="nil"/>
            </w:tcBorders>
            <w:shd w:val="clear" w:color="000000" w:fill="FFFFFF"/>
            <w:vAlign w:val="center"/>
          </w:tcPr>
          <w:p w14:paraId="56E2867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w:t>
            </w:r>
          </w:p>
        </w:tc>
        <w:tc>
          <w:tcPr>
            <w:tcW w:w="992" w:type="dxa"/>
            <w:tcBorders>
              <w:top w:val="nil"/>
              <w:left w:val="nil"/>
              <w:bottom w:val="nil"/>
              <w:right w:val="nil"/>
            </w:tcBorders>
            <w:shd w:val="clear" w:color="000000" w:fill="FFFFFF"/>
            <w:noWrap/>
            <w:vAlign w:val="center"/>
            <w:hideMark/>
          </w:tcPr>
          <w:p w14:paraId="4B4E09E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w:t>
            </w:r>
          </w:p>
        </w:tc>
      </w:tr>
      <w:tr w:rsidR="00DF3006" w:rsidRPr="00DF3006" w14:paraId="5731233C" w14:textId="77777777" w:rsidTr="00025E55">
        <w:trPr>
          <w:trHeight w:val="315"/>
        </w:trPr>
        <w:tc>
          <w:tcPr>
            <w:tcW w:w="4253" w:type="dxa"/>
            <w:tcBorders>
              <w:top w:val="nil"/>
              <w:left w:val="nil"/>
              <w:bottom w:val="nil"/>
              <w:right w:val="nil"/>
            </w:tcBorders>
            <w:shd w:val="clear" w:color="000000" w:fill="FFFFFF"/>
            <w:noWrap/>
            <w:vAlign w:val="center"/>
            <w:hideMark/>
          </w:tcPr>
          <w:p w14:paraId="22432BC5"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Current Liabilities</w:t>
            </w:r>
          </w:p>
        </w:tc>
        <w:tc>
          <w:tcPr>
            <w:tcW w:w="262" w:type="dxa"/>
            <w:tcBorders>
              <w:top w:val="nil"/>
              <w:left w:val="nil"/>
              <w:bottom w:val="nil"/>
              <w:right w:val="nil"/>
            </w:tcBorders>
            <w:shd w:val="clear" w:color="000000" w:fill="FFFFFF"/>
            <w:noWrap/>
            <w:vAlign w:val="center"/>
          </w:tcPr>
          <w:p w14:paraId="05F2E0BD"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left w:val="nil"/>
              <w:right w:val="nil"/>
            </w:tcBorders>
            <w:shd w:val="clear" w:color="auto" w:fill="auto"/>
            <w:vAlign w:val="center"/>
          </w:tcPr>
          <w:p w14:paraId="51A460A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single" w:sz="8" w:space="0" w:color="auto"/>
              <w:left w:val="nil"/>
              <w:bottom w:val="single" w:sz="8" w:space="0" w:color="auto"/>
              <w:right w:val="nil"/>
            </w:tcBorders>
            <w:shd w:val="clear" w:color="auto" w:fill="D9D9D9" w:themeFill="background1" w:themeFillShade="D9"/>
            <w:vAlign w:val="center"/>
          </w:tcPr>
          <w:p w14:paraId="2A1D47D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3,615</w:t>
            </w:r>
          </w:p>
        </w:tc>
        <w:tc>
          <w:tcPr>
            <w:tcW w:w="984" w:type="dxa"/>
            <w:tcBorders>
              <w:top w:val="single" w:sz="8" w:space="0" w:color="auto"/>
              <w:left w:val="nil"/>
              <w:bottom w:val="single" w:sz="8" w:space="0" w:color="auto"/>
              <w:right w:val="nil"/>
            </w:tcBorders>
            <w:shd w:val="clear" w:color="000000" w:fill="FFFFFF"/>
            <w:vAlign w:val="center"/>
          </w:tcPr>
          <w:p w14:paraId="4059635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3,581</w:t>
            </w:r>
          </w:p>
        </w:tc>
        <w:tc>
          <w:tcPr>
            <w:tcW w:w="1176" w:type="dxa"/>
            <w:tcBorders>
              <w:top w:val="single" w:sz="8" w:space="0" w:color="auto"/>
              <w:left w:val="nil"/>
              <w:bottom w:val="single" w:sz="8" w:space="0" w:color="auto"/>
              <w:right w:val="nil"/>
            </w:tcBorders>
            <w:shd w:val="clear" w:color="000000" w:fill="FFFFFF"/>
            <w:vAlign w:val="center"/>
          </w:tcPr>
          <w:p w14:paraId="4044B37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34</w:t>
            </w:r>
          </w:p>
        </w:tc>
        <w:tc>
          <w:tcPr>
            <w:tcW w:w="992" w:type="dxa"/>
            <w:tcBorders>
              <w:top w:val="single" w:sz="8" w:space="0" w:color="auto"/>
              <w:left w:val="nil"/>
              <w:bottom w:val="single" w:sz="8" w:space="0" w:color="auto"/>
              <w:right w:val="nil"/>
            </w:tcBorders>
            <w:shd w:val="clear" w:color="000000" w:fill="FFFFFF"/>
            <w:vAlign w:val="center"/>
            <w:hideMark/>
          </w:tcPr>
          <w:p w14:paraId="26A65C5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4,440</w:t>
            </w:r>
          </w:p>
        </w:tc>
      </w:tr>
      <w:tr w:rsidR="00DF3006" w:rsidRPr="00DF3006" w14:paraId="259E4E67" w14:textId="77777777" w:rsidTr="00025E55">
        <w:trPr>
          <w:trHeight w:val="199"/>
        </w:trPr>
        <w:tc>
          <w:tcPr>
            <w:tcW w:w="4253" w:type="dxa"/>
            <w:tcBorders>
              <w:top w:val="nil"/>
              <w:left w:val="nil"/>
              <w:bottom w:val="nil"/>
              <w:right w:val="nil"/>
            </w:tcBorders>
            <w:shd w:val="clear" w:color="000000" w:fill="FFFFFF"/>
            <w:noWrap/>
            <w:vAlign w:val="center"/>
            <w:hideMark/>
          </w:tcPr>
          <w:p w14:paraId="1321A664"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tcPr>
          <w:p w14:paraId="0CF90BE5"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494A013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371CAD10"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nil"/>
              <w:right w:val="nil"/>
            </w:tcBorders>
            <w:shd w:val="clear" w:color="000000" w:fill="FFFFFF"/>
            <w:vAlign w:val="center"/>
          </w:tcPr>
          <w:p w14:paraId="622806BE"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nil"/>
              <w:right w:val="nil"/>
            </w:tcBorders>
            <w:shd w:val="clear" w:color="000000" w:fill="FFFFFF"/>
            <w:vAlign w:val="center"/>
          </w:tcPr>
          <w:p w14:paraId="34978F40"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355F572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22D3ADAA" w14:textId="77777777" w:rsidTr="00025E55">
        <w:trPr>
          <w:trHeight w:val="300"/>
        </w:trPr>
        <w:tc>
          <w:tcPr>
            <w:tcW w:w="4253" w:type="dxa"/>
            <w:tcBorders>
              <w:top w:val="nil"/>
              <w:left w:val="nil"/>
              <w:bottom w:val="nil"/>
              <w:right w:val="nil"/>
            </w:tcBorders>
            <w:shd w:val="clear" w:color="000000" w:fill="FFFFFF"/>
            <w:noWrap/>
            <w:vAlign w:val="center"/>
            <w:hideMark/>
          </w:tcPr>
          <w:p w14:paraId="45328ED9"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Non-Current Liabilities</w:t>
            </w:r>
          </w:p>
        </w:tc>
        <w:tc>
          <w:tcPr>
            <w:tcW w:w="262" w:type="dxa"/>
            <w:tcBorders>
              <w:top w:val="nil"/>
              <w:left w:val="nil"/>
              <w:bottom w:val="nil"/>
              <w:right w:val="nil"/>
            </w:tcBorders>
            <w:shd w:val="clear" w:color="000000" w:fill="FFFFFF"/>
            <w:noWrap/>
            <w:vAlign w:val="center"/>
          </w:tcPr>
          <w:p w14:paraId="3F9EF4F9"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bottom w:val="nil"/>
              <w:right w:val="nil"/>
            </w:tcBorders>
            <w:shd w:val="clear" w:color="auto" w:fill="auto"/>
            <w:vAlign w:val="center"/>
          </w:tcPr>
          <w:p w14:paraId="5028BBA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nil"/>
              <w:left w:val="nil"/>
              <w:bottom w:val="nil"/>
              <w:right w:val="nil"/>
            </w:tcBorders>
            <w:shd w:val="clear" w:color="auto" w:fill="D9D9D9" w:themeFill="background1" w:themeFillShade="D9"/>
            <w:vAlign w:val="center"/>
          </w:tcPr>
          <w:p w14:paraId="45B34B7C"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84" w:type="dxa"/>
            <w:tcBorders>
              <w:top w:val="nil"/>
              <w:left w:val="nil"/>
              <w:bottom w:val="nil"/>
              <w:right w:val="nil"/>
            </w:tcBorders>
            <w:shd w:val="clear" w:color="000000" w:fill="FFFFFF"/>
            <w:vAlign w:val="center"/>
          </w:tcPr>
          <w:p w14:paraId="0A63A3C6"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76" w:type="dxa"/>
            <w:tcBorders>
              <w:top w:val="nil"/>
              <w:left w:val="nil"/>
              <w:bottom w:val="nil"/>
              <w:right w:val="nil"/>
            </w:tcBorders>
            <w:shd w:val="clear" w:color="000000" w:fill="FFFFFF"/>
            <w:vAlign w:val="center"/>
          </w:tcPr>
          <w:p w14:paraId="2B8EA09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19B3D3D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0F374C9C" w14:textId="77777777" w:rsidTr="00025E55">
        <w:trPr>
          <w:trHeight w:val="300"/>
        </w:trPr>
        <w:tc>
          <w:tcPr>
            <w:tcW w:w="4253" w:type="dxa"/>
            <w:tcBorders>
              <w:top w:val="nil"/>
              <w:left w:val="nil"/>
              <w:bottom w:val="nil"/>
              <w:right w:val="nil"/>
            </w:tcBorders>
            <w:shd w:val="clear" w:color="000000" w:fill="FFFFFF"/>
            <w:noWrap/>
            <w:vAlign w:val="center"/>
            <w:hideMark/>
          </w:tcPr>
          <w:p w14:paraId="2DBA0736"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Lease liabilities</w:t>
            </w:r>
          </w:p>
        </w:tc>
        <w:tc>
          <w:tcPr>
            <w:tcW w:w="262" w:type="dxa"/>
            <w:tcBorders>
              <w:top w:val="nil"/>
              <w:left w:val="nil"/>
              <w:bottom w:val="nil"/>
              <w:right w:val="nil"/>
            </w:tcBorders>
            <w:shd w:val="clear" w:color="000000" w:fill="FFFFFF"/>
            <w:noWrap/>
            <w:vAlign w:val="center"/>
          </w:tcPr>
          <w:p w14:paraId="54B35BC9"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7FD51E8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w:t>
            </w:r>
          </w:p>
        </w:tc>
        <w:tc>
          <w:tcPr>
            <w:tcW w:w="1016" w:type="dxa"/>
            <w:tcBorders>
              <w:top w:val="nil"/>
              <w:left w:val="nil"/>
              <w:bottom w:val="nil"/>
              <w:right w:val="nil"/>
            </w:tcBorders>
            <w:shd w:val="clear" w:color="auto" w:fill="D9D9D9" w:themeFill="background1" w:themeFillShade="D9"/>
            <w:vAlign w:val="center"/>
          </w:tcPr>
          <w:p w14:paraId="2E024D6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668</w:t>
            </w:r>
          </w:p>
        </w:tc>
        <w:tc>
          <w:tcPr>
            <w:tcW w:w="984" w:type="dxa"/>
            <w:tcBorders>
              <w:top w:val="nil"/>
              <w:left w:val="nil"/>
              <w:bottom w:val="nil"/>
              <w:right w:val="nil"/>
            </w:tcBorders>
            <w:shd w:val="clear" w:color="000000" w:fill="FFFFFF"/>
            <w:vAlign w:val="center"/>
          </w:tcPr>
          <w:p w14:paraId="2960798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176" w:type="dxa"/>
            <w:tcBorders>
              <w:top w:val="nil"/>
              <w:left w:val="nil"/>
              <w:bottom w:val="nil"/>
              <w:right w:val="nil"/>
            </w:tcBorders>
            <w:shd w:val="clear" w:color="000000" w:fill="FFFFFF"/>
            <w:vAlign w:val="center"/>
          </w:tcPr>
          <w:p w14:paraId="7524103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668</w:t>
            </w:r>
          </w:p>
        </w:tc>
        <w:tc>
          <w:tcPr>
            <w:tcW w:w="992" w:type="dxa"/>
            <w:tcBorders>
              <w:top w:val="nil"/>
              <w:left w:val="nil"/>
              <w:bottom w:val="nil"/>
              <w:right w:val="nil"/>
            </w:tcBorders>
            <w:shd w:val="clear" w:color="000000" w:fill="FFFFFF"/>
            <w:noWrap/>
            <w:vAlign w:val="center"/>
            <w:hideMark/>
          </w:tcPr>
          <w:p w14:paraId="038E900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r>
      <w:tr w:rsidR="00DF3006" w:rsidRPr="00DF3006" w14:paraId="4828FED5" w14:textId="77777777" w:rsidTr="00025E55">
        <w:trPr>
          <w:trHeight w:val="315"/>
        </w:trPr>
        <w:tc>
          <w:tcPr>
            <w:tcW w:w="4253" w:type="dxa"/>
            <w:tcBorders>
              <w:top w:val="nil"/>
              <w:left w:val="nil"/>
              <w:bottom w:val="nil"/>
              <w:right w:val="nil"/>
            </w:tcBorders>
            <w:shd w:val="clear" w:color="000000" w:fill="FFFFFF"/>
            <w:noWrap/>
            <w:vAlign w:val="center"/>
            <w:hideMark/>
          </w:tcPr>
          <w:p w14:paraId="5782B2C5"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Provisions</w:t>
            </w:r>
          </w:p>
        </w:tc>
        <w:tc>
          <w:tcPr>
            <w:tcW w:w="262" w:type="dxa"/>
            <w:tcBorders>
              <w:top w:val="nil"/>
              <w:left w:val="nil"/>
              <w:bottom w:val="nil"/>
              <w:right w:val="nil"/>
            </w:tcBorders>
            <w:shd w:val="clear" w:color="000000" w:fill="FFFFFF"/>
            <w:noWrap/>
            <w:vAlign w:val="center"/>
          </w:tcPr>
          <w:p w14:paraId="4C110EF3"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457762E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w:t>
            </w:r>
          </w:p>
        </w:tc>
        <w:tc>
          <w:tcPr>
            <w:tcW w:w="1016" w:type="dxa"/>
            <w:tcBorders>
              <w:top w:val="nil"/>
              <w:left w:val="nil"/>
              <w:bottom w:val="nil"/>
              <w:right w:val="nil"/>
            </w:tcBorders>
            <w:shd w:val="clear" w:color="auto" w:fill="D9D9D9" w:themeFill="background1" w:themeFillShade="D9"/>
            <w:vAlign w:val="center"/>
          </w:tcPr>
          <w:p w14:paraId="1019537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257</w:t>
            </w:r>
          </w:p>
        </w:tc>
        <w:tc>
          <w:tcPr>
            <w:tcW w:w="984" w:type="dxa"/>
            <w:tcBorders>
              <w:top w:val="nil"/>
              <w:left w:val="nil"/>
              <w:bottom w:val="nil"/>
              <w:right w:val="nil"/>
            </w:tcBorders>
            <w:shd w:val="clear" w:color="000000" w:fill="FFFFFF"/>
            <w:vAlign w:val="center"/>
          </w:tcPr>
          <w:p w14:paraId="36A2D9A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242</w:t>
            </w:r>
          </w:p>
        </w:tc>
        <w:tc>
          <w:tcPr>
            <w:tcW w:w="1176" w:type="dxa"/>
            <w:tcBorders>
              <w:top w:val="nil"/>
              <w:left w:val="nil"/>
              <w:bottom w:val="nil"/>
              <w:right w:val="nil"/>
            </w:tcBorders>
            <w:shd w:val="clear" w:color="000000" w:fill="FFFFFF"/>
            <w:vAlign w:val="center"/>
          </w:tcPr>
          <w:p w14:paraId="208415E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w:t>
            </w:r>
          </w:p>
        </w:tc>
        <w:tc>
          <w:tcPr>
            <w:tcW w:w="992" w:type="dxa"/>
            <w:tcBorders>
              <w:top w:val="nil"/>
              <w:left w:val="nil"/>
              <w:bottom w:val="nil"/>
              <w:right w:val="nil"/>
            </w:tcBorders>
            <w:shd w:val="clear" w:color="000000" w:fill="FFFFFF"/>
            <w:noWrap/>
            <w:vAlign w:val="center"/>
            <w:hideMark/>
          </w:tcPr>
          <w:p w14:paraId="0649615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219</w:t>
            </w:r>
          </w:p>
        </w:tc>
      </w:tr>
      <w:tr w:rsidR="00DF3006" w:rsidRPr="00DF3006" w14:paraId="26E44E52" w14:textId="77777777" w:rsidTr="00025E55">
        <w:trPr>
          <w:trHeight w:val="315"/>
        </w:trPr>
        <w:tc>
          <w:tcPr>
            <w:tcW w:w="4253" w:type="dxa"/>
            <w:tcBorders>
              <w:top w:val="nil"/>
              <w:left w:val="nil"/>
              <w:bottom w:val="nil"/>
              <w:right w:val="nil"/>
            </w:tcBorders>
            <w:shd w:val="clear" w:color="000000" w:fill="FFFFFF"/>
            <w:noWrap/>
            <w:vAlign w:val="center"/>
          </w:tcPr>
          <w:p w14:paraId="67C5073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w:t>
            </w:r>
          </w:p>
        </w:tc>
        <w:tc>
          <w:tcPr>
            <w:tcW w:w="262" w:type="dxa"/>
            <w:tcBorders>
              <w:top w:val="nil"/>
              <w:left w:val="nil"/>
              <w:bottom w:val="nil"/>
              <w:right w:val="nil"/>
            </w:tcBorders>
            <w:shd w:val="clear" w:color="000000" w:fill="FFFFFF"/>
            <w:noWrap/>
            <w:vAlign w:val="center"/>
          </w:tcPr>
          <w:p w14:paraId="0CB3DBE0"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bottom w:val="nil"/>
              <w:right w:val="nil"/>
            </w:tcBorders>
            <w:shd w:val="clear" w:color="auto" w:fill="auto"/>
            <w:vAlign w:val="center"/>
          </w:tcPr>
          <w:p w14:paraId="6B06C7A3"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nil"/>
              <w:right w:val="nil"/>
            </w:tcBorders>
            <w:shd w:val="clear" w:color="auto" w:fill="D9D9D9" w:themeFill="background1" w:themeFillShade="D9"/>
            <w:vAlign w:val="center"/>
          </w:tcPr>
          <w:p w14:paraId="7E2598F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84" w:type="dxa"/>
            <w:tcBorders>
              <w:top w:val="nil"/>
              <w:left w:val="nil"/>
              <w:bottom w:val="nil"/>
              <w:right w:val="nil"/>
            </w:tcBorders>
            <w:shd w:val="clear" w:color="000000" w:fill="FFFFFF"/>
            <w:vAlign w:val="center"/>
          </w:tcPr>
          <w:p w14:paraId="036968F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w:t>
            </w:r>
          </w:p>
        </w:tc>
        <w:tc>
          <w:tcPr>
            <w:tcW w:w="1176" w:type="dxa"/>
            <w:tcBorders>
              <w:top w:val="nil"/>
              <w:left w:val="nil"/>
              <w:bottom w:val="nil"/>
              <w:right w:val="nil"/>
            </w:tcBorders>
            <w:shd w:val="clear" w:color="000000" w:fill="FFFFFF"/>
            <w:vAlign w:val="center"/>
          </w:tcPr>
          <w:p w14:paraId="7DEB7DC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w:t>
            </w:r>
          </w:p>
        </w:tc>
        <w:tc>
          <w:tcPr>
            <w:tcW w:w="992" w:type="dxa"/>
            <w:tcBorders>
              <w:top w:val="nil"/>
              <w:left w:val="nil"/>
              <w:bottom w:val="nil"/>
              <w:right w:val="nil"/>
            </w:tcBorders>
            <w:shd w:val="clear" w:color="000000" w:fill="FFFFFF"/>
            <w:noWrap/>
            <w:vAlign w:val="center"/>
          </w:tcPr>
          <w:p w14:paraId="4E44224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r>
      <w:tr w:rsidR="00DF3006" w:rsidRPr="00DF3006" w14:paraId="7565F111" w14:textId="77777777" w:rsidTr="00025E55">
        <w:trPr>
          <w:trHeight w:val="315"/>
        </w:trPr>
        <w:tc>
          <w:tcPr>
            <w:tcW w:w="4253" w:type="dxa"/>
            <w:tcBorders>
              <w:top w:val="nil"/>
              <w:left w:val="nil"/>
              <w:bottom w:val="nil"/>
              <w:right w:val="nil"/>
            </w:tcBorders>
            <w:shd w:val="clear" w:color="000000" w:fill="FFFFFF"/>
            <w:noWrap/>
            <w:vAlign w:val="center"/>
            <w:hideMark/>
          </w:tcPr>
          <w:p w14:paraId="1F9D66AC"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Non-Current Liabilities</w:t>
            </w:r>
          </w:p>
        </w:tc>
        <w:tc>
          <w:tcPr>
            <w:tcW w:w="262" w:type="dxa"/>
            <w:tcBorders>
              <w:top w:val="nil"/>
              <w:left w:val="nil"/>
              <w:bottom w:val="nil"/>
              <w:right w:val="nil"/>
            </w:tcBorders>
            <w:shd w:val="clear" w:color="000000" w:fill="FFFFFF"/>
            <w:noWrap/>
            <w:vAlign w:val="center"/>
            <w:hideMark/>
          </w:tcPr>
          <w:p w14:paraId="7478A7E0"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706" w:type="dxa"/>
            <w:tcBorders>
              <w:left w:val="nil"/>
              <w:right w:val="nil"/>
            </w:tcBorders>
            <w:shd w:val="clear" w:color="auto" w:fill="auto"/>
            <w:vAlign w:val="center"/>
          </w:tcPr>
          <w:p w14:paraId="53CD42F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016" w:type="dxa"/>
            <w:tcBorders>
              <w:top w:val="single" w:sz="8" w:space="0" w:color="auto"/>
              <w:left w:val="nil"/>
              <w:bottom w:val="single" w:sz="8" w:space="0" w:color="auto"/>
              <w:right w:val="nil"/>
            </w:tcBorders>
            <w:shd w:val="clear" w:color="auto" w:fill="D9D9D9" w:themeFill="background1" w:themeFillShade="D9"/>
            <w:vAlign w:val="center"/>
          </w:tcPr>
          <w:p w14:paraId="048E207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925</w:t>
            </w:r>
          </w:p>
        </w:tc>
        <w:tc>
          <w:tcPr>
            <w:tcW w:w="984" w:type="dxa"/>
            <w:tcBorders>
              <w:top w:val="single" w:sz="8" w:space="0" w:color="auto"/>
              <w:left w:val="nil"/>
              <w:bottom w:val="single" w:sz="8" w:space="0" w:color="auto"/>
              <w:right w:val="nil"/>
            </w:tcBorders>
            <w:shd w:val="clear" w:color="000000" w:fill="FFFFFF"/>
            <w:vAlign w:val="center"/>
          </w:tcPr>
          <w:p w14:paraId="5B7F89C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244</w:t>
            </w:r>
          </w:p>
        </w:tc>
        <w:tc>
          <w:tcPr>
            <w:tcW w:w="1176" w:type="dxa"/>
            <w:tcBorders>
              <w:top w:val="single" w:sz="8" w:space="0" w:color="auto"/>
              <w:left w:val="nil"/>
              <w:bottom w:val="single" w:sz="8" w:space="0" w:color="auto"/>
              <w:right w:val="nil"/>
            </w:tcBorders>
            <w:shd w:val="clear" w:color="000000" w:fill="FFFFFF"/>
            <w:vAlign w:val="center"/>
          </w:tcPr>
          <w:p w14:paraId="46D5ABB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681</w:t>
            </w:r>
          </w:p>
        </w:tc>
        <w:tc>
          <w:tcPr>
            <w:tcW w:w="992" w:type="dxa"/>
            <w:tcBorders>
              <w:top w:val="single" w:sz="8" w:space="0" w:color="auto"/>
              <w:left w:val="nil"/>
              <w:bottom w:val="single" w:sz="8" w:space="0" w:color="auto"/>
              <w:right w:val="nil"/>
            </w:tcBorders>
            <w:shd w:val="clear" w:color="000000" w:fill="FFFFFF"/>
            <w:vAlign w:val="center"/>
            <w:hideMark/>
          </w:tcPr>
          <w:p w14:paraId="0E29D1E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219</w:t>
            </w:r>
          </w:p>
        </w:tc>
      </w:tr>
      <w:tr w:rsidR="00DF3006" w:rsidRPr="00DF3006" w14:paraId="410709A2" w14:textId="77777777" w:rsidTr="00025E55">
        <w:trPr>
          <w:trHeight w:val="199"/>
        </w:trPr>
        <w:tc>
          <w:tcPr>
            <w:tcW w:w="4253" w:type="dxa"/>
            <w:tcBorders>
              <w:top w:val="nil"/>
              <w:left w:val="nil"/>
              <w:bottom w:val="nil"/>
              <w:right w:val="nil"/>
            </w:tcBorders>
            <w:shd w:val="clear" w:color="000000" w:fill="FFFFFF"/>
            <w:noWrap/>
            <w:vAlign w:val="center"/>
            <w:hideMark/>
          </w:tcPr>
          <w:p w14:paraId="62DDFFD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hideMark/>
          </w:tcPr>
          <w:p w14:paraId="79AC3C28"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auto"/>
          </w:tcPr>
          <w:p w14:paraId="5F8CCA0F"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single" w:sz="8" w:space="0" w:color="auto"/>
              <w:right w:val="nil"/>
            </w:tcBorders>
            <w:shd w:val="clear" w:color="auto" w:fill="D9D9D9" w:themeFill="background1" w:themeFillShade="D9"/>
            <w:vAlign w:val="center"/>
          </w:tcPr>
          <w:p w14:paraId="37308149"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single" w:sz="8" w:space="0" w:color="auto"/>
              <w:right w:val="nil"/>
            </w:tcBorders>
            <w:shd w:val="clear" w:color="000000" w:fill="FFFFFF"/>
            <w:vAlign w:val="center"/>
          </w:tcPr>
          <w:p w14:paraId="5ADC8D35"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single" w:sz="8" w:space="0" w:color="auto"/>
              <w:right w:val="nil"/>
            </w:tcBorders>
            <w:shd w:val="clear" w:color="000000" w:fill="FFFFFF"/>
            <w:vAlign w:val="center"/>
          </w:tcPr>
          <w:p w14:paraId="5A22133A"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single" w:sz="8" w:space="0" w:color="auto"/>
              <w:right w:val="nil"/>
            </w:tcBorders>
            <w:shd w:val="clear" w:color="000000" w:fill="FFFFFF"/>
            <w:noWrap/>
            <w:vAlign w:val="center"/>
            <w:hideMark/>
          </w:tcPr>
          <w:p w14:paraId="68488444" w14:textId="77777777" w:rsidR="00FC17BC" w:rsidRPr="00DF3006" w:rsidRDefault="00FC17BC" w:rsidP="00C30C67">
            <w:pPr>
              <w:spacing w:after="0"/>
              <w:jc w:val="right"/>
              <w:rPr>
                <w:rFonts w:eastAsia="Times New Roman" w:cs="Calibri"/>
                <w:color w:val="414042" w:themeColor="text1"/>
                <w:szCs w:val="20"/>
                <w:lang w:eastAsia="en-AU"/>
              </w:rPr>
            </w:pPr>
          </w:p>
        </w:tc>
      </w:tr>
      <w:tr w:rsidR="00DF3006" w:rsidRPr="00DF3006" w14:paraId="7FCACFB3" w14:textId="77777777" w:rsidTr="00025E55">
        <w:trPr>
          <w:trHeight w:val="315"/>
        </w:trPr>
        <w:tc>
          <w:tcPr>
            <w:tcW w:w="4253" w:type="dxa"/>
            <w:tcBorders>
              <w:top w:val="nil"/>
              <w:left w:val="nil"/>
              <w:bottom w:val="nil"/>
              <w:right w:val="nil"/>
            </w:tcBorders>
            <w:shd w:val="clear" w:color="000000" w:fill="FFFFFF"/>
            <w:noWrap/>
            <w:vAlign w:val="center"/>
            <w:hideMark/>
          </w:tcPr>
          <w:p w14:paraId="46095907"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Liabilities</w:t>
            </w:r>
          </w:p>
        </w:tc>
        <w:tc>
          <w:tcPr>
            <w:tcW w:w="262" w:type="dxa"/>
            <w:tcBorders>
              <w:top w:val="nil"/>
              <w:left w:val="nil"/>
              <w:bottom w:val="nil"/>
              <w:right w:val="nil"/>
            </w:tcBorders>
            <w:shd w:val="clear" w:color="000000" w:fill="FFFFFF"/>
            <w:noWrap/>
            <w:vAlign w:val="center"/>
            <w:hideMark/>
          </w:tcPr>
          <w:p w14:paraId="6FA93ED3"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706" w:type="dxa"/>
            <w:tcBorders>
              <w:top w:val="nil"/>
              <w:left w:val="nil"/>
              <w:right w:val="nil"/>
            </w:tcBorders>
            <w:shd w:val="clear" w:color="auto" w:fill="auto"/>
          </w:tcPr>
          <w:p w14:paraId="4ADC2A53"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16" w:type="dxa"/>
            <w:tcBorders>
              <w:top w:val="nil"/>
              <w:left w:val="nil"/>
              <w:bottom w:val="double" w:sz="6" w:space="0" w:color="auto"/>
              <w:right w:val="nil"/>
            </w:tcBorders>
            <w:shd w:val="clear" w:color="auto" w:fill="D9D9D9" w:themeFill="background1" w:themeFillShade="D9"/>
            <w:vAlign w:val="center"/>
          </w:tcPr>
          <w:p w14:paraId="7B508DC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4,540</w:t>
            </w:r>
          </w:p>
        </w:tc>
        <w:tc>
          <w:tcPr>
            <w:tcW w:w="984" w:type="dxa"/>
            <w:tcBorders>
              <w:top w:val="nil"/>
              <w:left w:val="nil"/>
              <w:bottom w:val="double" w:sz="6" w:space="0" w:color="auto"/>
              <w:right w:val="nil"/>
            </w:tcBorders>
            <w:shd w:val="clear" w:color="000000" w:fill="FFFFFF"/>
            <w:vAlign w:val="center"/>
          </w:tcPr>
          <w:p w14:paraId="5C5C5DD7"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3,825</w:t>
            </w:r>
          </w:p>
        </w:tc>
        <w:tc>
          <w:tcPr>
            <w:tcW w:w="1176" w:type="dxa"/>
            <w:tcBorders>
              <w:top w:val="nil"/>
              <w:left w:val="nil"/>
              <w:bottom w:val="double" w:sz="6" w:space="0" w:color="auto"/>
              <w:right w:val="nil"/>
            </w:tcBorders>
            <w:shd w:val="clear" w:color="000000" w:fill="FFFFFF"/>
            <w:vAlign w:val="center"/>
          </w:tcPr>
          <w:p w14:paraId="5E88EAD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715</w:t>
            </w:r>
          </w:p>
        </w:tc>
        <w:tc>
          <w:tcPr>
            <w:tcW w:w="992" w:type="dxa"/>
            <w:tcBorders>
              <w:top w:val="nil"/>
              <w:left w:val="nil"/>
              <w:bottom w:val="double" w:sz="6" w:space="0" w:color="auto"/>
              <w:right w:val="nil"/>
            </w:tcBorders>
            <w:shd w:val="clear" w:color="000000" w:fill="FFFFFF"/>
            <w:vAlign w:val="center"/>
            <w:hideMark/>
          </w:tcPr>
          <w:p w14:paraId="45A5AC2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4,659</w:t>
            </w:r>
          </w:p>
        </w:tc>
      </w:tr>
      <w:tr w:rsidR="00DF3006" w:rsidRPr="00DF3006" w14:paraId="7ECE838B" w14:textId="77777777" w:rsidTr="00025E55">
        <w:trPr>
          <w:trHeight w:val="199"/>
        </w:trPr>
        <w:tc>
          <w:tcPr>
            <w:tcW w:w="4253" w:type="dxa"/>
            <w:tcBorders>
              <w:top w:val="nil"/>
              <w:left w:val="nil"/>
              <w:bottom w:val="nil"/>
              <w:right w:val="nil"/>
            </w:tcBorders>
            <w:shd w:val="clear" w:color="000000" w:fill="FFFFFF"/>
            <w:noWrap/>
            <w:vAlign w:val="center"/>
            <w:hideMark/>
          </w:tcPr>
          <w:p w14:paraId="228EFD5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hideMark/>
          </w:tcPr>
          <w:p w14:paraId="6298C67E"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auto"/>
          </w:tcPr>
          <w:p w14:paraId="1A03C736"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single" w:sz="8" w:space="0" w:color="auto"/>
              <w:right w:val="nil"/>
            </w:tcBorders>
            <w:shd w:val="clear" w:color="auto" w:fill="D9D9D9" w:themeFill="background1" w:themeFillShade="D9"/>
            <w:vAlign w:val="center"/>
          </w:tcPr>
          <w:p w14:paraId="1DFE2AA0"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single" w:sz="8" w:space="0" w:color="auto"/>
              <w:right w:val="nil"/>
            </w:tcBorders>
            <w:shd w:val="clear" w:color="000000" w:fill="FFFFFF"/>
            <w:vAlign w:val="center"/>
          </w:tcPr>
          <w:p w14:paraId="3AB604F5"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single" w:sz="8" w:space="0" w:color="auto"/>
              <w:right w:val="nil"/>
            </w:tcBorders>
            <w:shd w:val="clear" w:color="000000" w:fill="FFFFFF"/>
            <w:vAlign w:val="center"/>
          </w:tcPr>
          <w:p w14:paraId="73E8F3C2"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single" w:sz="8" w:space="0" w:color="auto"/>
              <w:right w:val="nil"/>
            </w:tcBorders>
            <w:shd w:val="clear" w:color="000000" w:fill="FFFFFF"/>
            <w:noWrap/>
            <w:vAlign w:val="center"/>
            <w:hideMark/>
          </w:tcPr>
          <w:p w14:paraId="4ADC41A0" w14:textId="77777777" w:rsidR="00FC17BC" w:rsidRPr="00DF3006" w:rsidRDefault="00FC17BC" w:rsidP="00C30C67">
            <w:pPr>
              <w:spacing w:after="0"/>
              <w:jc w:val="right"/>
              <w:rPr>
                <w:rFonts w:eastAsia="Times New Roman" w:cs="Calibri"/>
                <w:color w:val="414042" w:themeColor="text1"/>
                <w:szCs w:val="20"/>
                <w:lang w:eastAsia="en-AU"/>
              </w:rPr>
            </w:pPr>
          </w:p>
        </w:tc>
      </w:tr>
      <w:tr w:rsidR="00DF3006" w:rsidRPr="00DF3006" w14:paraId="1F83A624" w14:textId="77777777" w:rsidTr="00025E55">
        <w:trPr>
          <w:trHeight w:val="315"/>
        </w:trPr>
        <w:tc>
          <w:tcPr>
            <w:tcW w:w="4253" w:type="dxa"/>
            <w:tcBorders>
              <w:top w:val="nil"/>
              <w:left w:val="nil"/>
              <w:bottom w:val="nil"/>
              <w:right w:val="nil"/>
            </w:tcBorders>
            <w:shd w:val="clear" w:color="000000" w:fill="FFFFFF"/>
            <w:noWrap/>
            <w:vAlign w:val="center"/>
            <w:hideMark/>
          </w:tcPr>
          <w:p w14:paraId="53996554"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Net Assets</w:t>
            </w:r>
          </w:p>
        </w:tc>
        <w:tc>
          <w:tcPr>
            <w:tcW w:w="262" w:type="dxa"/>
            <w:tcBorders>
              <w:top w:val="nil"/>
              <w:left w:val="nil"/>
              <w:bottom w:val="nil"/>
              <w:right w:val="nil"/>
            </w:tcBorders>
            <w:shd w:val="clear" w:color="000000" w:fill="FFFFFF"/>
            <w:noWrap/>
            <w:vAlign w:val="center"/>
            <w:hideMark/>
          </w:tcPr>
          <w:p w14:paraId="3ED12ED8"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706" w:type="dxa"/>
            <w:tcBorders>
              <w:top w:val="nil"/>
              <w:left w:val="nil"/>
              <w:right w:val="nil"/>
            </w:tcBorders>
            <w:shd w:val="clear" w:color="auto" w:fill="auto"/>
          </w:tcPr>
          <w:p w14:paraId="79FEDA73"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16" w:type="dxa"/>
            <w:tcBorders>
              <w:top w:val="nil"/>
              <w:left w:val="nil"/>
              <w:bottom w:val="double" w:sz="6" w:space="0" w:color="auto"/>
              <w:right w:val="nil"/>
            </w:tcBorders>
            <w:shd w:val="clear" w:color="auto" w:fill="D9D9D9" w:themeFill="background1" w:themeFillShade="D9"/>
            <w:vAlign w:val="center"/>
          </w:tcPr>
          <w:p w14:paraId="410F60A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30,011</w:t>
            </w:r>
          </w:p>
        </w:tc>
        <w:tc>
          <w:tcPr>
            <w:tcW w:w="984" w:type="dxa"/>
            <w:tcBorders>
              <w:top w:val="nil"/>
              <w:left w:val="nil"/>
              <w:bottom w:val="double" w:sz="6" w:space="0" w:color="auto"/>
              <w:right w:val="nil"/>
            </w:tcBorders>
            <w:shd w:val="clear" w:color="000000" w:fill="FFFFFF"/>
            <w:vAlign w:val="center"/>
          </w:tcPr>
          <w:p w14:paraId="05FB5EF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23,766</w:t>
            </w:r>
          </w:p>
        </w:tc>
        <w:tc>
          <w:tcPr>
            <w:tcW w:w="1176" w:type="dxa"/>
            <w:tcBorders>
              <w:top w:val="nil"/>
              <w:left w:val="nil"/>
              <w:bottom w:val="double" w:sz="6" w:space="0" w:color="auto"/>
              <w:right w:val="nil"/>
            </w:tcBorders>
            <w:shd w:val="clear" w:color="000000" w:fill="FFFFFF"/>
            <w:vAlign w:val="center"/>
          </w:tcPr>
          <w:p w14:paraId="1776754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6,245</w:t>
            </w:r>
          </w:p>
        </w:tc>
        <w:tc>
          <w:tcPr>
            <w:tcW w:w="992" w:type="dxa"/>
            <w:tcBorders>
              <w:top w:val="nil"/>
              <w:left w:val="nil"/>
              <w:bottom w:val="double" w:sz="6" w:space="0" w:color="auto"/>
              <w:right w:val="nil"/>
            </w:tcBorders>
            <w:shd w:val="clear" w:color="000000" w:fill="FFFFFF"/>
            <w:vAlign w:val="center"/>
            <w:hideMark/>
          </w:tcPr>
          <w:p w14:paraId="367E1F4D"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23,580</w:t>
            </w:r>
          </w:p>
        </w:tc>
      </w:tr>
      <w:tr w:rsidR="00DF3006" w:rsidRPr="00DF3006" w14:paraId="318F40A1" w14:textId="77777777" w:rsidTr="00025E55">
        <w:trPr>
          <w:trHeight w:val="199"/>
        </w:trPr>
        <w:tc>
          <w:tcPr>
            <w:tcW w:w="4253" w:type="dxa"/>
            <w:tcBorders>
              <w:top w:val="nil"/>
              <w:left w:val="nil"/>
              <w:bottom w:val="nil"/>
              <w:right w:val="nil"/>
            </w:tcBorders>
            <w:shd w:val="clear" w:color="000000" w:fill="FFFFFF"/>
            <w:noWrap/>
            <w:vAlign w:val="center"/>
            <w:hideMark/>
          </w:tcPr>
          <w:p w14:paraId="18896C67"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262" w:type="dxa"/>
            <w:tcBorders>
              <w:top w:val="nil"/>
              <w:left w:val="nil"/>
              <w:bottom w:val="nil"/>
              <w:right w:val="nil"/>
            </w:tcBorders>
            <w:shd w:val="clear" w:color="000000" w:fill="FFFFFF"/>
            <w:noWrap/>
            <w:vAlign w:val="center"/>
            <w:hideMark/>
          </w:tcPr>
          <w:p w14:paraId="6B105D2B"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auto"/>
          </w:tcPr>
          <w:p w14:paraId="6DD32BD6"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nil"/>
              <w:right w:val="nil"/>
            </w:tcBorders>
            <w:shd w:val="clear" w:color="auto" w:fill="D9D9D9" w:themeFill="background1" w:themeFillShade="D9"/>
            <w:vAlign w:val="center"/>
          </w:tcPr>
          <w:p w14:paraId="59459C43" w14:textId="77777777" w:rsidR="00FC17BC" w:rsidRPr="00DF3006" w:rsidRDefault="00FC17BC" w:rsidP="00C30C67">
            <w:pPr>
              <w:spacing w:after="0"/>
              <w:jc w:val="right"/>
              <w:rPr>
                <w:rFonts w:eastAsia="Times New Roman" w:cs="Calibri"/>
                <w:color w:val="414042" w:themeColor="text1"/>
                <w:szCs w:val="20"/>
                <w:lang w:eastAsia="en-AU"/>
              </w:rPr>
            </w:pPr>
          </w:p>
        </w:tc>
        <w:tc>
          <w:tcPr>
            <w:tcW w:w="984" w:type="dxa"/>
            <w:tcBorders>
              <w:top w:val="nil"/>
              <w:left w:val="nil"/>
              <w:bottom w:val="nil"/>
              <w:right w:val="nil"/>
            </w:tcBorders>
            <w:shd w:val="clear" w:color="000000" w:fill="FFFFFF"/>
            <w:vAlign w:val="center"/>
          </w:tcPr>
          <w:p w14:paraId="5E88A95A" w14:textId="77777777" w:rsidR="00FC17BC" w:rsidRPr="00DF3006" w:rsidRDefault="00FC17BC" w:rsidP="00C30C67">
            <w:pPr>
              <w:spacing w:after="0"/>
              <w:jc w:val="right"/>
              <w:rPr>
                <w:rFonts w:eastAsia="Times New Roman" w:cs="Calibri"/>
                <w:color w:val="414042" w:themeColor="text1"/>
                <w:szCs w:val="20"/>
                <w:lang w:eastAsia="en-AU"/>
              </w:rPr>
            </w:pPr>
          </w:p>
        </w:tc>
        <w:tc>
          <w:tcPr>
            <w:tcW w:w="1176" w:type="dxa"/>
            <w:tcBorders>
              <w:top w:val="nil"/>
              <w:left w:val="nil"/>
              <w:bottom w:val="nil"/>
              <w:right w:val="nil"/>
            </w:tcBorders>
            <w:shd w:val="clear" w:color="000000" w:fill="FFFFFF"/>
            <w:vAlign w:val="center"/>
          </w:tcPr>
          <w:p w14:paraId="3BD5DAEE" w14:textId="77777777" w:rsidR="00FC17BC" w:rsidRPr="00DF3006" w:rsidRDefault="00FC17BC" w:rsidP="00C30C67">
            <w:pPr>
              <w:spacing w:after="0"/>
              <w:jc w:val="right"/>
              <w:rPr>
                <w:rFonts w:eastAsia="Times New Roman" w:cs="Calibri"/>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163CB242" w14:textId="77777777" w:rsidR="00FC17BC" w:rsidRPr="00DF3006" w:rsidRDefault="00FC17BC" w:rsidP="00C30C67">
            <w:pPr>
              <w:spacing w:after="0"/>
              <w:jc w:val="right"/>
              <w:rPr>
                <w:rFonts w:eastAsia="Times New Roman" w:cs="Calibri"/>
                <w:color w:val="414042" w:themeColor="text1"/>
                <w:szCs w:val="20"/>
                <w:lang w:eastAsia="en-AU"/>
              </w:rPr>
            </w:pPr>
          </w:p>
        </w:tc>
      </w:tr>
      <w:tr w:rsidR="00DF3006" w:rsidRPr="00DF3006" w14:paraId="39B2EE9A" w14:textId="77777777" w:rsidTr="00025E55">
        <w:trPr>
          <w:trHeight w:val="300"/>
        </w:trPr>
        <w:tc>
          <w:tcPr>
            <w:tcW w:w="4253" w:type="dxa"/>
            <w:tcBorders>
              <w:top w:val="nil"/>
              <w:left w:val="nil"/>
              <w:bottom w:val="nil"/>
              <w:right w:val="nil"/>
            </w:tcBorders>
            <w:shd w:val="clear" w:color="000000" w:fill="FFFFFF"/>
            <w:noWrap/>
            <w:vAlign w:val="center"/>
            <w:hideMark/>
          </w:tcPr>
          <w:p w14:paraId="5FAF323C"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Equity</w:t>
            </w:r>
          </w:p>
        </w:tc>
        <w:tc>
          <w:tcPr>
            <w:tcW w:w="262" w:type="dxa"/>
            <w:tcBorders>
              <w:top w:val="nil"/>
              <w:left w:val="nil"/>
              <w:bottom w:val="nil"/>
              <w:right w:val="nil"/>
            </w:tcBorders>
            <w:shd w:val="clear" w:color="000000" w:fill="FFFFFF"/>
            <w:noWrap/>
            <w:vAlign w:val="center"/>
            <w:hideMark/>
          </w:tcPr>
          <w:p w14:paraId="5F270827"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706" w:type="dxa"/>
            <w:tcBorders>
              <w:top w:val="nil"/>
              <w:left w:val="nil"/>
              <w:bottom w:val="nil"/>
              <w:right w:val="nil"/>
            </w:tcBorders>
            <w:shd w:val="clear" w:color="auto" w:fill="auto"/>
          </w:tcPr>
          <w:p w14:paraId="7770B0A2"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16" w:type="dxa"/>
            <w:tcBorders>
              <w:top w:val="nil"/>
              <w:left w:val="nil"/>
              <w:bottom w:val="nil"/>
              <w:right w:val="nil"/>
            </w:tcBorders>
            <w:shd w:val="clear" w:color="auto" w:fill="D9D9D9" w:themeFill="background1" w:themeFillShade="D9"/>
            <w:vAlign w:val="center"/>
          </w:tcPr>
          <w:p w14:paraId="39352958"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84" w:type="dxa"/>
            <w:tcBorders>
              <w:top w:val="nil"/>
              <w:left w:val="nil"/>
              <w:bottom w:val="nil"/>
              <w:right w:val="nil"/>
            </w:tcBorders>
            <w:shd w:val="clear" w:color="000000" w:fill="FFFFFF"/>
            <w:vAlign w:val="center"/>
          </w:tcPr>
          <w:p w14:paraId="477FDD6D"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76" w:type="dxa"/>
            <w:tcBorders>
              <w:top w:val="nil"/>
              <w:left w:val="nil"/>
              <w:bottom w:val="nil"/>
              <w:right w:val="nil"/>
            </w:tcBorders>
            <w:shd w:val="clear" w:color="000000" w:fill="FFFFFF"/>
            <w:vAlign w:val="center"/>
          </w:tcPr>
          <w:p w14:paraId="0F5E6AE1"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992" w:type="dxa"/>
            <w:tcBorders>
              <w:top w:val="nil"/>
              <w:left w:val="nil"/>
              <w:bottom w:val="nil"/>
              <w:right w:val="nil"/>
            </w:tcBorders>
            <w:shd w:val="clear" w:color="000000" w:fill="FFFFFF"/>
            <w:noWrap/>
            <w:vAlign w:val="center"/>
            <w:hideMark/>
          </w:tcPr>
          <w:p w14:paraId="3436E9C5" w14:textId="77777777" w:rsidR="00FC17BC" w:rsidRPr="00DF3006" w:rsidRDefault="00FC17BC" w:rsidP="00C30C67">
            <w:pPr>
              <w:spacing w:after="0"/>
              <w:jc w:val="right"/>
              <w:rPr>
                <w:rFonts w:eastAsia="Times New Roman" w:cs="Calibri"/>
                <w:b/>
                <w:bCs/>
                <w:color w:val="414042" w:themeColor="text1"/>
                <w:szCs w:val="20"/>
                <w:lang w:eastAsia="en-AU"/>
              </w:rPr>
            </w:pPr>
          </w:p>
        </w:tc>
      </w:tr>
      <w:tr w:rsidR="00DF3006" w:rsidRPr="00DF3006" w14:paraId="31E712AA" w14:textId="77777777" w:rsidTr="00025E55">
        <w:trPr>
          <w:trHeight w:val="300"/>
        </w:trPr>
        <w:tc>
          <w:tcPr>
            <w:tcW w:w="4253" w:type="dxa"/>
            <w:tcBorders>
              <w:top w:val="nil"/>
              <w:left w:val="nil"/>
              <w:bottom w:val="nil"/>
              <w:right w:val="nil"/>
            </w:tcBorders>
            <w:shd w:val="clear" w:color="000000" w:fill="FFFFFF"/>
            <w:noWrap/>
            <w:vAlign w:val="center"/>
            <w:hideMark/>
          </w:tcPr>
          <w:p w14:paraId="20786117"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Contributed equity</w:t>
            </w:r>
          </w:p>
        </w:tc>
        <w:tc>
          <w:tcPr>
            <w:tcW w:w="262" w:type="dxa"/>
            <w:tcBorders>
              <w:top w:val="nil"/>
              <w:left w:val="nil"/>
              <w:bottom w:val="nil"/>
              <w:right w:val="nil"/>
            </w:tcBorders>
            <w:shd w:val="clear" w:color="000000" w:fill="FFFFFF"/>
            <w:noWrap/>
            <w:vAlign w:val="center"/>
            <w:hideMark/>
          </w:tcPr>
          <w:p w14:paraId="45316C59"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auto"/>
          </w:tcPr>
          <w:p w14:paraId="141666A1"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nil"/>
              <w:right w:val="nil"/>
            </w:tcBorders>
            <w:shd w:val="clear" w:color="auto" w:fill="D9D9D9" w:themeFill="background1" w:themeFillShade="D9"/>
            <w:vAlign w:val="center"/>
          </w:tcPr>
          <w:p w14:paraId="3A6BEF3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16,168</w:t>
            </w:r>
          </w:p>
        </w:tc>
        <w:tc>
          <w:tcPr>
            <w:tcW w:w="984" w:type="dxa"/>
            <w:tcBorders>
              <w:top w:val="nil"/>
              <w:left w:val="nil"/>
              <w:bottom w:val="nil"/>
              <w:right w:val="nil"/>
            </w:tcBorders>
            <w:shd w:val="clear" w:color="000000" w:fill="FFFFFF"/>
            <w:vAlign w:val="center"/>
          </w:tcPr>
          <w:p w14:paraId="59C55B8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16,168</w:t>
            </w:r>
          </w:p>
        </w:tc>
        <w:tc>
          <w:tcPr>
            <w:tcW w:w="1176" w:type="dxa"/>
            <w:tcBorders>
              <w:top w:val="nil"/>
              <w:left w:val="nil"/>
              <w:bottom w:val="nil"/>
              <w:right w:val="nil"/>
            </w:tcBorders>
            <w:shd w:val="clear" w:color="000000" w:fill="FFFFFF"/>
            <w:vAlign w:val="center"/>
          </w:tcPr>
          <w:p w14:paraId="0354897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92" w:type="dxa"/>
            <w:tcBorders>
              <w:top w:val="nil"/>
              <w:left w:val="nil"/>
              <w:bottom w:val="nil"/>
              <w:right w:val="nil"/>
            </w:tcBorders>
            <w:shd w:val="clear" w:color="000000" w:fill="FFFFFF"/>
            <w:noWrap/>
            <w:vAlign w:val="center"/>
            <w:hideMark/>
          </w:tcPr>
          <w:p w14:paraId="5D2A115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16,168</w:t>
            </w:r>
          </w:p>
        </w:tc>
      </w:tr>
      <w:tr w:rsidR="00DF3006" w:rsidRPr="00DF3006" w14:paraId="2FC42A0D" w14:textId="77777777" w:rsidTr="00025E55">
        <w:trPr>
          <w:trHeight w:val="315"/>
        </w:trPr>
        <w:tc>
          <w:tcPr>
            <w:tcW w:w="4253" w:type="dxa"/>
            <w:tcBorders>
              <w:top w:val="nil"/>
              <w:left w:val="nil"/>
              <w:bottom w:val="nil"/>
              <w:right w:val="nil"/>
            </w:tcBorders>
            <w:shd w:val="clear" w:color="000000" w:fill="FFFFFF"/>
            <w:noWrap/>
            <w:vAlign w:val="center"/>
            <w:hideMark/>
          </w:tcPr>
          <w:p w14:paraId="08C3E41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Accumulated surplus</w:t>
            </w:r>
          </w:p>
        </w:tc>
        <w:tc>
          <w:tcPr>
            <w:tcW w:w="262" w:type="dxa"/>
            <w:tcBorders>
              <w:top w:val="nil"/>
              <w:left w:val="nil"/>
              <w:bottom w:val="nil"/>
              <w:right w:val="nil"/>
            </w:tcBorders>
            <w:shd w:val="clear" w:color="000000" w:fill="FFFFFF"/>
            <w:noWrap/>
            <w:vAlign w:val="center"/>
            <w:hideMark/>
          </w:tcPr>
          <w:p w14:paraId="5E131D00"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auto"/>
          </w:tcPr>
          <w:p w14:paraId="1E4C7B7E" w14:textId="77777777" w:rsidR="00FC17BC" w:rsidRPr="00DF3006" w:rsidRDefault="00FC17BC" w:rsidP="00C30C67">
            <w:pPr>
              <w:spacing w:after="0"/>
              <w:jc w:val="right"/>
              <w:rPr>
                <w:rFonts w:eastAsia="Times New Roman" w:cs="Calibri"/>
                <w:color w:val="414042" w:themeColor="text1"/>
                <w:szCs w:val="20"/>
                <w:lang w:eastAsia="en-AU"/>
              </w:rPr>
            </w:pPr>
          </w:p>
        </w:tc>
        <w:tc>
          <w:tcPr>
            <w:tcW w:w="1016" w:type="dxa"/>
            <w:tcBorders>
              <w:top w:val="nil"/>
              <w:left w:val="nil"/>
              <w:bottom w:val="single" w:sz="8" w:space="0" w:color="auto"/>
              <w:right w:val="nil"/>
            </w:tcBorders>
            <w:shd w:val="clear" w:color="auto" w:fill="D9D9D9" w:themeFill="background1" w:themeFillShade="D9"/>
            <w:vAlign w:val="center"/>
          </w:tcPr>
          <w:p w14:paraId="772A593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13,843</w:t>
            </w:r>
          </w:p>
        </w:tc>
        <w:tc>
          <w:tcPr>
            <w:tcW w:w="984" w:type="dxa"/>
            <w:tcBorders>
              <w:top w:val="nil"/>
              <w:left w:val="nil"/>
              <w:bottom w:val="single" w:sz="8" w:space="0" w:color="auto"/>
              <w:right w:val="nil"/>
            </w:tcBorders>
            <w:shd w:val="clear" w:color="000000" w:fill="FFFFFF"/>
            <w:vAlign w:val="center"/>
          </w:tcPr>
          <w:p w14:paraId="2EADF8B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7,598</w:t>
            </w:r>
          </w:p>
        </w:tc>
        <w:tc>
          <w:tcPr>
            <w:tcW w:w="1176" w:type="dxa"/>
            <w:tcBorders>
              <w:top w:val="nil"/>
              <w:left w:val="nil"/>
              <w:bottom w:val="single" w:sz="8" w:space="0" w:color="auto"/>
              <w:right w:val="nil"/>
            </w:tcBorders>
            <w:shd w:val="clear" w:color="000000" w:fill="FFFFFF"/>
            <w:vAlign w:val="center"/>
          </w:tcPr>
          <w:p w14:paraId="632B34A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6,245</w:t>
            </w:r>
          </w:p>
        </w:tc>
        <w:tc>
          <w:tcPr>
            <w:tcW w:w="992" w:type="dxa"/>
            <w:tcBorders>
              <w:top w:val="nil"/>
              <w:left w:val="nil"/>
              <w:bottom w:val="single" w:sz="8" w:space="0" w:color="auto"/>
              <w:right w:val="nil"/>
            </w:tcBorders>
            <w:shd w:val="clear" w:color="000000" w:fill="FFFFFF"/>
            <w:noWrap/>
            <w:vAlign w:val="center"/>
            <w:hideMark/>
          </w:tcPr>
          <w:p w14:paraId="0B90095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7,412</w:t>
            </w:r>
          </w:p>
        </w:tc>
      </w:tr>
      <w:tr w:rsidR="00DF3006" w:rsidRPr="00DF3006" w14:paraId="2F1F810E" w14:textId="77777777" w:rsidTr="00025E55">
        <w:trPr>
          <w:trHeight w:val="315"/>
        </w:trPr>
        <w:tc>
          <w:tcPr>
            <w:tcW w:w="4253" w:type="dxa"/>
            <w:tcBorders>
              <w:top w:val="nil"/>
              <w:left w:val="nil"/>
              <w:bottom w:val="nil"/>
              <w:right w:val="nil"/>
            </w:tcBorders>
            <w:shd w:val="clear" w:color="000000" w:fill="FFFFFF"/>
            <w:noWrap/>
            <w:vAlign w:val="center"/>
            <w:hideMark/>
          </w:tcPr>
          <w:p w14:paraId="138DF277"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 Equity</w:t>
            </w:r>
          </w:p>
        </w:tc>
        <w:tc>
          <w:tcPr>
            <w:tcW w:w="262" w:type="dxa"/>
            <w:tcBorders>
              <w:top w:val="nil"/>
              <w:left w:val="nil"/>
              <w:bottom w:val="nil"/>
              <w:right w:val="nil"/>
            </w:tcBorders>
            <w:shd w:val="clear" w:color="000000" w:fill="FFFFFF"/>
            <w:noWrap/>
            <w:vAlign w:val="center"/>
            <w:hideMark/>
          </w:tcPr>
          <w:p w14:paraId="479B8C7B"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auto"/>
          </w:tcPr>
          <w:p w14:paraId="35692EF0"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16" w:type="dxa"/>
            <w:tcBorders>
              <w:top w:val="nil"/>
              <w:left w:val="nil"/>
              <w:bottom w:val="double" w:sz="6" w:space="0" w:color="auto"/>
              <w:right w:val="nil"/>
            </w:tcBorders>
            <w:shd w:val="clear" w:color="auto" w:fill="D9D9D9" w:themeFill="background1" w:themeFillShade="D9"/>
            <w:vAlign w:val="center"/>
          </w:tcPr>
          <w:p w14:paraId="1F3A886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30,011</w:t>
            </w:r>
          </w:p>
        </w:tc>
        <w:tc>
          <w:tcPr>
            <w:tcW w:w="984" w:type="dxa"/>
            <w:tcBorders>
              <w:top w:val="nil"/>
              <w:left w:val="nil"/>
              <w:bottom w:val="double" w:sz="6" w:space="0" w:color="auto"/>
              <w:right w:val="nil"/>
            </w:tcBorders>
            <w:shd w:val="clear" w:color="000000" w:fill="FFFFFF"/>
            <w:vAlign w:val="center"/>
          </w:tcPr>
          <w:p w14:paraId="238EA6E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23,766</w:t>
            </w:r>
          </w:p>
        </w:tc>
        <w:tc>
          <w:tcPr>
            <w:tcW w:w="1176" w:type="dxa"/>
            <w:tcBorders>
              <w:top w:val="nil"/>
              <w:left w:val="nil"/>
              <w:bottom w:val="double" w:sz="6" w:space="0" w:color="auto"/>
              <w:right w:val="nil"/>
            </w:tcBorders>
            <w:shd w:val="clear" w:color="000000" w:fill="FFFFFF"/>
            <w:vAlign w:val="center"/>
          </w:tcPr>
          <w:p w14:paraId="32A52E67"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6,245</w:t>
            </w:r>
          </w:p>
        </w:tc>
        <w:tc>
          <w:tcPr>
            <w:tcW w:w="992" w:type="dxa"/>
            <w:tcBorders>
              <w:top w:val="nil"/>
              <w:left w:val="nil"/>
              <w:bottom w:val="double" w:sz="6" w:space="0" w:color="auto"/>
              <w:right w:val="nil"/>
            </w:tcBorders>
            <w:shd w:val="clear" w:color="000000" w:fill="FFFFFF"/>
            <w:vAlign w:val="center"/>
            <w:hideMark/>
          </w:tcPr>
          <w:p w14:paraId="05F1FA6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23,580</w:t>
            </w:r>
          </w:p>
        </w:tc>
      </w:tr>
    </w:tbl>
    <w:p w14:paraId="66A6CECD" w14:textId="77777777" w:rsidR="00FC17BC" w:rsidRPr="00DF3006" w:rsidRDefault="00FC17BC" w:rsidP="00FC17BC">
      <w:pPr>
        <w:pStyle w:val="Notes"/>
        <w:rPr>
          <w:i/>
        </w:rPr>
      </w:pPr>
    </w:p>
    <w:p w14:paraId="28586AB6" w14:textId="77777777" w:rsidR="00FC17BC" w:rsidRPr="00DF3006" w:rsidRDefault="00FC17BC" w:rsidP="00FC17BC">
      <w:pPr>
        <w:tabs>
          <w:tab w:val="left" w:pos="4500"/>
        </w:tabs>
        <w:rPr>
          <w:rFonts w:cs="Arial"/>
          <w:i/>
          <w:color w:val="414042" w:themeColor="text1"/>
          <w:sz w:val="17"/>
          <w:szCs w:val="17"/>
        </w:rPr>
      </w:pPr>
      <w:r w:rsidRPr="00DF3006">
        <w:rPr>
          <w:rFonts w:cs="Arial"/>
          <w:i/>
          <w:color w:val="414042" w:themeColor="text1"/>
          <w:sz w:val="17"/>
          <w:szCs w:val="17"/>
        </w:rPr>
        <w:t>* An explanation of major variances is included at Note 19.</w:t>
      </w:r>
    </w:p>
    <w:p w14:paraId="63029298" w14:textId="77777777" w:rsidR="00FC17BC" w:rsidRPr="00DF3006" w:rsidRDefault="00FC17BC" w:rsidP="00FC17BC">
      <w:pPr>
        <w:pStyle w:val="Notes"/>
        <w:rPr>
          <w:i/>
          <w:szCs w:val="17"/>
        </w:rPr>
      </w:pPr>
      <w:r w:rsidRPr="00DF3006">
        <w:rPr>
          <w:i/>
        </w:rPr>
        <w:t>The accompanying notes form part of these statements.</w:t>
      </w:r>
      <w:r w:rsidRPr="00DF3006">
        <w:rPr>
          <w:i/>
          <w:szCs w:val="17"/>
        </w:rPr>
        <w:br w:type="page"/>
      </w:r>
    </w:p>
    <w:p w14:paraId="74BEC02F" w14:textId="77777777" w:rsidR="00FC17BC" w:rsidRPr="00DF3006" w:rsidRDefault="00FC17BC" w:rsidP="00FC17BC">
      <w:pPr>
        <w:tabs>
          <w:tab w:val="left" w:pos="4500"/>
        </w:tabs>
        <w:rPr>
          <w:rFonts w:cs="Arial"/>
          <w:i/>
          <w:color w:val="414042" w:themeColor="text1"/>
          <w:sz w:val="17"/>
          <w:szCs w:val="17"/>
        </w:rPr>
        <w:sectPr w:rsidR="00FC17BC" w:rsidRPr="00DF3006" w:rsidSect="00FD0FB1">
          <w:headerReference w:type="even" r:id="rId324"/>
          <w:headerReference w:type="default" r:id="rId325"/>
          <w:headerReference w:type="first" r:id="rId326"/>
          <w:pgSz w:w="11906" w:h="16838"/>
          <w:pgMar w:top="2155" w:right="1134" w:bottom="964" w:left="1134" w:header="720" w:footer="283" w:gutter="0"/>
          <w:cols w:space="708"/>
          <w:docGrid w:linePitch="360"/>
        </w:sectPr>
      </w:pPr>
    </w:p>
    <w:tbl>
      <w:tblPr>
        <w:tblW w:w="9260" w:type="dxa"/>
        <w:tblLook w:val="04A0" w:firstRow="1" w:lastRow="0" w:firstColumn="1" w:lastColumn="0" w:noHBand="0" w:noVBand="1"/>
      </w:tblPr>
      <w:tblGrid>
        <w:gridCol w:w="4280"/>
        <w:gridCol w:w="1660"/>
        <w:gridCol w:w="1660"/>
        <w:gridCol w:w="1660"/>
      </w:tblGrid>
      <w:tr w:rsidR="00DF3006" w:rsidRPr="00DF3006" w14:paraId="65149844" w14:textId="77777777" w:rsidTr="00025E55">
        <w:trPr>
          <w:trHeight w:val="300"/>
        </w:trPr>
        <w:tc>
          <w:tcPr>
            <w:tcW w:w="4280" w:type="dxa"/>
            <w:tcBorders>
              <w:top w:val="nil"/>
              <w:left w:val="nil"/>
              <w:bottom w:val="nil"/>
              <w:right w:val="nil"/>
            </w:tcBorders>
            <w:shd w:val="clear" w:color="000000" w:fill="FFFFFF"/>
            <w:hideMark/>
          </w:tcPr>
          <w:p w14:paraId="289493D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hideMark/>
          </w:tcPr>
          <w:p w14:paraId="66F7A412"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660" w:type="dxa"/>
            <w:tcBorders>
              <w:top w:val="nil"/>
              <w:left w:val="nil"/>
              <w:bottom w:val="nil"/>
              <w:right w:val="nil"/>
            </w:tcBorders>
            <w:shd w:val="clear" w:color="000000" w:fill="FFFFFF"/>
            <w:hideMark/>
          </w:tcPr>
          <w:p w14:paraId="455E3D00"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660" w:type="dxa"/>
            <w:tcBorders>
              <w:top w:val="nil"/>
              <w:left w:val="nil"/>
              <w:bottom w:val="nil"/>
              <w:right w:val="nil"/>
            </w:tcBorders>
            <w:shd w:val="clear" w:color="000000" w:fill="FFFFFF"/>
            <w:hideMark/>
          </w:tcPr>
          <w:p w14:paraId="4B570982" w14:textId="77777777" w:rsidR="00FC17BC" w:rsidRPr="00DF3006" w:rsidRDefault="00FC17BC" w:rsidP="00C30C67">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518ACCFD" w14:textId="77777777" w:rsidTr="00025E55">
        <w:trPr>
          <w:trHeight w:val="510"/>
        </w:trPr>
        <w:tc>
          <w:tcPr>
            <w:tcW w:w="4280" w:type="dxa"/>
            <w:tcBorders>
              <w:top w:val="nil"/>
              <w:left w:val="nil"/>
              <w:bottom w:val="nil"/>
              <w:right w:val="nil"/>
            </w:tcBorders>
            <w:shd w:val="clear" w:color="000000" w:fill="FFFFFF"/>
            <w:hideMark/>
          </w:tcPr>
          <w:p w14:paraId="622252F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hideMark/>
          </w:tcPr>
          <w:p w14:paraId="59D523D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Accumulated Surplus</w:t>
            </w:r>
          </w:p>
        </w:tc>
        <w:tc>
          <w:tcPr>
            <w:tcW w:w="1660" w:type="dxa"/>
            <w:tcBorders>
              <w:top w:val="nil"/>
              <w:left w:val="nil"/>
              <w:bottom w:val="nil"/>
              <w:right w:val="nil"/>
            </w:tcBorders>
            <w:shd w:val="clear" w:color="000000" w:fill="FFFFFF"/>
            <w:hideMark/>
          </w:tcPr>
          <w:p w14:paraId="60CD011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Contributed </w:t>
            </w:r>
            <w:r w:rsidRPr="00DF3006">
              <w:rPr>
                <w:rFonts w:eastAsia="Times New Roman" w:cstheme="minorHAnsi"/>
                <w:b/>
                <w:bCs/>
                <w:color w:val="414042" w:themeColor="text1"/>
                <w:szCs w:val="20"/>
                <w:lang w:eastAsia="en-AU"/>
              </w:rPr>
              <w:br/>
              <w:t>Equity</w:t>
            </w:r>
          </w:p>
        </w:tc>
        <w:tc>
          <w:tcPr>
            <w:tcW w:w="1660" w:type="dxa"/>
            <w:tcBorders>
              <w:top w:val="nil"/>
              <w:left w:val="nil"/>
              <w:bottom w:val="nil"/>
              <w:right w:val="nil"/>
            </w:tcBorders>
            <w:shd w:val="clear" w:color="000000" w:fill="FFFFFF"/>
            <w:hideMark/>
          </w:tcPr>
          <w:p w14:paraId="33AEBCB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                TOTAL</w:t>
            </w:r>
          </w:p>
        </w:tc>
      </w:tr>
      <w:tr w:rsidR="00DF3006" w:rsidRPr="00DF3006" w14:paraId="549C46A9" w14:textId="77777777" w:rsidTr="00025E55">
        <w:trPr>
          <w:trHeight w:val="255"/>
        </w:trPr>
        <w:tc>
          <w:tcPr>
            <w:tcW w:w="4280" w:type="dxa"/>
            <w:tcBorders>
              <w:top w:val="nil"/>
              <w:left w:val="nil"/>
              <w:bottom w:val="nil"/>
              <w:right w:val="nil"/>
            </w:tcBorders>
            <w:shd w:val="clear" w:color="000000" w:fill="FFFFFF"/>
            <w:vAlign w:val="bottom"/>
            <w:hideMark/>
          </w:tcPr>
          <w:p w14:paraId="54E6E03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3833D9A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$’000</w:t>
            </w:r>
          </w:p>
        </w:tc>
        <w:tc>
          <w:tcPr>
            <w:tcW w:w="1660" w:type="dxa"/>
            <w:tcBorders>
              <w:top w:val="nil"/>
              <w:left w:val="nil"/>
              <w:bottom w:val="nil"/>
              <w:right w:val="nil"/>
            </w:tcBorders>
            <w:shd w:val="clear" w:color="000000" w:fill="FFFFFF"/>
            <w:vAlign w:val="bottom"/>
            <w:hideMark/>
          </w:tcPr>
          <w:p w14:paraId="383175F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$’000</w:t>
            </w:r>
          </w:p>
        </w:tc>
        <w:tc>
          <w:tcPr>
            <w:tcW w:w="1660" w:type="dxa"/>
            <w:tcBorders>
              <w:top w:val="nil"/>
              <w:left w:val="nil"/>
              <w:bottom w:val="nil"/>
              <w:right w:val="nil"/>
            </w:tcBorders>
            <w:shd w:val="clear" w:color="000000" w:fill="FFFFFF"/>
            <w:vAlign w:val="bottom"/>
            <w:hideMark/>
          </w:tcPr>
          <w:p w14:paraId="5C877B9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$’000</w:t>
            </w:r>
          </w:p>
        </w:tc>
      </w:tr>
      <w:tr w:rsidR="00DF3006" w:rsidRPr="00DF3006" w14:paraId="3C1A605B" w14:textId="77777777" w:rsidTr="00025E55">
        <w:trPr>
          <w:trHeight w:val="255"/>
        </w:trPr>
        <w:tc>
          <w:tcPr>
            <w:tcW w:w="4280" w:type="dxa"/>
            <w:tcBorders>
              <w:top w:val="nil"/>
              <w:left w:val="nil"/>
              <w:bottom w:val="nil"/>
              <w:right w:val="nil"/>
            </w:tcBorders>
            <w:shd w:val="clear" w:color="000000" w:fill="FFFFFF"/>
            <w:vAlign w:val="bottom"/>
            <w:hideMark/>
          </w:tcPr>
          <w:p w14:paraId="0A4FAB3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2D6762EC"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vAlign w:val="bottom"/>
            <w:hideMark/>
          </w:tcPr>
          <w:p w14:paraId="724AD5B1"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hideMark/>
          </w:tcPr>
          <w:p w14:paraId="3BF4DEF6"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r w:rsidR="00DF3006" w:rsidRPr="00DF3006" w14:paraId="0E042538" w14:textId="77777777" w:rsidTr="00025E55">
        <w:trPr>
          <w:trHeight w:val="255"/>
        </w:trPr>
        <w:tc>
          <w:tcPr>
            <w:tcW w:w="4280" w:type="dxa"/>
            <w:tcBorders>
              <w:top w:val="nil"/>
              <w:left w:val="nil"/>
              <w:bottom w:val="nil"/>
              <w:right w:val="nil"/>
            </w:tcBorders>
            <w:shd w:val="clear" w:color="000000" w:fill="FFFFFF"/>
            <w:vAlign w:val="bottom"/>
            <w:hideMark/>
          </w:tcPr>
          <w:p w14:paraId="5AEF467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28703BE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74B69E2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1CDE0F7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r>
      <w:tr w:rsidR="00DF3006" w:rsidRPr="00DF3006" w14:paraId="7B37B1BC" w14:textId="77777777" w:rsidTr="00025E55">
        <w:trPr>
          <w:trHeight w:val="255"/>
        </w:trPr>
        <w:tc>
          <w:tcPr>
            <w:tcW w:w="4280" w:type="dxa"/>
            <w:tcBorders>
              <w:top w:val="nil"/>
              <w:left w:val="nil"/>
              <w:bottom w:val="nil"/>
              <w:right w:val="nil"/>
            </w:tcBorders>
            <w:shd w:val="clear" w:color="000000" w:fill="FFFFFF"/>
            <w:vAlign w:val="bottom"/>
            <w:hideMark/>
          </w:tcPr>
          <w:p w14:paraId="501498C7"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Balance as </w:t>
            </w:r>
            <w:proofErr w:type="gramStart"/>
            <w:r w:rsidRPr="00DF3006">
              <w:rPr>
                <w:rFonts w:eastAsia="Times New Roman" w:cstheme="minorHAnsi"/>
                <w:b/>
                <w:bCs/>
                <w:color w:val="414042" w:themeColor="text1"/>
                <w:szCs w:val="20"/>
                <w:lang w:eastAsia="en-AU"/>
              </w:rPr>
              <w:t>at</w:t>
            </w:r>
            <w:proofErr w:type="gramEnd"/>
            <w:r w:rsidRPr="00DF3006">
              <w:rPr>
                <w:rFonts w:eastAsia="Times New Roman" w:cstheme="minorHAnsi"/>
                <w:b/>
                <w:bCs/>
                <w:color w:val="414042" w:themeColor="text1"/>
                <w:szCs w:val="20"/>
                <w:lang w:eastAsia="en-AU"/>
              </w:rPr>
              <w:t xml:space="preserve"> 1 July 2021</w:t>
            </w:r>
          </w:p>
        </w:tc>
        <w:tc>
          <w:tcPr>
            <w:tcW w:w="1660" w:type="dxa"/>
            <w:tcBorders>
              <w:top w:val="nil"/>
              <w:left w:val="nil"/>
              <w:bottom w:val="nil"/>
              <w:right w:val="nil"/>
            </w:tcBorders>
            <w:shd w:val="clear" w:color="000000" w:fill="FFFFFF"/>
            <w:vAlign w:val="bottom"/>
            <w:hideMark/>
          </w:tcPr>
          <w:p w14:paraId="4135F66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7,963</w:t>
            </w:r>
          </w:p>
        </w:tc>
        <w:tc>
          <w:tcPr>
            <w:tcW w:w="1660" w:type="dxa"/>
            <w:tcBorders>
              <w:top w:val="nil"/>
              <w:left w:val="nil"/>
              <w:bottom w:val="nil"/>
              <w:right w:val="nil"/>
            </w:tcBorders>
            <w:shd w:val="clear" w:color="000000" w:fill="FFFFFF"/>
            <w:vAlign w:val="bottom"/>
            <w:hideMark/>
          </w:tcPr>
          <w:p w14:paraId="4E3B1E7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16,168</w:t>
            </w:r>
          </w:p>
        </w:tc>
        <w:tc>
          <w:tcPr>
            <w:tcW w:w="1660" w:type="dxa"/>
            <w:tcBorders>
              <w:top w:val="nil"/>
              <w:left w:val="nil"/>
              <w:bottom w:val="nil"/>
              <w:right w:val="nil"/>
            </w:tcBorders>
            <w:shd w:val="clear" w:color="000000" w:fill="FFFFFF"/>
            <w:vAlign w:val="bottom"/>
            <w:hideMark/>
          </w:tcPr>
          <w:p w14:paraId="4D0CB2E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24,131</w:t>
            </w:r>
          </w:p>
        </w:tc>
      </w:tr>
      <w:tr w:rsidR="00DF3006" w:rsidRPr="00DF3006" w14:paraId="13155BB0" w14:textId="77777777" w:rsidTr="00025E55">
        <w:trPr>
          <w:trHeight w:val="255"/>
        </w:trPr>
        <w:tc>
          <w:tcPr>
            <w:tcW w:w="4280" w:type="dxa"/>
            <w:tcBorders>
              <w:top w:val="nil"/>
              <w:left w:val="nil"/>
              <w:bottom w:val="nil"/>
              <w:right w:val="nil"/>
            </w:tcBorders>
            <w:shd w:val="clear" w:color="000000" w:fill="FFFFFF"/>
            <w:vAlign w:val="bottom"/>
            <w:hideMark/>
          </w:tcPr>
          <w:p w14:paraId="22AA827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025CE5B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40E5F52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50F99D5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r>
      <w:tr w:rsidR="00DF3006" w:rsidRPr="00DF3006" w14:paraId="6606A34C" w14:textId="77777777" w:rsidTr="00025E55">
        <w:trPr>
          <w:trHeight w:val="255"/>
        </w:trPr>
        <w:tc>
          <w:tcPr>
            <w:tcW w:w="4280" w:type="dxa"/>
            <w:tcBorders>
              <w:top w:val="nil"/>
              <w:left w:val="nil"/>
              <w:bottom w:val="nil"/>
              <w:right w:val="nil"/>
            </w:tcBorders>
            <w:shd w:val="clear" w:color="000000" w:fill="FFFFFF"/>
            <w:vAlign w:val="bottom"/>
            <w:hideMark/>
          </w:tcPr>
          <w:p w14:paraId="356B1CF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6942379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(551)</w:t>
            </w:r>
          </w:p>
        </w:tc>
        <w:tc>
          <w:tcPr>
            <w:tcW w:w="1660" w:type="dxa"/>
            <w:tcBorders>
              <w:top w:val="nil"/>
              <w:left w:val="nil"/>
              <w:bottom w:val="nil"/>
              <w:right w:val="nil"/>
            </w:tcBorders>
            <w:shd w:val="clear" w:color="000000" w:fill="FFFFFF"/>
            <w:noWrap/>
            <w:vAlign w:val="center"/>
            <w:hideMark/>
          </w:tcPr>
          <w:p w14:paraId="2C5CA21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w:t>
            </w:r>
          </w:p>
        </w:tc>
        <w:tc>
          <w:tcPr>
            <w:tcW w:w="1660" w:type="dxa"/>
            <w:tcBorders>
              <w:top w:val="nil"/>
              <w:left w:val="nil"/>
              <w:bottom w:val="nil"/>
              <w:right w:val="nil"/>
            </w:tcBorders>
            <w:shd w:val="clear" w:color="000000" w:fill="FFFFFF"/>
            <w:vAlign w:val="bottom"/>
            <w:hideMark/>
          </w:tcPr>
          <w:p w14:paraId="78C2D8D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(551)</w:t>
            </w:r>
          </w:p>
        </w:tc>
      </w:tr>
      <w:tr w:rsidR="00DF3006" w:rsidRPr="00DF3006" w14:paraId="177F7278" w14:textId="77777777" w:rsidTr="00025E55">
        <w:trPr>
          <w:trHeight w:val="255"/>
        </w:trPr>
        <w:tc>
          <w:tcPr>
            <w:tcW w:w="4280" w:type="dxa"/>
            <w:tcBorders>
              <w:top w:val="nil"/>
              <w:left w:val="nil"/>
              <w:bottom w:val="nil"/>
              <w:right w:val="nil"/>
            </w:tcBorders>
            <w:shd w:val="clear" w:color="000000" w:fill="FFFFFF"/>
            <w:vAlign w:val="bottom"/>
          </w:tcPr>
          <w:p w14:paraId="27B3951E" w14:textId="77777777" w:rsidR="00FC17BC" w:rsidRPr="00DF3006" w:rsidRDefault="00FC17BC" w:rsidP="00C30C67">
            <w:pPr>
              <w:spacing w:after="0"/>
              <w:rPr>
                <w:rFonts w:eastAsia="Times New Roman" w:cstheme="minorHAnsi"/>
                <w:color w:val="414042" w:themeColor="text1"/>
                <w:szCs w:val="20"/>
                <w:lang w:eastAsia="en-AU"/>
              </w:rPr>
            </w:pPr>
          </w:p>
        </w:tc>
        <w:tc>
          <w:tcPr>
            <w:tcW w:w="1660" w:type="dxa"/>
            <w:tcBorders>
              <w:top w:val="nil"/>
              <w:left w:val="nil"/>
              <w:bottom w:val="nil"/>
              <w:right w:val="nil"/>
            </w:tcBorders>
            <w:shd w:val="clear" w:color="000000" w:fill="FFFFFF"/>
            <w:vAlign w:val="bottom"/>
          </w:tcPr>
          <w:p w14:paraId="2F6C7910" w14:textId="77777777" w:rsidR="00FC17BC" w:rsidRPr="00DF3006" w:rsidRDefault="00FC17BC" w:rsidP="00C30C67">
            <w:pPr>
              <w:spacing w:after="0"/>
              <w:jc w:val="right"/>
              <w:rPr>
                <w:rFonts w:eastAsia="Times New Roman" w:cstheme="minorHAns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noWrap/>
            <w:vAlign w:val="bottom"/>
          </w:tcPr>
          <w:p w14:paraId="6F6D3A7E" w14:textId="77777777" w:rsidR="00FC17BC" w:rsidRPr="00DF3006" w:rsidRDefault="00FC17BC" w:rsidP="00C30C67">
            <w:pPr>
              <w:spacing w:after="0"/>
              <w:jc w:val="right"/>
              <w:rPr>
                <w:rFonts w:eastAsia="Times New Roman" w:cstheme="minorHAns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vAlign w:val="bottom"/>
          </w:tcPr>
          <w:p w14:paraId="4C69F241" w14:textId="77777777" w:rsidR="00FC17BC" w:rsidRPr="00DF3006" w:rsidRDefault="00FC17BC" w:rsidP="00C30C67">
            <w:pPr>
              <w:spacing w:after="0"/>
              <w:jc w:val="right"/>
              <w:rPr>
                <w:rFonts w:eastAsia="Times New Roman" w:cstheme="minorHAns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226BB82F" w14:textId="77777777" w:rsidTr="00025E55">
        <w:trPr>
          <w:trHeight w:val="255"/>
        </w:trPr>
        <w:tc>
          <w:tcPr>
            <w:tcW w:w="4280" w:type="dxa"/>
            <w:tcBorders>
              <w:top w:val="nil"/>
              <w:left w:val="nil"/>
              <w:bottom w:val="nil"/>
              <w:right w:val="nil"/>
            </w:tcBorders>
            <w:shd w:val="clear" w:color="000000" w:fill="FFFFFF"/>
            <w:noWrap/>
            <w:hideMark/>
          </w:tcPr>
          <w:p w14:paraId="0F572AAE"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1E0D1AD2"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noWrap/>
            <w:vAlign w:val="bottom"/>
            <w:hideMark/>
          </w:tcPr>
          <w:p w14:paraId="77CABA4F"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noWrap/>
            <w:vAlign w:val="bottom"/>
            <w:hideMark/>
          </w:tcPr>
          <w:p w14:paraId="375A689A"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theme="minorHAnsi"/>
                <w:color w:val="414042" w:themeColor="text1"/>
                <w:szCs w:val="20"/>
                <w:lang w:eastAsia="en-AU"/>
              </w:rPr>
              <w:t> </w:t>
            </w:r>
          </w:p>
        </w:tc>
      </w:tr>
      <w:tr w:rsidR="00DF3006" w:rsidRPr="00DF3006" w14:paraId="78F93917" w14:textId="77777777" w:rsidTr="00025E55">
        <w:trPr>
          <w:trHeight w:val="255"/>
        </w:trPr>
        <w:tc>
          <w:tcPr>
            <w:tcW w:w="4280" w:type="dxa"/>
            <w:tcBorders>
              <w:top w:val="nil"/>
              <w:left w:val="nil"/>
              <w:bottom w:val="nil"/>
              <w:right w:val="nil"/>
            </w:tcBorders>
            <w:shd w:val="clear" w:color="000000" w:fill="FFFFFF"/>
            <w:vAlign w:val="bottom"/>
            <w:hideMark/>
          </w:tcPr>
          <w:p w14:paraId="1985AD8E"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Balance as </w:t>
            </w:r>
            <w:proofErr w:type="gramStart"/>
            <w:r w:rsidRPr="00DF3006">
              <w:rPr>
                <w:rFonts w:eastAsia="Times New Roman" w:cstheme="minorHAnsi"/>
                <w:b/>
                <w:bCs/>
                <w:color w:val="414042" w:themeColor="text1"/>
                <w:szCs w:val="20"/>
                <w:lang w:eastAsia="en-AU"/>
              </w:rPr>
              <w:t>at</w:t>
            </w:r>
            <w:proofErr w:type="gramEnd"/>
            <w:r w:rsidRPr="00DF3006">
              <w:rPr>
                <w:rFonts w:eastAsia="Times New Roman" w:cstheme="minorHAnsi"/>
                <w:b/>
                <w:bCs/>
                <w:color w:val="414042" w:themeColor="text1"/>
                <w:szCs w:val="20"/>
                <w:lang w:eastAsia="en-AU"/>
              </w:rPr>
              <w:t xml:space="preserve"> 30 June 2022</w:t>
            </w:r>
          </w:p>
        </w:tc>
        <w:tc>
          <w:tcPr>
            <w:tcW w:w="1660" w:type="dxa"/>
            <w:tcBorders>
              <w:top w:val="single" w:sz="8" w:space="0" w:color="auto"/>
              <w:left w:val="nil"/>
              <w:bottom w:val="double" w:sz="6" w:space="0" w:color="auto"/>
              <w:right w:val="nil"/>
            </w:tcBorders>
            <w:shd w:val="clear" w:color="000000" w:fill="FFFFFF"/>
            <w:vAlign w:val="bottom"/>
            <w:hideMark/>
          </w:tcPr>
          <w:p w14:paraId="385FE93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7,412</w:t>
            </w:r>
          </w:p>
        </w:tc>
        <w:tc>
          <w:tcPr>
            <w:tcW w:w="1660" w:type="dxa"/>
            <w:tcBorders>
              <w:top w:val="single" w:sz="8" w:space="0" w:color="auto"/>
              <w:left w:val="nil"/>
              <w:bottom w:val="double" w:sz="6" w:space="0" w:color="auto"/>
              <w:right w:val="nil"/>
            </w:tcBorders>
            <w:shd w:val="clear" w:color="000000" w:fill="FFFFFF"/>
            <w:vAlign w:val="bottom"/>
            <w:hideMark/>
          </w:tcPr>
          <w:p w14:paraId="5281D70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16,168</w:t>
            </w:r>
          </w:p>
        </w:tc>
        <w:tc>
          <w:tcPr>
            <w:tcW w:w="1660" w:type="dxa"/>
            <w:tcBorders>
              <w:top w:val="single" w:sz="8" w:space="0" w:color="auto"/>
              <w:left w:val="nil"/>
              <w:bottom w:val="double" w:sz="6" w:space="0" w:color="auto"/>
              <w:right w:val="nil"/>
            </w:tcBorders>
            <w:shd w:val="clear" w:color="000000" w:fill="FFFFFF"/>
            <w:vAlign w:val="bottom"/>
            <w:hideMark/>
          </w:tcPr>
          <w:p w14:paraId="5A22829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23,580</w:t>
            </w:r>
          </w:p>
        </w:tc>
      </w:tr>
      <w:tr w:rsidR="00DF3006" w:rsidRPr="00DF3006" w14:paraId="406E15AD" w14:textId="77777777" w:rsidTr="00025E55">
        <w:trPr>
          <w:trHeight w:val="255"/>
        </w:trPr>
        <w:tc>
          <w:tcPr>
            <w:tcW w:w="4280" w:type="dxa"/>
            <w:tcBorders>
              <w:top w:val="nil"/>
              <w:left w:val="nil"/>
              <w:bottom w:val="nil"/>
              <w:right w:val="nil"/>
            </w:tcBorders>
            <w:shd w:val="clear" w:color="000000" w:fill="FFFFFF"/>
            <w:vAlign w:val="bottom"/>
            <w:hideMark/>
          </w:tcPr>
          <w:p w14:paraId="0C101DD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6154BB8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0AAA493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41C868E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r>
      <w:tr w:rsidR="00DF3006" w:rsidRPr="00DF3006" w14:paraId="41A29D7F" w14:textId="77777777" w:rsidTr="00025E55">
        <w:trPr>
          <w:trHeight w:val="255"/>
        </w:trPr>
        <w:tc>
          <w:tcPr>
            <w:tcW w:w="4280" w:type="dxa"/>
            <w:tcBorders>
              <w:top w:val="nil"/>
              <w:left w:val="nil"/>
              <w:bottom w:val="nil"/>
              <w:right w:val="nil"/>
            </w:tcBorders>
            <w:shd w:val="clear" w:color="000000" w:fill="FFFFFF"/>
            <w:noWrap/>
            <w:vAlign w:val="bottom"/>
            <w:hideMark/>
          </w:tcPr>
          <w:p w14:paraId="5A4275EC"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noWrap/>
            <w:vAlign w:val="bottom"/>
            <w:hideMark/>
          </w:tcPr>
          <w:p w14:paraId="42B2C40A"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5F177D49"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232E4891"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r w:rsidR="00DF3006" w:rsidRPr="00DF3006" w14:paraId="33CD3804" w14:textId="77777777" w:rsidTr="00025E55">
        <w:trPr>
          <w:trHeight w:val="255"/>
        </w:trPr>
        <w:tc>
          <w:tcPr>
            <w:tcW w:w="4280" w:type="dxa"/>
            <w:tcBorders>
              <w:top w:val="nil"/>
              <w:left w:val="nil"/>
              <w:bottom w:val="nil"/>
              <w:right w:val="nil"/>
            </w:tcBorders>
            <w:shd w:val="clear" w:color="000000" w:fill="FFFFFF"/>
            <w:noWrap/>
            <w:vAlign w:val="bottom"/>
            <w:hideMark/>
          </w:tcPr>
          <w:p w14:paraId="1680DB2B"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noWrap/>
            <w:vAlign w:val="bottom"/>
            <w:hideMark/>
          </w:tcPr>
          <w:p w14:paraId="6864C5C7"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7D04563B"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2A6D07B3"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r w:rsidR="00DF3006" w:rsidRPr="00DF3006" w14:paraId="6F103B57" w14:textId="77777777" w:rsidTr="00025E55">
        <w:trPr>
          <w:trHeight w:val="255"/>
        </w:trPr>
        <w:tc>
          <w:tcPr>
            <w:tcW w:w="4280" w:type="dxa"/>
            <w:tcBorders>
              <w:top w:val="nil"/>
              <w:left w:val="nil"/>
              <w:bottom w:val="nil"/>
              <w:right w:val="nil"/>
            </w:tcBorders>
            <w:shd w:val="clear" w:color="000000" w:fill="FFFFFF"/>
            <w:noWrap/>
            <w:vAlign w:val="bottom"/>
            <w:hideMark/>
          </w:tcPr>
          <w:p w14:paraId="62EAD10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noWrap/>
            <w:vAlign w:val="bottom"/>
            <w:hideMark/>
          </w:tcPr>
          <w:p w14:paraId="656323F5"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27676358"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445AEBAE"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r w:rsidR="00DF3006" w:rsidRPr="00DF3006" w14:paraId="1759FC9C" w14:textId="77777777" w:rsidTr="00025E55">
        <w:trPr>
          <w:trHeight w:val="255"/>
        </w:trPr>
        <w:tc>
          <w:tcPr>
            <w:tcW w:w="4280" w:type="dxa"/>
            <w:tcBorders>
              <w:top w:val="nil"/>
              <w:left w:val="nil"/>
              <w:bottom w:val="nil"/>
              <w:right w:val="nil"/>
            </w:tcBorders>
            <w:shd w:val="clear" w:color="000000" w:fill="FFFFFF"/>
            <w:noWrap/>
            <w:vAlign w:val="bottom"/>
            <w:hideMark/>
          </w:tcPr>
          <w:p w14:paraId="5CC15D3C"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noWrap/>
            <w:vAlign w:val="bottom"/>
            <w:hideMark/>
          </w:tcPr>
          <w:p w14:paraId="01229E8B"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2828E282"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noWrap/>
            <w:vAlign w:val="bottom"/>
            <w:hideMark/>
          </w:tcPr>
          <w:p w14:paraId="43866EEB"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r>
      <w:tr w:rsidR="00DF3006" w:rsidRPr="00DF3006" w14:paraId="1C244CF2" w14:textId="77777777" w:rsidTr="00025E55">
        <w:trPr>
          <w:trHeight w:val="255"/>
        </w:trPr>
        <w:tc>
          <w:tcPr>
            <w:tcW w:w="4280" w:type="dxa"/>
            <w:tcBorders>
              <w:top w:val="nil"/>
              <w:left w:val="nil"/>
              <w:bottom w:val="nil"/>
              <w:right w:val="nil"/>
            </w:tcBorders>
            <w:shd w:val="clear" w:color="000000" w:fill="FFFFFF"/>
            <w:vAlign w:val="bottom"/>
            <w:hideMark/>
          </w:tcPr>
          <w:p w14:paraId="723CB68C"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hideMark/>
          </w:tcPr>
          <w:p w14:paraId="1E341CC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Accumulated Surplus</w:t>
            </w:r>
          </w:p>
        </w:tc>
        <w:tc>
          <w:tcPr>
            <w:tcW w:w="1660" w:type="dxa"/>
            <w:tcBorders>
              <w:top w:val="nil"/>
              <w:left w:val="nil"/>
              <w:bottom w:val="nil"/>
              <w:right w:val="nil"/>
            </w:tcBorders>
            <w:shd w:val="clear" w:color="000000" w:fill="FFFFFF"/>
            <w:hideMark/>
          </w:tcPr>
          <w:p w14:paraId="5042061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Contributed </w:t>
            </w:r>
            <w:r w:rsidRPr="00DF3006">
              <w:rPr>
                <w:rFonts w:eastAsia="Times New Roman" w:cstheme="minorHAnsi"/>
                <w:b/>
                <w:bCs/>
                <w:color w:val="414042" w:themeColor="text1"/>
                <w:szCs w:val="20"/>
                <w:lang w:eastAsia="en-AU"/>
              </w:rPr>
              <w:br/>
              <w:t>Equity</w:t>
            </w:r>
          </w:p>
        </w:tc>
        <w:tc>
          <w:tcPr>
            <w:tcW w:w="1660" w:type="dxa"/>
            <w:tcBorders>
              <w:top w:val="nil"/>
              <w:left w:val="nil"/>
              <w:bottom w:val="nil"/>
              <w:right w:val="nil"/>
            </w:tcBorders>
            <w:shd w:val="clear" w:color="auto" w:fill="D9D9D9" w:themeFill="background1" w:themeFillShade="D9"/>
            <w:hideMark/>
          </w:tcPr>
          <w:p w14:paraId="0FF098D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                TOTAL</w:t>
            </w:r>
          </w:p>
        </w:tc>
      </w:tr>
      <w:tr w:rsidR="00DF3006" w:rsidRPr="00DF3006" w14:paraId="15B8964E" w14:textId="77777777" w:rsidTr="00025E55">
        <w:trPr>
          <w:trHeight w:val="255"/>
        </w:trPr>
        <w:tc>
          <w:tcPr>
            <w:tcW w:w="4280" w:type="dxa"/>
            <w:tcBorders>
              <w:top w:val="nil"/>
              <w:left w:val="nil"/>
              <w:bottom w:val="nil"/>
              <w:right w:val="nil"/>
            </w:tcBorders>
            <w:shd w:val="clear" w:color="000000" w:fill="FFFFFF"/>
            <w:vAlign w:val="bottom"/>
            <w:hideMark/>
          </w:tcPr>
          <w:p w14:paraId="37A8956A"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5978D18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$’000</w:t>
            </w:r>
          </w:p>
        </w:tc>
        <w:tc>
          <w:tcPr>
            <w:tcW w:w="1660" w:type="dxa"/>
            <w:tcBorders>
              <w:top w:val="nil"/>
              <w:left w:val="nil"/>
              <w:bottom w:val="nil"/>
              <w:right w:val="nil"/>
            </w:tcBorders>
            <w:shd w:val="clear" w:color="000000" w:fill="FFFFFF"/>
            <w:vAlign w:val="bottom"/>
            <w:hideMark/>
          </w:tcPr>
          <w:p w14:paraId="0B0A457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$’000</w:t>
            </w:r>
          </w:p>
        </w:tc>
        <w:tc>
          <w:tcPr>
            <w:tcW w:w="1660" w:type="dxa"/>
            <w:tcBorders>
              <w:top w:val="nil"/>
              <w:left w:val="nil"/>
              <w:bottom w:val="nil"/>
              <w:right w:val="nil"/>
            </w:tcBorders>
            <w:shd w:val="clear" w:color="auto" w:fill="D9D9D9" w:themeFill="background1" w:themeFillShade="D9"/>
            <w:vAlign w:val="bottom"/>
            <w:hideMark/>
          </w:tcPr>
          <w:p w14:paraId="2416B20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$’000</w:t>
            </w:r>
          </w:p>
        </w:tc>
      </w:tr>
      <w:tr w:rsidR="00DF3006" w:rsidRPr="00DF3006" w14:paraId="5F6C3D57" w14:textId="77777777" w:rsidTr="00025E55">
        <w:trPr>
          <w:trHeight w:val="255"/>
        </w:trPr>
        <w:tc>
          <w:tcPr>
            <w:tcW w:w="4280" w:type="dxa"/>
            <w:tcBorders>
              <w:top w:val="nil"/>
              <w:left w:val="nil"/>
              <w:bottom w:val="nil"/>
              <w:right w:val="nil"/>
            </w:tcBorders>
            <w:shd w:val="clear" w:color="000000" w:fill="FFFFFF"/>
            <w:vAlign w:val="bottom"/>
            <w:hideMark/>
          </w:tcPr>
          <w:p w14:paraId="656AE70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512EF12E"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000000" w:fill="FFFFFF"/>
            <w:vAlign w:val="bottom"/>
            <w:hideMark/>
          </w:tcPr>
          <w:p w14:paraId="10E75D89"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1660" w:type="dxa"/>
            <w:tcBorders>
              <w:top w:val="nil"/>
              <w:left w:val="nil"/>
              <w:bottom w:val="nil"/>
              <w:right w:val="nil"/>
            </w:tcBorders>
            <w:shd w:val="clear" w:color="auto" w:fill="D9D9D9" w:themeFill="background1" w:themeFillShade="D9"/>
            <w:vAlign w:val="bottom"/>
            <w:hideMark/>
          </w:tcPr>
          <w:p w14:paraId="16FC12D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576C0084" w14:textId="77777777" w:rsidTr="00025E55">
        <w:trPr>
          <w:trHeight w:val="255"/>
        </w:trPr>
        <w:tc>
          <w:tcPr>
            <w:tcW w:w="4280" w:type="dxa"/>
            <w:tcBorders>
              <w:top w:val="nil"/>
              <w:left w:val="nil"/>
              <w:bottom w:val="nil"/>
              <w:right w:val="nil"/>
            </w:tcBorders>
            <w:shd w:val="clear" w:color="000000" w:fill="FFFFFF"/>
            <w:vAlign w:val="bottom"/>
            <w:hideMark/>
          </w:tcPr>
          <w:p w14:paraId="567A0E04"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2378A05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000000" w:fill="FFFFFF"/>
            <w:vAlign w:val="bottom"/>
            <w:hideMark/>
          </w:tcPr>
          <w:p w14:paraId="65AD2C1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nil"/>
              <w:right w:val="nil"/>
            </w:tcBorders>
            <w:shd w:val="clear" w:color="auto" w:fill="D9D9D9" w:themeFill="background1" w:themeFillShade="D9"/>
            <w:vAlign w:val="bottom"/>
            <w:hideMark/>
          </w:tcPr>
          <w:p w14:paraId="3F811E1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r>
      <w:tr w:rsidR="00DF3006" w:rsidRPr="00DF3006" w14:paraId="1087DE54" w14:textId="77777777" w:rsidTr="00025E55">
        <w:trPr>
          <w:trHeight w:val="255"/>
        </w:trPr>
        <w:tc>
          <w:tcPr>
            <w:tcW w:w="4280" w:type="dxa"/>
            <w:tcBorders>
              <w:top w:val="nil"/>
              <w:left w:val="nil"/>
              <w:bottom w:val="nil"/>
              <w:right w:val="nil"/>
            </w:tcBorders>
            <w:shd w:val="clear" w:color="000000" w:fill="FFFFFF"/>
            <w:vAlign w:val="bottom"/>
            <w:hideMark/>
          </w:tcPr>
          <w:p w14:paraId="655CAF94"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Balance as </w:t>
            </w:r>
            <w:proofErr w:type="gramStart"/>
            <w:r w:rsidRPr="00DF3006">
              <w:rPr>
                <w:rFonts w:eastAsia="Times New Roman" w:cstheme="minorHAnsi"/>
                <w:b/>
                <w:bCs/>
                <w:color w:val="414042" w:themeColor="text1"/>
                <w:szCs w:val="20"/>
                <w:lang w:eastAsia="en-AU"/>
              </w:rPr>
              <w:t>at</w:t>
            </w:r>
            <w:proofErr w:type="gramEnd"/>
            <w:r w:rsidRPr="00DF3006">
              <w:rPr>
                <w:rFonts w:eastAsia="Times New Roman" w:cstheme="minorHAnsi"/>
                <w:b/>
                <w:bCs/>
                <w:color w:val="414042" w:themeColor="text1"/>
                <w:szCs w:val="20"/>
                <w:lang w:eastAsia="en-AU"/>
              </w:rPr>
              <w:t xml:space="preserve"> 1 July 2022</w:t>
            </w:r>
          </w:p>
        </w:tc>
        <w:tc>
          <w:tcPr>
            <w:tcW w:w="1660" w:type="dxa"/>
            <w:tcBorders>
              <w:top w:val="nil"/>
              <w:left w:val="nil"/>
              <w:bottom w:val="nil"/>
              <w:right w:val="nil"/>
            </w:tcBorders>
            <w:shd w:val="clear" w:color="000000" w:fill="FFFFFF"/>
            <w:vAlign w:val="bottom"/>
            <w:hideMark/>
          </w:tcPr>
          <w:p w14:paraId="2FC8A2A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7,412</w:t>
            </w:r>
          </w:p>
        </w:tc>
        <w:tc>
          <w:tcPr>
            <w:tcW w:w="1660" w:type="dxa"/>
            <w:tcBorders>
              <w:top w:val="nil"/>
              <w:left w:val="nil"/>
              <w:bottom w:val="nil"/>
              <w:right w:val="nil"/>
            </w:tcBorders>
            <w:shd w:val="clear" w:color="000000" w:fill="FFFFFF"/>
            <w:vAlign w:val="bottom"/>
            <w:hideMark/>
          </w:tcPr>
          <w:p w14:paraId="3F13902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16,168</w:t>
            </w:r>
          </w:p>
        </w:tc>
        <w:tc>
          <w:tcPr>
            <w:tcW w:w="1660" w:type="dxa"/>
            <w:tcBorders>
              <w:top w:val="nil"/>
              <w:left w:val="nil"/>
              <w:bottom w:val="nil"/>
              <w:right w:val="nil"/>
            </w:tcBorders>
            <w:shd w:val="clear" w:color="auto" w:fill="D9D9D9" w:themeFill="background1" w:themeFillShade="D9"/>
            <w:vAlign w:val="bottom"/>
            <w:hideMark/>
          </w:tcPr>
          <w:p w14:paraId="6C8DA1D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23,580</w:t>
            </w:r>
          </w:p>
        </w:tc>
      </w:tr>
      <w:tr w:rsidR="00DF3006" w:rsidRPr="00DF3006" w14:paraId="77FEABA3" w14:textId="77777777" w:rsidTr="00025E55">
        <w:trPr>
          <w:trHeight w:val="255"/>
        </w:trPr>
        <w:tc>
          <w:tcPr>
            <w:tcW w:w="4280" w:type="dxa"/>
            <w:tcBorders>
              <w:top w:val="nil"/>
              <w:left w:val="nil"/>
              <w:bottom w:val="nil"/>
              <w:right w:val="nil"/>
            </w:tcBorders>
            <w:shd w:val="clear" w:color="000000" w:fill="FFFFFF"/>
            <w:vAlign w:val="bottom"/>
          </w:tcPr>
          <w:p w14:paraId="4768E8CC" w14:textId="77777777" w:rsidR="00FC17BC" w:rsidRPr="00DF3006" w:rsidRDefault="00FC17BC" w:rsidP="00C30C67">
            <w:pPr>
              <w:spacing w:after="0"/>
              <w:rPr>
                <w:rFonts w:eastAsia="Times New Roman" w:cstheme="minorHAnsi"/>
                <w:color w:val="414042" w:themeColor="text1"/>
                <w:szCs w:val="20"/>
                <w:lang w:eastAsia="en-AU"/>
              </w:rPr>
            </w:pPr>
          </w:p>
        </w:tc>
        <w:tc>
          <w:tcPr>
            <w:tcW w:w="1660" w:type="dxa"/>
            <w:tcBorders>
              <w:top w:val="nil"/>
              <w:left w:val="nil"/>
              <w:bottom w:val="nil"/>
              <w:right w:val="nil"/>
            </w:tcBorders>
            <w:shd w:val="clear" w:color="000000" w:fill="FFFFFF"/>
            <w:vAlign w:val="bottom"/>
          </w:tcPr>
          <w:p w14:paraId="1EB7C15D" w14:textId="77777777" w:rsidR="00FC17BC" w:rsidRPr="00DF3006" w:rsidRDefault="00FC17BC" w:rsidP="00C30C67">
            <w:pPr>
              <w:spacing w:after="0"/>
              <w:jc w:val="right"/>
              <w:rPr>
                <w:rFonts w:eastAsia="Times New Roman" w:cs="Calibri"/>
                <w:color w:val="414042" w:themeColor="text1"/>
                <w:szCs w:val="20"/>
                <w:lang w:eastAsia="en-AU"/>
              </w:rPr>
            </w:pPr>
          </w:p>
        </w:tc>
        <w:tc>
          <w:tcPr>
            <w:tcW w:w="1660" w:type="dxa"/>
            <w:tcBorders>
              <w:top w:val="nil"/>
              <w:left w:val="nil"/>
              <w:bottom w:val="nil"/>
              <w:right w:val="nil"/>
            </w:tcBorders>
            <w:shd w:val="clear" w:color="000000" w:fill="FFFFFF"/>
            <w:noWrap/>
            <w:vAlign w:val="center"/>
          </w:tcPr>
          <w:p w14:paraId="0A81CBCE" w14:textId="77777777" w:rsidR="00FC17BC" w:rsidRPr="00DF3006" w:rsidRDefault="00FC17BC" w:rsidP="00C30C67">
            <w:pPr>
              <w:spacing w:after="0"/>
              <w:jc w:val="right"/>
              <w:rPr>
                <w:rFonts w:eastAsia="Times New Roman" w:cstheme="minorHAnsi"/>
                <w:color w:val="414042" w:themeColor="text1"/>
                <w:szCs w:val="20"/>
                <w:lang w:eastAsia="en-AU"/>
              </w:rPr>
            </w:pPr>
          </w:p>
        </w:tc>
        <w:tc>
          <w:tcPr>
            <w:tcW w:w="1660" w:type="dxa"/>
            <w:tcBorders>
              <w:top w:val="nil"/>
              <w:left w:val="nil"/>
              <w:bottom w:val="nil"/>
              <w:right w:val="nil"/>
            </w:tcBorders>
            <w:shd w:val="clear" w:color="auto" w:fill="D9D9D9" w:themeFill="background1" w:themeFillShade="D9"/>
            <w:vAlign w:val="bottom"/>
          </w:tcPr>
          <w:p w14:paraId="30744819" w14:textId="77777777" w:rsidR="00FC17BC" w:rsidRPr="00DF3006" w:rsidRDefault="00FC17BC" w:rsidP="00C30C67">
            <w:pPr>
              <w:spacing w:after="0"/>
              <w:jc w:val="right"/>
              <w:rPr>
                <w:rFonts w:eastAsia="Times New Roman" w:cs="Calibri"/>
                <w:b/>
                <w:bCs/>
                <w:color w:val="414042" w:themeColor="text1"/>
                <w:szCs w:val="20"/>
                <w:lang w:eastAsia="en-AU"/>
              </w:rPr>
            </w:pPr>
          </w:p>
        </w:tc>
      </w:tr>
      <w:tr w:rsidR="00DF3006" w:rsidRPr="00DF3006" w14:paraId="4D7B6EED" w14:textId="77777777" w:rsidTr="00025E55">
        <w:trPr>
          <w:trHeight w:val="255"/>
        </w:trPr>
        <w:tc>
          <w:tcPr>
            <w:tcW w:w="4280" w:type="dxa"/>
            <w:tcBorders>
              <w:top w:val="nil"/>
              <w:left w:val="nil"/>
              <w:bottom w:val="nil"/>
              <w:right w:val="nil"/>
            </w:tcBorders>
            <w:shd w:val="clear" w:color="000000" w:fill="FFFFFF"/>
            <w:vAlign w:val="bottom"/>
            <w:hideMark/>
          </w:tcPr>
          <w:p w14:paraId="000B9424"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573EC95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6,431</w:t>
            </w:r>
          </w:p>
        </w:tc>
        <w:tc>
          <w:tcPr>
            <w:tcW w:w="1660" w:type="dxa"/>
            <w:tcBorders>
              <w:top w:val="nil"/>
              <w:left w:val="nil"/>
              <w:bottom w:val="nil"/>
              <w:right w:val="nil"/>
            </w:tcBorders>
            <w:shd w:val="clear" w:color="000000" w:fill="FFFFFF"/>
            <w:noWrap/>
            <w:vAlign w:val="center"/>
            <w:hideMark/>
          </w:tcPr>
          <w:p w14:paraId="1EC0265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w:t>
            </w:r>
          </w:p>
        </w:tc>
        <w:tc>
          <w:tcPr>
            <w:tcW w:w="1660" w:type="dxa"/>
            <w:tcBorders>
              <w:top w:val="nil"/>
              <w:left w:val="nil"/>
              <w:bottom w:val="nil"/>
              <w:right w:val="nil"/>
            </w:tcBorders>
            <w:shd w:val="clear" w:color="auto" w:fill="D9D9D9" w:themeFill="background1" w:themeFillShade="D9"/>
            <w:vAlign w:val="bottom"/>
            <w:hideMark/>
          </w:tcPr>
          <w:p w14:paraId="4C8CB7F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6,431</w:t>
            </w:r>
          </w:p>
        </w:tc>
      </w:tr>
      <w:tr w:rsidR="00DF3006" w:rsidRPr="00DF3006" w14:paraId="59E41998" w14:textId="77777777" w:rsidTr="00025E55">
        <w:trPr>
          <w:trHeight w:val="255"/>
        </w:trPr>
        <w:tc>
          <w:tcPr>
            <w:tcW w:w="4280" w:type="dxa"/>
            <w:tcBorders>
              <w:top w:val="nil"/>
              <w:left w:val="nil"/>
              <w:bottom w:val="nil"/>
              <w:right w:val="nil"/>
            </w:tcBorders>
            <w:shd w:val="clear" w:color="000000" w:fill="FFFFFF"/>
            <w:vAlign w:val="bottom"/>
          </w:tcPr>
          <w:p w14:paraId="135B6A45" w14:textId="77777777" w:rsidR="00FC17BC" w:rsidRPr="00DF3006" w:rsidRDefault="00FC17BC" w:rsidP="00C30C67">
            <w:pPr>
              <w:spacing w:after="0"/>
              <w:rPr>
                <w:rFonts w:eastAsia="Times New Roman" w:cstheme="minorHAnsi"/>
                <w:color w:val="414042" w:themeColor="text1"/>
                <w:szCs w:val="20"/>
                <w:lang w:eastAsia="en-AU"/>
              </w:rPr>
            </w:pPr>
          </w:p>
        </w:tc>
        <w:tc>
          <w:tcPr>
            <w:tcW w:w="1660" w:type="dxa"/>
            <w:tcBorders>
              <w:top w:val="nil"/>
              <w:left w:val="nil"/>
              <w:bottom w:val="nil"/>
              <w:right w:val="nil"/>
            </w:tcBorders>
            <w:shd w:val="clear" w:color="000000" w:fill="FFFFFF"/>
            <w:vAlign w:val="bottom"/>
          </w:tcPr>
          <w:p w14:paraId="35088952" w14:textId="77777777" w:rsidR="00FC17BC" w:rsidRPr="00DF3006" w:rsidRDefault="00FC17BC" w:rsidP="00C30C67">
            <w:pPr>
              <w:spacing w:after="0"/>
              <w:rPr>
                <w:rFonts w:eastAsia="Times New Roman" w:cs="Calibri"/>
                <w:color w:val="414042" w:themeColor="text1"/>
                <w:szCs w:val="20"/>
                <w:lang w:eastAsia="en-AU"/>
              </w:rPr>
            </w:pPr>
          </w:p>
        </w:tc>
        <w:tc>
          <w:tcPr>
            <w:tcW w:w="1660" w:type="dxa"/>
            <w:tcBorders>
              <w:top w:val="nil"/>
              <w:left w:val="nil"/>
              <w:bottom w:val="nil"/>
              <w:right w:val="nil"/>
            </w:tcBorders>
            <w:shd w:val="clear" w:color="000000" w:fill="FFFFFF"/>
            <w:vAlign w:val="bottom"/>
          </w:tcPr>
          <w:p w14:paraId="2388E7BB" w14:textId="77777777" w:rsidR="00FC17BC" w:rsidRPr="00DF3006" w:rsidRDefault="00FC17BC" w:rsidP="00C30C67">
            <w:pPr>
              <w:spacing w:after="0"/>
              <w:rPr>
                <w:rFonts w:eastAsia="Times New Roman" w:cs="Calibri"/>
                <w:color w:val="414042" w:themeColor="text1"/>
                <w:szCs w:val="20"/>
                <w:lang w:eastAsia="en-AU"/>
              </w:rPr>
            </w:pPr>
          </w:p>
        </w:tc>
        <w:tc>
          <w:tcPr>
            <w:tcW w:w="1660" w:type="dxa"/>
            <w:tcBorders>
              <w:top w:val="nil"/>
              <w:left w:val="nil"/>
              <w:bottom w:val="nil"/>
              <w:right w:val="nil"/>
            </w:tcBorders>
            <w:shd w:val="clear" w:color="auto" w:fill="D9D9D9" w:themeFill="background1" w:themeFillShade="D9"/>
            <w:vAlign w:val="bottom"/>
          </w:tcPr>
          <w:p w14:paraId="562EBBB6" w14:textId="77777777" w:rsidR="00FC17BC" w:rsidRPr="00DF3006" w:rsidRDefault="00FC17BC" w:rsidP="00C30C67">
            <w:pPr>
              <w:spacing w:after="0"/>
              <w:rPr>
                <w:rFonts w:eastAsia="Times New Roman" w:cs="Calibri"/>
                <w:b/>
                <w:bCs/>
                <w:color w:val="414042" w:themeColor="text1"/>
                <w:szCs w:val="20"/>
                <w:lang w:eastAsia="en-AU"/>
              </w:rPr>
            </w:pPr>
          </w:p>
        </w:tc>
      </w:tr>
      <w:tr w:rsidR="00DF3006" w:rsidRPr="00DF3006" w14:paraId="18B8D68A" w14:textId="77777777" w:rsidTr="00025E55">
        <w:trPr>
          <w:trHeight w:val="255"/>
        </w:trPr>
        <w:tc>
          <w:tcPr>
            <w:tcW w:w="4280" w:type="dxa"/>
            <w:tcBorders>
              <w:top w:val="nil"/>
              <w:left w:val="nil"/>
              <w:bottom w:val="nil"/>
              <w:right w:val="nil"/>
            </w:tcBorders>
            <w:shd w:val="clear" w:color="000000" w:fill="FFFFFF"/>
            <w:vAlign w:val="bottom"/>
            <w:hideMark/>
          </w:tcPr>
          <w:p w14:paraId="1EB6CC5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65C8E8B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67946B2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c>
          <w:tcPr>
            <w:tcW w:w="1660" w:type="dxa"/>
            <w:tcBorders>
              <w:top w:val="nil"/>
              <w:left w:val="nil"/>
              <w:bottom w:val="single" w:sz="8" w:space="0" w:color="auto"/>
              <w:right w:val="nil"/>
            </w:tcBorders>
            <w:shd w:val="clear" w:color="auto" w:fill="D9D9D9" w:themeFill="background1" w:themeFillShade="D9"/>
            <w:vAlign w:val="bottom"/>
            <w:hideMark/>
          </w:tcPr>
          <w:p w14:paraId="43E08E1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 </w:t>
            </w:r>
          </w:p>
        </w:tc>
      </w:tr>
      <w:tr w:rsidR="00DF3006" w:rsidRPr="00DF3006" w14:paraId="78563B11" w14:textId="77777777" w:rsidTr="00025E55">
        <w:trPr>
          <w:trHeight w:val="255"/>
        </w:trPr>
        <w:tc>
          <w:tcPr>
            <w:tcW w:w="4280" w:type="dxa"/>
            <w:tcBorders>
              <w:top w:val="nil"/>
              <w:left w:val="nil"/>
              <w:bottom w:val="nil"/>
              <w:right w:val="nil"/>
            </w:tcBorders>
            <w:shd w:val="clear" w:color="000000" w:fill="FFFFFF"/>
            <w:vAlign w:val="bottom"/>
            <w:hideMark/>
          </w:tcPr>
          <w:p w14:paraId="060B241C"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 xml:space="preserve">Balance as </w:t>
            </w:r>
            <w:proofErr w:type="gramStart"/>
            <w:r w:rsidRPr="00DF3006">
              <w:rPr>
                <w:rFonts w:eastAsia="Times New Roman" w:cstheme="minorHAnsi"/>
                <w:b/>
                <w:bCs/>
                <w:color w:val="414042" w:themeColor="text1"/>
                <w:szCs w:val="20"/>
                <w:lang w:eastAsia="en-AU"/>
              </w:rPr>
              <w:t>at</w:t>
            </w:r>
            <w:proofErr w:type="gramEnd"/>
            <w:r w:rsidRPr="00DF3006">
              <w:rPr>
                <w:rFonts w:eastAsia="Times New Roman" w:cstheme="minorHAnsi"/>
                <w:b/>
                <w:bCs/>
                <w:color w:val="414042" w:themeColor="text1"/>
                <w:szCs w:val="20"/>
                <w:lang w:eastAsia="en-AU"/>
              </w:rPr>
              <w:t xml:space="preserve"> 30 June 2023</w:t>
            </w:r>
          </w:p>
        </w:tc>
        <w:tc>
          <w:tcPr>
            <w:tcW w:w="1660" w:type="dxa"/>
            <w:tcBorders>
              <w:top w:val="nil"/>
              <w:left w:val="nil"/>
              <w:bottom w:val="nil"/>
              <w:right w:val="nil"/>
            </w:tcBorders>
            <w:shd w:val="clear" w:color="000000" w:fill="FFFFFF"/>
            <w:vAlign w:val="bottom"/>
            <w:hideMark/>
          </w:tcPr>
          <w:p w14:paraId="7474ED9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13,843</w:t>
            </w:r>
          </w:p>
        </w:tc>
        <w:tc>
          <w:tcPr>
            <w:tcW w:w="1660" w:type="dxa"/>
            <w:tcBorders>
              <w:top w:val="nil"/>
              <w:left w:val="nil"/>
              <w:bottom w:val="nil"/>
              <w:right w:val="nil"/>
            </w:tcBorders>
            <w:shd w:val="clear" w:color="000000" w:fill="FFFFFF"/>
            <w:vAlign w:val="bottom"/>
            <w:hideMark/>
          </w:tcPr>
          <w:p w14:paraId="44CB5BC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theme="minorHAnsi"/>
                <w:b/>
                <w:bCs/>
                <w:color w:val="414042" w:themeColor="text1"/>
                <w:szCs w:val="20"/>
                <w:lang w:eastAsia="en-AU"/>
              </w:rPr>
              <w:t>16,168</w:t>
            </w:r>
          </w:p>
        </w:tc>
        <w:tc>
          <w:tcPr>
            <w:tcW w:w="1660" w:type="dxa"/>
            <w:tcBorders>
              <w:top w:val="nil"/>
              <w:left w:val="nil"/>
              <w:bottom w:val="nil"/>
              <w:right w:val="nil"/>
            </w:tcBorders>
            <w:shd w:val="clear" w:color="auto" w:fill="D9D9D9" w:themeFill="background1" w:themeFillShade="D9"/>
            <w:vAlign w:val="bottom"/>
            <w:hideMark/>
          </w:tcPr>
          <w:p w14:paraId="488D85E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30,011</w:t>
            </w:r>
          </w:p>
        </w:tc>
      </w:tr>
      <w:tr w:rsidR="00DF3006" w:rsidRPr="00DF3006" w14:paraId="6EEA60BA" w14:textId="77777777" w:rsidTr="00025E55">
        <w:trPr>
          <w:trHeight w:val="315"/>
        </w:trPr>
        <w:tc>
          <w:tcPr>
            <w:tcW w:w="4280" w:type="dxa"/>
            <w:tcBorders>
              <w:top w:val="nil"/>
              <w:left w:val="nil"/>
              <w:bottom w:val="nil"/>
              <w:right w:val="nil"/>
            </w:tcBorders>
            <w:shd w:val="clear" w:color="000000" w:fill="FFFFFF"/>
            <w:vAlign w:val="bottom"/>
            <w:hideMark/>
          </w:tcPr>
          <w:p w14:paraId="1F24E0B5"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64CD380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2FEB27D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6B63CE3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bl>
    <w:p w14:paraId="308DB67C" w14:textId="77777777" w:rsidR="00FC17BC" w:rsidRPr="00DF3006" w:rsidRDefault="00FC17BC" w:rsidP="00FC17BC">
      <w:pPr>
        <w:tabs>
          <w:tab w:val="left" w:pos="7132"/>
        </w:tabs>
        <w:rPr>
          <w:color w:val="414042" w:themeColor="text1"/>
        </w:rPr>
      </w:pPr>
    </w:p>
    <w:p w14:paraId="479E70B6" w14:textId="77777777" w:rsidR="00FC17BC" w:rsidRPr="00DF3006" w:rsidRDefault="00FC17BC" w:rsidP="00FC17BC">
      <w:pPr>
        <w:pStyle w:val="Notes"/>
        <w:rPr>
          <w:iCs/>
        </w:rPr>
      </w:pPr>
    </w:p>
    <w:p w14:paraId="2456E2C4" w14:textId="77777777" w:rsidR="00FC17BC" w:rsidRPr="00DF3006" w:rsidRDefault="00FC17BC" w:rsidP="00FC17BC">
      <w:pPr>
        <w:pStyle w:val="Notes"/>
        <w:rPr>
          <w:i/>
        </w:rPr>
      </w:pPr>
      <w:r w:rsidRPr="00DF3006">
        <w:rPr>
          <w:i/>
        </w:rPr>
        <w:t>The accompanying notes form part of these statements.</w:t>
      </w:r>
    </w:p>
    <w:p w14:paraId="34463B37" w14:textId="77777777" w:rsidR="00FC17BC" w:rsidRPr="00DF3006" w:rsidRDefault="00FC17BC" w:rsidP="00FC17BC">
      <w:pPr>
        <w:tabs>
          <w:tab w:val="left" w:pos="7132"/>
        </w:tabs>
        <w:rPr>
          <w:color w:val="414042" w:themeColor="text1"/>
        </w:rPr>
        <w:sectPr w:rsidR="00FC17BC" w:rsidRPr="00DF3006" w:rsidSect="00C77834">
          <w:headerReference w:type="even" r:id="rId327"/>
          <w:headerReference w:type="default" r:id="rId328"/>
          <w:headerReference w:type="first" r:id="rId329"/>
          <w:pgSz w:w="11906" w:h="16838"/>
          <w:pgMar w:top="2155" w:right="1134" w:bottom="964" w:left="1134" w:header="720" w:footer="283" w:gutter="0"/>
          <w:cols w:space="708"/>
          <w:docGrid w:linePitch="360"/>
        </w:sectPr>
      </w:pPr>
    </w:p>
    <w:tbl>
      <w:tblPr>
        <w:tblW w:w="9494" w:type="dxa"/>
        <w:tblLook w:val="04A0" w:firstRow="1" w:lastRow="0" w:firstColumn="1" w:lastColumn="0" w:noHBand="0" w:noVBand="1"/>
      </w:tblPr>
      <w:tblGrid>
        <w:gridCol w:w="4481"/>
        <w:gridCol w:w="339"/>
        <w:gridCol w:w="706"/>
        <w:gridCol w:w="1134"/>
        <w:gridCol w:w="895"/>
        <w:gridCol w:w="1044"/>
        <w:gridCol w:w="895"/>
      </w:tblGrid>
      <w:tr w:rsidR="00DF3006" w:rsidRPr="00DF3006" w14:paraId="3B28CBE5" w14:textId="77777777" w:rsidTr="00A43983">
        <w:trPr>
          <w:trHeight w:val="780"/>
        </w:trPr>
        <w:tc>
          <w:tcPr>
            <w:tcW w:w="4481" w:type="dxa"/>
            <w:tcBorders>
              <w:top w:val="nil"/>
              <w:left w:val="nil"/>
              <w:bottom w:val="nil"/>
              <w:right w:val="nil"/>
            </w:tcBorders>
            <w:shd w:val="clear" w:color="000000" w:fill="FFFFFF"/>
            <w:noWrap/>
            <w:vAlign w:val="bottom"/>
            <w:hideMark/>
          </w:tcPr>
          <w:p w14:paraId="29B2D256" w14:textId="77777777" w:rsidR="00FC17BC" w:rsidRPr="00DF3006" w:rsidRDefault="00FC17BC" w:rsidP="00C30C67">
            <w:pPr>
              <w:spacing w:after="0"/>
              <w:rPr>
                <w:rFonts w:eastAsia="Times New Roman" w:cs="Calibri"/>
                <w:color w:val="414042" w:themeColor="text1"/>
                <w:lang w:eastAsia="en-AU"/>
              </w:rPr>
            </w:pPr>
            <w:r w:rsidRPr="00DF3006">
              <w:rPr>
                <w:rFonts w:eastAsia="Times New Roman" w:cs="Calibri"/>
                <w:color w:val="414042" w:themeColor="text1"/>
                <w:lang w:eastAsia="en-AU"/>
              </w:rPr>
              <w:t> </w:t>
            </w:r>
          </w:p>
        </w:tc>
        <w:tc>
          <w:tcPr>
            <w:tcW w:w="339" w:type="dxa"/>
            <w:tcBorders>
              <w:top w:val="nil"/>
              <w:left w:val="nil"/>
              <w:bottom w:val="nil"/>
              <w:right w:val="nil"/>
            </w:tcBorders>
            <w:shd w:val="clear" w:color="000000" w:fill="FFFFFF"/>
            <w:noWrap/>
            <w:vAlign w:val="center"/>
            <w:hideMark/>
          </w:tcPr>
          <w:p w14:paraId="4C3C007D" w14:textId="77777777" w:rsidR="00FC17BC" w:rsidRPr="00DF3006" w:rsidRDefault="00FC17BC" w:rsidP="00C30C67">
            <w:pPr>
              <w:spacing w:after="0"/>
              <w:jc w:val="center"/>
              <w:rPr>
                <w:rFonts w:eastAsia="Times New Roman" w:cs="Calibri"/>
                <w:b/>
                <w:bCs/>
                <w:color w:val="414042" w:themeColor="text1"/>
                <w:szCs w:val="20"/>
                <w:lang w:eastAsia="en-AU"/>
              </w:rPr>
            </w:pPr>
          </w:p>
        </w:tc>
        <w:tc>
          <w:tcPr>
            <w:tcW w:w="706" w:type="dxa"/>
            <w:tcBorders>
              <w:top w:val="nil"/>
              <w:left w:val="nil"/>
              <w:bottom w:val="nil"/>
              <w:right w:val="nil"/>
            </w:tcBorders>
            <w:shd w:val="clear" w:color="auto" w:fill="FFFFFF" w:themeFill="background1"/>
            <w:vAlign w:val="center"/>
          </w:tcPr>
          <w:p w14:paraId="34EB8DA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Notes</w:t>
            </w:r>
          </w:p>
        </w:tc>
        <w:tc>
          <w:tcPr>
            <w:tcW w:w="1134" w:type="dxa"/>
            <w:tcBorders>
              <w:top w:val="nil"/>
              <w:left w:val="nil"/>
              <w:bottom w:val="nil"/>
              <w:right w:val="nil"/>
            </w:tcBorders>
            <w:shd w:val="clear" w:color="auto" w:fill="D9D9D9" w:themeFill="background1" w:themeFillShade="D9"/>
            <w:vAlign w:val="bottom"/>
            <w:hideMark/>
          </w:tcPr>
          <w:p w14:paraId="4BA736F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r w:rsidRPr="00DF3006">
              <w:rPr>
                <w:rFonts w:eastAsia="Times New Roman" w:cs="Calibri"/>
                <w:b/>
                <w:bCs/>
                <w:color w:val="414042" w:themeColor="text1"/>
                <w:szCs w:val="20"/>
                <w:lang w:eastAsia="en-AU"/>
              </w:rPr>
              <w:br/>
              <w:t>Actual</w:t>
            </w:r>
          </w:p>
          <w:p w14:paraId="68F5352A"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895" w:type="dxa"/>
            <w:tcBorders>
              <w:top w:val="nil"/>
              <w:left w:val="nil"/>
              <w:bottom w:val="nil"/>
              <w:right w:val="nil"/>
            </w:tcBorders>
            <w:shd w:val="clear" w:color="000000" w:fill="FFFFFF"/>
            <w:vAlign w:val="bottom"/>
          </w:tcPr>
          <w:p w14:paraId="2205815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 Original Budget</w:t>
            </w:r>
          </w:p>
        </w:tc>
        <w:tc>
          <w:tcPr>
            <w:tcW w:w="1044" w:type="dxa"/>
            <w:tcBorders>
              <w:top w:val="nil"/>
              <w:left w:val="nil"/>
              <w:bottom w:val="nil"/>
              <w:right w:val="nil"/>
            </w:tcBorders>
            <w:shd w:val="clear" w:color="000000" w:fill="FFFFFF"/>
            <w:vAlign w:val="bottom"/>
          </w:tcPr>
          <w:p w14:paraId="4840EFA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xml:space="preserve">Budget </w:t>
            </w:r>
            <w:r w:rsidRPr="00DF3006">
              <w:rPr>
                <w:rFonts w:eastAsia="Times New Roman" w:cs="Calibri"/>
                <w:b/>
                <w:bCs/>
                <w:color w:val="414042" w:themeColor="text1"/>
                <w:szCs w:val="20"/>
                <w:lang w:eastAsia="en-AU"/>
              </w:rPr>
              <w:br/>
              <w:t>Variance*</w:t>
            </w:r>
          </w:p>
        </w:tc>
        <w:tc>
          <w:tcPr>
            <w:tcW w:w="895" w:type="dxa"/>
            <w:tcBorders>
              <w:top w:val="nil"/>
              <w:left w:val="nil"/>
              <w:bottom w:val="nil"/>
              <w:right w:val="nil"/>
            </w:tcBorders>
            <w:shd w:val="clear" w:color="000000" w:fill="FFFFFF"/>
            <w:vAlign w:val="bottom"/>
            <w:hideMark/>
          </w:tcPr>
          <w:p w14:paraId="7E37BBB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r w:rsidRPr="00DF3006">
              <w:rPr>
                <w:rFonts w:eastAsia="Times New Roman" w:cs="Calibri"/>
                <w:b/>
                <w:bCs/>
                <w:color w:val="414042" w:themeColor="text1"/>
                <w:szCs w:val="20"/>
                <w:lang w:eastAsia="en-AU"/>
              </w:rPr>
              <w:br/>
              <w:t>Actual</w:t>
            </w:r>
          </w:p>
        </w:tc>
      </w:tr>
      <w:tr w:rsidR="00DF3006" w:rsidRPr="00DF3006" w14:paraId="6D65ADB2" w14:textId="77777777" w:rsidTr="00A43983">
        <w:trPr>
          <w:trHeight w:val="300"/>
        </w:trPr>
        <w:tc>
          <w:tcPr>
            <w:tcW w:w="4481" w:type="dxa"/>
            <w:tcBorders>
              <w:top w:val="nil"/>
              <w:left w:val="nil"/>
              <w:bottom w:val="nil"/>
              <w:right w:val="nil"/>
            </w:tcBorders>
            <w:shd w:val="clear" w:color="000000" w:fill="FFFFFF"/>
            <w:noWrap/>
            <w:vAlign w:val="center"/>
            <w:hideMark/>
          </w:tcPr>
          <w:p w14:paraId="2722F26D"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Cash flows from operating activities</w:t>
            </w:r>
          </w:p>
        </w:tc>
        <w:tc>
          <w:tcPr>
            <w:tcW w:w="339" w:type="dxa"/>
            <w:tcBorders>
              <w:top w:val="nil"/>
              <w:left w:val="nil"/>
              <w:bottom w:val="nil"/>
              <w:right w:val="nil"/>
            </w:tcBorders>
            <w:shd w:val="clear" w:color="000000" w:fill="FFFFFF"/>
            <w:vAlign w:val="center"/>
            <w:hideMark/>
          </w:tcPr>
          <w:p w14:paraId="02BAF819"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59CC88E8"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hideMark/>
          </w:tcPr>
          <w:p w14:paraId="16AD2479"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895" w:type="dxa"/>
            <w:tcBorders>
              <w:top w:val="nil"/>
              <w:left w:val="nil"/>
              <w:bottom w:val="nil"/>
              <w:right w:val="nil"/>
            </w:tcBorders>
            <w:shd w:val="clear" w:color="000000" w:fill="FFFFFF"/>
            <w:vAlign w:val="center"/>
          </w:tcPr>
          <w:p w14:paraId="0B5CE79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044" w:type="dxa"/>
            <w:tcBorders>
              <w:top w:val="nil"/>
              <w:left w:val="nil"/>
              <w:bottom w:val="nil"/>
              <w:right w:val="nil"/>
            </w:tcBorders>
            <w:shd w:val="clear" w:color="000000" w:fill="FFFFFF"/>
            <w:vAlign w:val="center"/>
          </w:tcPr>
          <w:p w14:paraId="062C3C3C"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895" w:type="dxa"/>
            <w:tcBorders>
              <w:top w:val="nil"/>
              <w:left w:val="nil"/>
              <w:bottom w:val="nil"/>
              <w:right w:val="nil"/>
            </w:tcBorders>
            <w:shd w:val="clear" w:color="000000" w:fill="FFFFFF"/>
            <w:vAlign w:val="center"/>
            <w:hideMark/>
          </w:tcPr>
          <w:p w14:paraId="6A0F70C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r>
      <w:tr w:rsidR="00DF3006" w:rsidRPr="00DF3006" w14:paraId="659E79F9" w14:textId="77777777" w:rsidTr="00A43983">
        <w:trPr>
          <w:trHeight w:val="300"/>
        </w:trPr>
        <w:tc>
          <w:tcPr>
            <w:tcW w:w="4481" w:type="dxa"/>
            <w:tcBorders>
              <w:top w:val="nil"/>
              <w:left w:val="nil"/>
              <w:bottom w:val="nil"/>
              <w:right w:val="nil"/>
            </w:tcBorders>
            <w:shd w:val="clear" w:color="000000" w:fill="FFFFFF"/>
            <w:noWrap/>
            <w:vAlign w:val="center"/>
            <w:hideMark/>
          </w:tcPr>
          <w:p w14:paraId="70C58317" w14:textId="77777777" w:rsidR="00FC17BC" w:rsidRPr="00DF3006" w:rsidRDefault="00FC17BC" w:rsidP="00C30C67">
            <w:pPr>
              <w:spacing w:after="0"/>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Inflows</w:t>
            </w:r>
          </w:p>
        </w:tc>
        <w:tc>
          <w:tcPr>
            <w:tcW w:w="339" w:type="dxa"/>
            <w:tcBorders>
              <w:top w:val="nil"/>
              <w:left w:val="nil"/>
              <w:bottom w:val="nil"/>
              <w:right w:val="nil"/>
            </w:tcBorders>
            <w:shd w:val="clear" w:color="000000" w:fill="FFFFFF"/>
            <w:noWrap/>
            <w:vAlign w:val="center"/>
            <w:hideMark/>
          </w:tcPr>
          <w:p w14:paraId="64430C41" w14:textId="77777777" w:rsidR="00FC17BC" w:rsidRPr="00DF3006" w:rsidRDefault="00FC17BC" w:rsidP="00C30C67">
            <w:pPr>
              <w:spacing w:after="0"/>
              <w:jc w:val="center"/>
              <w:rPr>
                <w:rFonts w:eastAsia="Times New Roman" w:cs="Calibri"/>
                <w:i/>
                <w:iCs/>
                <w:color w:val="414042" w:themeColor="text1"/>
                <w:szCs w:val="20"/>
                <w:lang w:eastAsia="en-AU"/>
              </w:rPr>
            </w:pPr>
            <w:r w:rsidRPr="00DF3006">
              <w:rPr>
                <w:rFonts w:eastAsia="Times New Roman" w:cs="Calibri"/>
                <w:i/>
                <w:iCs/>
                <w:color w:val="414042" w:themeColor="text1"/>
                <w:szCs w:val="20"/>
                <w:lang w:eastAsia="en-AU"/>
              </w:rPr>
              <w:t> </w:t>
            </w:r>
          </w:p>
        </w:tc>
        <w:tc>
          <w:tcPr>
            <w:tcW w:w="706" w:type="dxa"/>
            <w:tcBorders>
              <w:top w:val="nil"/>
              <w:left w:val="nil"/>
              <w:bottom w:val="nil"/>
              <w:right w:val="nil"/>
            </w:tcBorders>
            <w:shd w:val="clear" w:color="auto" w:fill="FFFFFF" w:themeFill="background1"/>
          </w:tcPr>
          <w:p w14:paraId="7B3A0009"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hideMark/>
          </w:tcPr>
          <w:p w14:paraId="7B206515" w14:textId="77777777" w:rsidR="00FC17BC" w:rsidRPr="00DF3006" w:rsidRDefault="00FC17BC" w:rsidP="00C30C67">
            <w:pPr>
              <w:spacing w:after="0"/>
              <w:jc w:val="right"/>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 </w:t>
            </w:r>
          </w:p>
        </w:tc>
        <w:tc>
          <w:tcPr>
            <w:tcW w:w="895" w:type="dxa"/>
            <w:tcBorders>
              <w:top w:val="nil"/>
              <w:left w:val="nil"/>
              <w:bottom w:val="nil"/>
              <w:right w:val="nil"/>
            </w:tcBorders>
            <w:shd w:val="clear" w:color="000000" w:fill="FFFFFF"/>
          </w:tcPr>
          <w:p w14:paraId="24D2D4BC"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1044" w:type="dxa"/>
            <w:tcBorders>
              <w:top w:val="nil"/>
              <w:left w:val="nil"/>
              <w:bottom w:val="nil"/>
              <w:right w:val="nil"/>
            </w:tcBorders>
            <w:shd w:val="clear" w:color="000000" w:fill="FFFFFF"/>
          </w:tcPr>
          <w:p w14:paraId="4737FEBF"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4A34C60B" w14:textId="77777777" w:rsidR="00FC17BC" w:rsidRPr="00DF3006" w:rsidRDefault="00FC17BC" w:rsidP="00C30C67">
            <w:pPr>
              <w:spacing w:after="0"/>
              <w:jc w:val="right"/>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 </w:t>
            </w:r>
          </w:p>
        </w:tc>
      </w:tr>
      <w:tr w:rsidR="00DF3006" w:rsidRPr="00DF3006" w14:paraId="4B5847E9" w14:textId="77777777" w:rsidTr="00A43983">
        <w:trPr>
          <w:trHeight w:val="300"/>
        </w:trPr>
        <w:tc>
          <w:tcPr>
            <w:tcW w:w="4820" w:type="dxa"/>
            <w:gridSpan w:val="2"/>
            <w:tcBorders>
              <w:top w:val="nil"/>
              <w:left w:val="nil"/>
              <w:bottom w:val="nil"/>
              <w:right w:val="nil"/>
            </w:tcBorders>
            <w:shd w:val="clear" w:color="000000" w:fill="FFFFFF"/>
            <w:noWrap/>
            <w:vAlign w:val="center"/>
            <w:hideMark/>
          </w:tcPr>
          <w:p w14:paraId="0BBA2777"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Grants and other contributions                                                                                     </w:t>
            </w:r>
          </w:p>
        </w:tc>
        <w:tc>
          <w:tcPr>
            <w:tcW w:w="706" w:type="dxa"/>
            <w:tcBorders>
              <w:top w:val="nil"/>
              <w:left w:val="nil"/>
              <w:bottom w:val="nil"/>
              <w:right w:val="nil"/>
            </w:tcBorders>
            <w:shd w:val="clear" w:color="auto" w:fill="FFFFFF" w:themeFill="background1"/>
          </w:tcPr>
          <w:p w14:paraId="7F88CA2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w:t>
            </w:r>
          </w:p>
        </w:tc>
        <w:tc>
          <w:tcPr>
            <w:tcW w:w="1134" w:type="dxa"/>
            <w:tcBorders>
              <w:top w:val="nil"/>
              <w:left w:val="nil"/>
              <w:bottom w:val="nil"/>
              <w:right w:val="nil"/>
            </w:tcBorders>
            <w:shd w:val="clear" w:color="auto" w:fill="D9D9D9" w:themeFill="background1" w:themeFillShade="D9"/>
            <w:vAlign w:val="center"/>
          </w:tcPr>
          <w:p w14:paraId="3DC151A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67,045</w:t>
            </w:r>
          </w:p>
        </w:tc>
        <w:tc>
          <w:tcPr>
            <w:tcW w:w="895" w:type="dxa"/>
            <w:tcBorders>
              <w:top w:val="nil"/>
              <w:left w:val="nil"/>
              <w:bottom w:val="nil"/>
              <w:right w:val="nil"/>
            </w:tcBorders>
            <w:shd w:val="clear" w:color="000000" w:fill="FFFFFF"/>
            <w:vAlign w:val="center"/>
          </w:tcPr>
          <w:p w14:paraId="3C655E5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65,825</w:t>
            </w:r>
          </w:p>
        </w:tc>
        <w:tc>
          <w:tcPr>
            <w:tcW w:w="1044" w:type="dxa"/>
            <w:tcBorders>
              <w:top w:val="nil"/>
              <w:left w:val="nil"/>
              <w:bottom w:val="nil"/>
              <w:right w:val="nil"/>
            </w:tcBorders>
            <w:shd w:val="clear" w:color="000000" w:fill="FFFFFF"/>
            <w:vAlign w:val="center"/>
          </w:tcPr>
          <w:p w14:paraId="17E0E2B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1,220</w:t>
            </w:r>
          </w:p>
        </w:tc>
        <w:tc>
          <w:tcPr>
            <w:tcW w:w="895" w:type="dxa"/>
            <w:tcBorders>
              <w:top w:val="nil"/>
              <w:left w:val="nil"/>
              <w:bottom w:val="nil"/>
              <w:right w:val="nil"/>
            </w:tcBorders>
            <w:shd w:val="clear" w:color="000000" w:fill="FFFFFF"/>
            <w:vAlign w:val="center"/>
            <w:hideMark/>
          </w:tcPr>
          <w:p w14:paraId="29660EF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63,897</w:t>
            </w:r>
          </w:p>
        </w:tc>
      </w:tr>
      <w:tr w:rsidR="00DF3006" w:rsidRPr="00DF3006" w14:paraId="32E4A06C" w14:textId="77777777" w:rsidTr="00A43983">
        <w:trPr>
          <w:trHeight w:val="300"/>
        </w:trPr>
        <w:tc>
          <w:tcPr>
            <w:tcW w:w="4481" w:type="dxa"/>
            <w:tcBorders>
              <w:top w:val="nil"/>
              <w:left w:val="nil"/>
              <w:bottom w:val="nil"/>
              <w:right w:val="nil"/>
            </w:tcBorders>
            <w:shd w:val="clear" w:color="000000" w:fill="FFFFFF"/>
            <w:noWrap/>
            <w:vAlign w:val="center"/>
            <w:hideMark/>
          </w:tcPr>
          <w:p w14:paraId="14CB820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Interest receipts</w:t>
            </w:r>
          </w:p>
        </w:tc>
        <w:tc>
          <w:tcPr>
            <w:tcW w:w="339" w:type="dxa"/>
            <w:tcBorders>
              <w:top w:val="nil"/>
              <w:left w:val="nil"/>
              <w:bottom w:val="nil"/>
              <w:right w:val="nil"/>
            </w:tcBorders>
            <w:shd w:val="clear" w:color="000000" w:fill="FFFFFF"/>
            <w:noWrap/>
            <w:vAlign w:val="center"/>
            <w:hideMark/>
          </w:tcPr>
          <w:p w14:paraId="5E46F0FF"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62984CE9"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07CB848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913</w:t>
            </w:r>
          </w:p>
        </w:tc>
        <w:tc>
          <w:tcPr>
            <w:tcW w:w="895" w:type="dxa"/>
            <w:tcBorders>
              <w:top w:val="nil"/>
              <w:left w:val="nil"/>
              <w:bottom w:val="nil"/>
              <w:right w:val="nil"/>
            </w:tcBorders>
            <w:shd w:val="clear" w:color="000000" w:fill="FFFFFF"/>
            <w:vAlign w:val="center"/>
          </w:tcPr>
          <w:p w14:paraId="25A7E88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150</w:t>
            </w:r>
          </w:p>
        </w:tc>
        <w:tc>
          <w:tcPr>
            <w:tcW w:w="1044" w:type="dxa"/>
            <w:tcBorders>
              <w:top w:val="nil"/>
              <w:left w:val="nil"/>
              <w:bottom w:val="nil"/>
              <w:right w:val="nil"/>
            </w:tcBorders>
            <w:shd w:val="clear" w:color="000000" w:fill="FFFFFF"/>
            <w:vAlign w:val="center"/>
          </w:tcPr>
          <w:p w14:paraId="358FCFA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763</w:t>
            </w:r>
          </w:p>
        </w:tc>
        <w:tc>
          <w:tcPr>
            <w:tcW w:w="895" w:type="dxa"/>
            <w:tcBorders>
              <w:top w:val="nil"/>
              <w:left w:val="nil"/>
              <w:bottom w:val="nil"/>
              <w:right w:val="nil"/>
            </w:tcBorders>
            <w:shd w:val="clear" w:color="000000" w:fill="FFFFFF"/>
            <w:vAlign w:val="center"/>
            <w:hideMark/>
          </w:tcPr>
          <w:p w14:paraId="691DAF8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134</w:t>
            </w:r>
          </w:p>
        </w:tc>
      </w:tr>
      <w:tr w:rsidR="00DF3006" w:rsidRPr="00DF3006" w14:paraId="6C1D88F4" w14:textId="77777777" w:rsidTr="00A43983">
        <w:trPr>
          <w:trHeight w:val="300"/>
        </w:trPr>
        <w:tc>
          <w:tcPr>
            <w:tcW w:w="4481" w:type="dxa"/>
            <w:tcBorders>
              <w:top w:val="nil"/>
              <w:left w:val="nil"/>
              <w:bottom w:val="nil"/>
              <w:right w:val="nil"/>
            </w:tcBorders>
            <w:shd w:val="clear" w:color="000000" w:fill="FFFFFF"/>
            <w:noWrap/>
            <w:vAlign w:val="center"/>
            <w:hideMark/>
          </w:tcPr>
          <w:p w14:paraId="07EB0DC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GST input tax credits from ATO</w:t>
            </w:r>
          </w:p>
        </w:tc>
        <w:tc>
          <w:tcPr>
            <w:tcW w:w="339" w:type="dxa"/>
            <w:tcBorders>
              <w:top w:val="nil"/>
              <w:left w:val="nil"/>
              <w:bottom w:val="nil"/>
              <w:right w:val="nil"/>
            </w:tcBorders>
            <w:shd w:val="clear" w:color="000000" w:fill="FFFFFF"/>
            <w:noWrap/>
            <w:vAlign w:val="center"/>
            <w:hideMark/>
          </w:tcPr>
          <w:p w14:paraId="5F7D3EA6"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62D94397"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4402D72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1,585</w:t>
            </w:r>
          </w:p>
        </w:tc>
        <w:tc>
          <w:tcPr>
            <w:tcW w:w="895" w:type="dxa"/>
            <w:tcBorders>
              <w:top w:val="nil"/>
              <w:left w:val="nil"/>
              <w:bottom w:val="nil"/>
              <w:right w:val="nil"/>
            </w:tcBorders>
            <w:shd w:val="clear" w:color="000000" w:fill="FFFFFF"/>
            <w:vAlign w:val="center"/>
          </w:tcPr>
          <w:p w14:paraId="3C0541E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1,168</w:t>
            </w:r>
          </w:p>
        </w:tc>
        <w:tc>
          <w:tcPr>
            <w:tcW w:w="1044" w:type="dxa"/>
            <w:tcBorders>
              <w:top w:val="nil"/>
              <w:left w:val="nil"/>
              <w:bottom w:val="nil"/>
              <w:right w:val="nil"/>
            </w:tcBorders>
            <w:shd w:val="clear" w:color="000000" w:fill="FFFFFF"/>
            <w:vAlign w:val="center"/>
          </w:tcPr>
          <w:p w14:paraId="30BDCDA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417</w:t>
            </w:r>
          </w:p>
        </w:tc>
        <w:tc>
          <w:tcPr>
            <w:tcW w:w="895" w:type="dxa"/>
            <w:tcBorders>
              <w:top w:val="nil"/>
              <w:left w:val="nil"/>
              <w:bottom w:val="nil"/>
              <w:right w:val="nil"/>
            </w:tcBorders>
            <w:shd w:val="clear" w:color="000000" w:fill="FFFFFF"/>
            <w:vAlign w:val="center"/>
            <w:hideMark/>
          </w:tcPr>
          <w:p w14:paraId="7C8742E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1,637</w:t>
            </w:r>
          </w:p>
        </w:tc>
      </w:tr>
      <w:tr w:rsidR="00DF3006" w:rsidRPr="00DF3006" w14:paraId="007B707A" w14:textId="77777777" w:rsidTr="00A43983">
        <w:trPr>
          <w:trHeight w:val="300"/>
        </w:trPr>
        <w:tc>
          <w:tcPr>
            <w:tcW w:w="4481" w:type="dxa"/>
            <w:tcBorders>
              <w:top w:val="nil"/>
              <w:left w:val="nil"/>
              <w:bottom w:val="nil"/>
              <w:right w:val="nil"/>
            </w:tcBorders>
            <w:shd w:val="clear" w:color="000000" w:fill="FFFFFF"/>
            <w:noWrap/>
            <w:vAlign w:val="center"/>
            <w:hideMark/>
          </w:tcPr>
          <w:p w14:paraId="441BE2F7"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GST collected from customers</w:t>
            </w:r>
          </w:p>
        </w:tc>
        <w:tc>
          <w:tcPr>
            <w:tcW w:w="339" w:type="dxa"/>
            <w:tcBorders>
              <w:top w:val="nil"/>
              <w:left w:val="nil"/>
              <w:bottom w:val="nil"/>
              <w:right w:val="nil"/>
            </w:tcBorders>
            <w:shd w:val="clear" w:color="000000" w:fill="FFFFFF"/>
            <w:noWrap/>
            <w:vAlign w:val="center"/>
            <w:hideMark/>
          </w:tcPr>
          <w:p w14:paraId="7CDEEDFA"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0F5C7E45"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6A64C6A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29</w:t>
            </w:r>
          </w:p>
        </w:tc>
        <w:tc>
          <w:tcPr>
            <w:tcW w:w="895" w:type="dxa"/>
            <w:tcBorders>
              <w:top w:val="nil"/>
              <w:left w:val="nil"/>
              <w:bottom w:val="nil"/>
              <w:right w:val="nil"/>
            </w:tcBorders>
            <w:shd w:val="clear" w:color="000000" w:fill="FFFFFF"/>
            <w:vAlign w:val="center"/>
          </w:tcPr>
          <w:p w14:paraId="3725C73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044" w:type="dxa"/>
            <w:tcBorders>
              <w:top w:val="nil"/>
              <w:left w:val="nil"/>
              <w:bottom w:val="nil"/>
              <w:right w:val="nil"/>
            </w:tcBorders>
            <w:shd w:val="clear" w:color="000000" w:fill="FFFFFF"/>
            <w:vAlign w:val="center"/>
          </w:tcPr>
          <w:p w14:paraId="3F594F7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29</w:t>
            </w:r>
          </w:p>
        </w:tc>
        <w:tc>
          <w:tcPr>
            <w:tcW w:w="895" w:type="dxa"/>
            <w:tcBorders>
              <w:top w:val="nil"/>
              <w:left w:val="nil"/>
              <w:bottom w:val="nil"/>
              <w:right w:val="nil"/>
            </w:tcBorders>
            <w:shd w:val="clear" w:color="000000" w:fill="FFFFFF"/>
            <w:vAlign w:val="center"/>
            <w:hideMark/>
          </w:tcPr>
          <w:p w14:paraId="60498B8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78</w:t>
            </w:r>
          </w:p>
        </w:tc>
      </w:tr>
      <w:tr w:rsidR="00DF3006" w:rsidRPr="00DF3006" w14:paraId="05229050" w14:textId="77777777" w:rsidTr="00A43983">
        <w:trPr>
          <w:trHeight w:val="300"/>
        </w:trPr>
        <w:tc>
          <w:tcPr>
            <w:tcW w:w="4481" w:type="dxa"/>
            <w:tcBorders>
              <w:top w:val="nil"/>
              <w:left w:val="nil"/>
              <w:bottom w:val="nil"/>
              <w:right w:val="nil"/>
            </w:tcBorders>
            <w:shd w:val="clear" w:color="000000" w:fill="FFFFFF"/>
            <w:noWrap/>
            <w:vAlign w:val="center"/>
            <w:hideMark/>
          </w:tcPr>
          <w:p w14:paraId="1A969A0A"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w:t>
            </w:r>
          </w:p>
        </w:tc>
        <w:tc>
          <w:tcPr>
            <w:tcW w:w="339" w:type="dxa"/>
            <w:tcBorders>
              <w:top w:val="nil"/>
              <w:left w:val="nil"/>
              <w:bottom w:val="nil"/>
              <w:right w:val="nil"/>
            </w:tcBorders>
            <w:shd w:val="clear" w:color="000000" w:fill="FFFFFF"/>
            <w:noWrap/>
            <w:vAlign w:val="center"/>
            <w:hideMark/>
          </w:tcPr>
          <w:p w14:paraId="1EA0416F"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04FB0F77"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2E8CF2A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128</w:t>
            </w:r>
          </w:p>
        </w:tc>
        <w:tc>
          <w:tcPr>
            <w:tcW w:w="895" w:type="dxa"/>
            <w:tcBorders>
              <w:top w:val="nil"/>
              <w:left w:val="nil"/>
              <w:bottom w:val="nil"/>
              <w:right w:val="nil"/>
            </w:tcBorders>
            <w:shd w:val="clear" w:color="000000" w:fill="FFFFFF"/>
            <w:vAlign w:val="center"/>
          </w:tcPr>
          <w:p w14:paraId="7046C00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104</w:t>
            </w:r>
          </w:p>
        </w:tc>
        <w:tc>
          <w:tcPr>
            <w:tcW w:w="1044" w:type="dxa"/>
            <w:tcBorders>
              <w:top w:val="nil"/>
              <w:left w:val="nil"/>
              <w:bottom w:val="nil"/>
              <w:right w:val="nil"/>
            </w:tcBorders>
            <w:shd w:val="clear" w:color="000000" w:fill="FFFFFF"/>
            <w:vAlign w:val="center"/>
          </w:tcPr>
          <w:p w14:paraId="6540F72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w:t>
            </w:r>
          </w:p>
        </w:tc>
        <w:tc>
          <w:tcPr>
            <w:tcW w:w="895" w:type="dxa"/>
            <w:tcBorders>
              <w:top w:val="nil"/>
              <w:left w:val="nil"/>
              <w:bottom w:val="nil"/>
              <w:right w:val="nil"/>
            </w:tcBorders>
            <w:shd w:val="clear" w:color="000000" w:fill="FFFFFF"/>
            <w:vAlign w:val="center"/>
            <w:hideMark/>
          </w:tcPr>
          <w:p w14:paraId="0856CDD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70</w:t>
            </w:r>
          </w:p>
        </w:tc>
      </w:tr>
      <w:tr w:rsidR="00DF3006" w:rsidRPr="00DF3006" w14:paraId="73855549" w14:textId="77777777" w:rsidTr="00A43983">
        <w:trPr>
          <w:trHeight w:val="162"/>
        </w:trPr>
        <w:tc>
          <w:tcPr>
            <w:tcW w:w="4481" w:type="dxa"/>
            <w:tcBorders>
              <w:top w:val="nil"/>
              <w:left w:val="nil"/>
              <w:bottom w:val="nil"/>
              <w:right w:val="nil"/>
            </w:tcBorders>
            <w:shd w:val="clear" w:color="000000" w:fill="FFFFFF"/>
            <w:noWrap/>
            <w:vAlign w:val="center"/>
            <w:hideMark/>
          </w:tcPr>
          <w:p w14:paraId="1A07082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339" w:type="dxa"/>
            <w:tcBorders>
              <w:top w:val="nil"/>
              <w:left w:val="nil"/>
              <w:bottom w:val="nil"/>
              <w:right w:val="nil"/>
            </w:tcBorders>
            <w:shd w:val="clear" w:color="000000" w:fill="FFFFFF"/>
            <w:noWrap/>
            <w:vAlign w:val="center"/>
            <w:hideMark/>
          </w:tcPr>
          <w:p w14:paraId="1AD1B29E"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79BE0C12"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0AE202FB"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1B991527"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5ACD34F6"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0D75994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4B7E7138" w14:textId="77777777" w:rsidTr="00A43983">
        <w:trPr>
          <w:trHeight w:val="300"/>
        </w:trPr>
        <w:tc>
          <w:tcPr>
            <w:tcW w:w="4481" w:type="dxa"/>
            <w:tcBorders>
              <w:top w:val="nil"/>
              <w:left w:val="nil"/>
              <w:bottom w:val="nil"/>
              <w:right w:val="nil"/>
            </w:tcBorders>
            <w:shd w:val="clear" w:color="000000" w:fill="FFFFFF"/>
            <w:noWrap/>
            <w:vAlign w:val="center"/>
            <w:hideMark/>
          </w:tcPr>
          <w:p w14:paraId="5D25C954" w14:textId="77777777" w:rsidR="00FC17BC" w:rsidRPr="00DF3006" w:rsidRDefault="00FC17BC" w:rsidP="00C30C67">
            <w:pPr>
              <w:spacing w:after="0"/>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Outflows</w:t>
            </w:r>
          </w:p>
        </w:tc>
        <w:tc>
          <w:tcPr>
            <w:tcW w:w="339" w:type="dxa"/>
            <w:tcBorders>
              <w:top w:val="nil"/>
              <w:left w:val="nil"/>
              <w:bottom w:val="nil"/>
              <w:right w:val="nil"/>
            </w:tcBorders>
            <w:shd w:val="clear" w:color="000000" w:fill="FFFFFF"/>
            <w:noWrap/>
            <w:vAlign w:val="center"/>
            <w:hideMark/>
          </w:tcPr>
          <w:p w14:paraId="0DA98671" w14:textId="77777777" w:rsidR="00FC17BC" w:rsidRPr="00DF3006" w:rsidRDefault="00FC17BC" w:rsidP="00C30C67">
            <w:pPr>
              <w:spacing w:after="0"/>
              <w:jc w:val="center"/>
              <w:rPr>
                <w:rFonts w:eastAsia="Times New Roman" w:cs="Calibri"/>
                <w:i/>
                <w:iCs/>
                <w:color w:val="414042" w:themeColor="text1"/>
                <w:szCs w:val="20"/>
                <w:lang w:eastAsia="en-AU"/>
              </w:rPr>
            </w:pPr>
            <w:r w:rsidRPr="00DF3006">
              <w:rPr>
                <w:rFonts w:eastAsia="Times New Roman" w:cs="Calibri"/>
                <w:i/>
                <w:iCs/>
                <w:color w:val="414042" w:themeColor="text1"/>
                <w:szCs w:val="20"/>
                <w:lang w:eastAsia="en-AU"/>
              </w:rPr>
              <w:t> </w:t>
            </w:r>
          </w:p>
        </w:tc>
        <w:tc>
          <w:tcPr>
            <w:tcW w:w="706" w:type="dxa"/>
            <w:tcBorders>
              <w:top w:val="nil"/>
              <w:left w:val="nil"/>
              <w:bottom w:val="nil"/>
              <w:right w:val="nil"/>
            </w:tcBorders>
            <w:shd w:val="clear" w:color="auto" w:fill="FFFFFF" w:themeFill="background1"/>
          </w:tcPr>
          <w:p w14:paraId="3B97583F"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38212F65"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895" w:type="dxa"/>
            <w:tcBorders>
              <w:top w:val="nil"/>
              <w:left w:val="nil"/>
              <w:bottom w:val="nil"/>
              <w:right w:val="nil"/>
            </w:tcBorders>
            <w:shd w:val="clear" w:color="000000" w:fill="FFFFFF"/>
            <w:vAlign w:val="center"/>
          </w:tcPr>
          <w:p w14:paraId="6C240C9B"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1044" w:type="dxa"/>
            <w:tcBorders>
              <w:top w:val="nil"/>
              <w:left w:val="nil"/>
              <w:bottom w:val="nil"/>
              <w:right w:val="nil"/>
            </w:tcBorders>
            <w:shd w:val="clear" w:color="000000" w:fill="FFFFFF"/>
            <w:vAlign w:val="center"/>
          </w:tcPr>
          <w:p w14:paraId="3E048B1F"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4F5A04FE" w14:textId="77777777" w:rsidR="00FC17BC" w:rsidRPr="00DF3006" w:rsidRDefault="00FC17BC" w:rsidP="00C30C67">
            <w:pPr>
              <w:spacing w:after="0"/>
              <w:jc w:val="right"/>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 </w:t>
            </w:r>
          </w:p>
        </w:tc>
      </w:tr>
      <w:tr w:rsidR="00DF3006" w:rsidRPr="00DF3006" w14:paraId="078A5E94" w14:textId="77777777" w:rsidTr="00A43983">
        <w:trPr>
          <w:trHeight w:val="300"/>
        </w:trPr>
        <w:tc>
          <w:tcPr>
            <w:tcW w:w="4481" w:type="dxa"/>
            <w:tcBorders>
              <w:top w:val="nil"/>
              <w:left w:val="nil"/>
              <w:bottom w:val="nil"/>
              <w:right w:val="nil"/>
            </w:tcBorders>
            <w:shd w:val="clear" w:color="000000" w:fill="FFFFFF"/>
            <w:noWrap/>
            <w:vAlign w:val="center"/>
            <w:hideMark/>
          </w:tcPr>
          <w:p w14:paraId="4CCA4F3A"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Employee expenses</w:t>
            </w:r>
          </w:p>
        </w:tc>
        <w:tc>
          <w:tcPr>
            <w:tcW w:w="339" w:type="dxa"/>
            <w:tcBorders>
              <w:top w:val="nil"/>
              <w:left w:val="nil"/>
              <w:bottom w:val="nil"/>
              <w:right w:val="nil"/>
            </w:tcBorders>
            <w:shd w:val="clear" w:color="000000" w:fill="FFFFFF"/>
            <w:noWrap/>
            <w:vAlign w:val="center"/>
            <w:hideMark/>
          </w:tcPr>
          <w:p w14:paraId="084E54C4"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40169DDF"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3EB3567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(45,435)</w:t>
            </w:r>
          </w:p>
        </w:tc>
        <w:tc>
          <w:tcPr>
            <w:tcW w:w="895" w:type="dxa"/>
            <w:tcBorders>
              <w:top w:val="nil"/>
              <w:left w:val="nil"/>
              <w:bottom w:val="nil"/>
              <w:right w:val="nil"/>
            </w:tcBorders>
            <w:shd w:val="clear" w:color="000000" w:fill="FFFFFF"/>
            <w:vAlign w:val="center"/>
          </w:tcPr>
          <w:p w14:paraId="0109070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(47,969)</w:t>
            </w:r>
          </w:p>
        </w:tc>
        <w:tc>
          <w:tcPr>
            <w:tcW w:w="1044" w:type="dxa"/>
            <w:tcBorders>
              <w:top w:val="nil"/>
              <w:left w:val="nil"/>
              <w:bottom w:val="nil"/>
              <w:right w:val="nil"/>
            </w:tcBorders>
            <w:shd w:val="clear" w:color="000000" w:fill="FFFFFF"/>
            <w:vAlign w:val="center"/>
          </w:tcPr>
          <w:p w14:paraId="525E307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2,534</w:t>
            </w:r>
          </w:p>
        </w:tc>
        <w:tc>
          <w:tcPr>
            <w:tcW w:w="895" w:type="dxa"/>
            <w:tcBorders>
              <w:top w:val="nil"/>
              <w:left w:val="nil"/>
              <w:bottom w:val="nil"/>
              <w:right w:val="nil"/>
            </w:tcBorders>
            <w:shd w:val="clear" w:color="000000" w:fill="FFFFFF"/>
            <w:vAlign w:val="center"/>
            <w:hideMark/>
          </w:tcPr>
          <w:p w14:paraId="0276182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(45,082)</w:t>
            </w:r>
          </w:p>
        </w:tc>
      </w:tr>
      <w:tr w:rsidR="00DF3006" w:rsidRPr="00DF3006" w14:paraId="25658A1B" w14:textId="77777777" w:rsidTr="00A43983">
        <w:trPr>
          <w:trHeight w:val="300"/>
        </w:trPr>
        <w:tc>
          <w:tcPr>
            <w:tcW w:w="4481" w:type="dxa"/>
            <w:tcBorders>
              <w:top w:val="nil"/>
              <w:left w:val="nil"/>
              <w:bottom w:val="nil"/>
              <w:right w:val="nil"/>
            </w:tcBorders>
            <w:shd w:val="clear" w:color="000000" w:fill="FFFFFF"/>
            <w:noWrap/>
            <w:vAlign w:val="center"/>
            <w:hideMark/>
          </w:tcPr>
          <w:p w14:paraId="625AFA48"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Supplies and services</w:t>
            </w:r>
          </w:p>
        </w:tc>
        <w:tc>
          <w:tcPr>
            <w:tcW w:w="339" w:type="dxa"/>
            <w:tcBorders>
              <w:top w:val="nil"/>
              <w:left w:val="nil"/>
              <w:bottom w:val="nil"/>
              <w:right w:val="nil"/>
            </w:tcBorders>
            <w:shd w:val="clear" w:color="000000" w:fill="FFFFFF"/>
            <w:noWrap/>
            <w:vAlign w:val="center"/>
            <w:hideMark/>
          </w:tcPr>
          <w:p w14:paraId="57407490"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5EC48FC1"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35CBB7F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(11,288)</w:t>
            </w:r>
          </w:p>
        </w:tc>
        <w:tc>
          <w:tcPr>
            <w:tcW w:w="895" w:type="dxa"/>
            <w:tcBorders>
              <w:top w:val="nil"/>
              <w:left w:val="nil"/>
              <w:bottom w:val="nil"/>
              <w:right w:val="nil"/>
            </w:tcBorders>
            <w:shd w:val="clear" w:color="000000" w:fill="FFFFFF"/>
            <w:vAlign w:val="center"/>
          </w:tcPr>
          <w:p w14:paraId="635DDBF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(11,620)</w:t>
            </w:r>
          </w:p>
        </w:tc>
        <w:tc>
          <w:tcPr>
            <w:tcW w:w="1044" w:type="dxa"/>
            <w:tcBorders>
              <w:top w:val="nil"/>
              <w:left w:val="nil"/>
              <w:bottom w:val="nil"/>
              <w:right w:val="nil"/>
            </w:tcBorders>
            <w:shd w:val="clear" w:color="000000" w:fill="FFFFFF"/>
            <w:vAlign w:val="center"/>
          </w:tcPr>
          <w:p w14:paraId="22CD87E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332</w:t>
            </w:r>
          </w:p>
        </w:tc>
        <w:tc>
          <w:tcPr>
            <w:tcW w:w="895" w:type="dxa"/>
            <w:tcBorders>
              <w:top w:val="nil"/>
              <w:left w:val="nil"/>
              <w:bottom w:val="nil"/>
              <w:right w:val="nil"/>
            </w:tcBorders>
            <w:shd w:val="clear" w:color="000000" w:fill="FFFFFF"/>
            <w:vAlign w:val="center"/>
            <w:hideMark/>
          </w:tcPr>
          <w:p w14:paraId="41E265B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(10,717)</w:t>
            </w:r>
          </w:p>
        </w:tc>
      </w:tr>
      <w:tr w:rsidR="00DF3006" w:rsidRPr="00DF3006" w14:paraId="7B9BFCF0" w14:textId="77777777" w:rsidTr="00A43983">
        <w:trPr>
          <w:trHeight w:val="300"/>
        </w:trPr>
        <w:tc>
          <w:tcPr>
            <w:tcW w:w="4481" w:type="dxa"/>
            <w:tcBorders>
              <w:top w:val="nil"/>
              <w:left w:val="nil"/>
              <w:bottom w:val="nil"/>
              <w:right w:val="nil"/>
            </w:tcBorders>
            <w:shd w:val="clear" w:color="000000" w:fill="FFFFFF"/>
            <w:noWrap/>
            <w:vAlign w:val="center"/>
            <w:hideMark/>
          </w:tcPr>
          <w:p w14:paraId="436FF91D"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Property rental</w:t>
            </w:r>
          </w:p>
        </w:tc>
        <w:tc>
          <w:tcPr>
            <w:tcW w:w="339" w:type="dxa"/>
            <w:tcBorders>
              <w:top w:val="nil"/>
              <w:left w:val="nil"/>
              <w:bottom w:val="nil"/>
              <w:right w:val="nil"/>
            </w:tcBorders>
            <w:shd w:val="clear" w:color="000000" w:fill="FFFFFF"/>
            <w:noWrap/>
            <w:vAlign w:val="center"/>
            <w:hideMark/>
          </w:tcPr>
          <w:p w14:paraId="39B49611"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5FEDDD6B"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43544A8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(3,517)</w:t>
            </w:r>
          </w:p>
        </w:tc>
        <w:tc>
          <w:tcPr>
            <w:tcW w:w="895" w:type="dxa"/>
            <w:tcBorders>
              <w:top w:val="nil"/>
              <w:left w:val="nil"/>
              <w:bottom w:val="nil"/>
              <w:right w:val="nil"/>
            </w:tcBorders>
            <w:shd w:val="clear" w:color="000000" w:fill="FFFFFF"/>
            <w:vAlign w:val="center"/>
          </w:tcPr>
          <w:p w14:paraId="13BB21A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(3,711)</w:t>
            </w:r>
          </w:p>
        </w:tc>
        <w:tc>
          <w:tcPr>
            <w:tcW w:w="1044" w:type="dxa"/>
            <w:tcBorders>
              <w:top w:val="nil"/>
              <w:left w:val="nil"/>
              <w:bottom w:val="nil"/>
              <w:right w:val="nil"/>
            </w:tcBorders>
            <w:shd w:val="clear" w:color="000000" w:fill="FFFFFF"/>
            <w:vAlign w:val="center"/>
          </w:tcPr>
          <w:p w14:paraId="0D063DD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194</w:t>
            </w:r>
          </w:p>
        </w:tc>
        <w:tc>
          <w:tcPr>
            <w:tcW w:w="895" w:type="dxa"/>
            <w:tcBorders>
              <w:top w:val="nil"/>
              <w:left w:val="nil"/>
              <w:bottom w:val="nil"/>
              <w:right w:val="nil"/>
            </w:tcBorders>
            <w:shd w:val="clear" w:color="000000" w:fill="FFFFFF"/>
            <w:vAlign w:val="center"/>
            <w:hideMark/>
          </w:tcPr>
          <w:p w14:paraId="437F097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(3,356)</w:t>
            </w:r>
          </w:p>
        </w:tc>
      </w:tr>
      <w:tr w:rsidR="00DF3006" w:rsidRPr="00DF3006" w14:paraId="568D6339" w14:textId="77777777" w:rsidTr="00A43983">
        <w:trPr>
          <w:trHeight w:val="300"/>
        </w:trPr>
        <w:tc>
          <w:tcPr>
            <w:tcW w:w="4481" w:type="dxa"/>
            <w:tcBorders>
              <w:top w:val="nil"/>
              <w:left w:val="nil"/>
              <w:bottom w:val="nil"/>
              <w:right w:val="nil"/>
            </w:tcBorders>
            <w:shd w:val="clear" w:color="000000" w:fill="FFFFFF"/>
            <w:noWrap/>
            <w:vAlign w:val="center"/>
            <w:hideMark/>
          </w:tcPr>
          <w:p w14:paraId="2A437F0C"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GST paid to suppliers</w:t>
            </w:r>
          </w:p>
        </w:tc>
        <w:tc>
          <w:tcPr>
            <w:tcW w:w="339" w:type="dxa"/>
            <w:tcBorders>
              <w:top w:val="nil"/>
              <w:left w:val="nil"/>
              <w:bottom w:val="nil"/>
              <w:right w:val="nil"/>
            </w:tcBorders>
            <w:shd w:val="clear" w:color="000000" w:fill="FFFFFF"/>
            <w:noWrap/>
            <w:vAlign w:val="center"/>
            <w:hideMark/>
          </w:tcPr>
          <w:p w14:paraId="7A6DAC93"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5C826C9A"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128D2AB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(1,607)</w:t>
            </w:r>
          </w:p>
        </w:tc>
        <w:tc>
          <w:tcPr>
            <w:tcW w:w="895" w:type="dxa"/>
            <w:tcBorders>
              <w:top w:val="nil"/>
              <w:left w:val="nil"/>
              <w:bottom w:val="nil"/>
              <w:right w:val="nil"/>
            </w:tcBorders>
            <w:shd w:val="clear" w:color="000000" w:fill="FFFFFF"/>
            <w:vAlign w:val="center"/>
          </w:tcPr>
          <w:p w14:paraId="4CAB542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(1,143)</w:t>
            </w:r>
          </w:p>
        </w:tc>
        <w:tc>
          <w:tcPr>
            <w:tcW w:w="1044" w:type="dxa"/>
            <w:tcBorders>
              <w:top w:val="nil"/>
              <w:left w:val="nil"/>
              <w:bottom w:val="nil"/>
              <w:right w:val="nil"/>
            </w:tcBorders>
            <w:shd w:val="clear" w:color="000000" w:fill="FFFFFF"/>
            <w:vAlign w:val="center"/>
          </w:tcPr>
          <w:p w14:paraId="63C7B76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(464)</w:t>
            </w:r>
          </w:p>
        </w:tc>
        <w:tc>
          <w:tcPr>
            <w:tcW w:w="895" w:type="dxa"/>
            <w:tcBorders>
              <w:top w:val="nil"/>
              <w:left w:val="nil"/>
              <w:bottom w:val="nil"/>
              <w:right w:val="nil"/>
            </w:tcBorders>
            <w:shd w:val="clear" w:color="000000" w:fill="FFFFFF"/>
            <w:vAlign w:val="center"/>
            <w:hideMark/>
          </w:tcPr>
          <w:p w14:paraId="7FD2D6F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(1,594)</w:t>
            </w:r>
          </w:p>
        </w:tc>
      </w:tr>
      <w:tr w:rsidR="00DF3006" w:rsidRPr="00DF3006" w14:paraId="564B7033" w14:textId="77777777" w:rsidTr="00A43983">
        <w:trPr>
          <w:trHeight w:val="300"/>
        </w:trPr>
        <w:tc>
          <w:tcPr>
            <w:tcW w:w="4481" w:type="dxa"/>
            <w:tcBorders>
              <w:top w:val="nil"/>
              <w:left w:val="nil"/>
              <w:bottom w:val="nil"/>
              <w:right w:val="nil"/>
            </w:tcBorders>
            <w:shd w:val="clear" w:color="000000" w:fill="FFFFFF"/>
            <w:noWrap/>
            <w:vAlign w:val="center"/>
            <w:hideMark/>
          </w:tcPr>
          <w:p w14:paraId="0924630B"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GST remitted to ATO</w:t>
            </w:r>
          </w:p>
        </w:tc>
        <w:tc>
          <w:tcPr>
            <w:tcW w:w="339" w:type="dxa"/>
            <w:tcBorders>
              <w:top w:val="nil"/>
              <w:left w:val="nil"/>
              <w:bottom w:val="nil"/>
              <w:right w:val="nil"/>
            </w:tcBorders>
            <w:shd w:val="clear" w:color="000000" w:fill="FFFFFF"/>
            <w:noWrap/>
            <w:vAlign w:val="center"/>
            <w:hideMark/>
          </w:tcPr>
          <w:p w14:paraId="53F84E99"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77EC26DC"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vAlign w:val="center"/>
          </w:tcPr>
          <w:p w14:paraId="399BB99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(35)</w:t>
            </w:r>
          </w:p>
        </w:tc>
        <w:tc>
          <w:tcPr>
            <w:tcW w:w="895" w:type="dxa"/>
            <w:tcBorders>
              <w:top w:val="nil"/>
              <w:left w:val="nil"/>
              <w:bottom w:val="nil"/>
              <w:right w:val="nil"/>
            </w:tcBorders>
            <w:shd w:val="clear" w:color="000000" w:fill="FFFFFF"/>
            <w:vAlign w:val="center"/>
          </w:tcPr>
          <w:p w14:paraId="262C80E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(28)</w:t>
            </w:r>
          </w:p>
        </w:tc>
        <w:tc>
          <w:tcPr>
            <w:tcW w:w="1044" w:type="dxa"/>
            <w:tcBorders>
              <w:top w:val="nil"/>
              <w:left w:val="nil"/>
              <w:bottom w:val="nil"/>
              <w:right w:val="nil"/>
            </w:tcBorders>
            <w:shd w:val="clear" w:color="000000" w:fill="FFFFFF"/>
            <w:vAlign w:val="center"/>
          </w:tcPr>
          <w:p w14:paraId="1459A84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w:t>
            </w:r>
          </w:p>
        </w:tc>
        <w:tc>
          <w:tcPr>
            <w:tcW w:w="895" w:type="dxa"/>
            <w:tcBorders>
              <w:top w:val="nil"/>
              <w:left w:val="nil"/>
              <w:bottom w:val="nil"/>
              <w:right w:val="nil"/>
            </w:tcBorders>
            <w:shd w:val="clear" w:color="000000" w:fill="FFFFFF"/>
            <w:vAlign w:val="center"/>
            <w:hideMark/>
          </w:tcPr>
          <w:p w14:paraId="4E98C85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(75)</w:t>
            </w:r>
          </w:p>
        </w:tc>
      </w:tr>
      <w:tr w:rsidR="00DF3006" w:rsidRPr="00DF3006" w14:paraId="65B31AE9" w14:textId="77777777" w:rsidTr="00A43983">
        <w:trPr>
          <w:trHeight w:val="315"/>
        </w:trPr>
        <w:tc>
          <w:tcPr>
            <w:tcW w:w="4481" w:type="dxa"/>
            <w:tcBorders>
              <w:top w:val="nil"/>
              <w:left w:val="nil"/>
              <w:bottom w:val="nil"/>
              <w:right w:val="nil"/>
            </w:tcBorders>
            <w:shd w:val="clear" w:color="000000" w:fill="FFFFFF"/>
            <w:noWrap/>
            <w:vAlign w:val="center"/>
            <w:hideMark/>
          </w:tcPr>
          <w:p w14:paraId="271C3B42"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Other</w:t>
            </w:r>
          </w:p>
        </w:tc>
        <w:tc>
          <w:tcPr>
            <w:tcW w:w="339" w:type="dxa"/>
            <w:tcBorders>
              <w:top w:val="nil"/>
              <w:left w:val="nil"/>
              <w:bottom w:val="nil"/>
              <w:right w:val="nil"/>
            </w:tcBorders>
            <w:shd w:val="clear" w:color="000000" w:fill="FFFFFF"/>
            <w:noWrap/>
            <w:vAlign w:val="center"/>
            <w:hideMark/>
          </w:tcPr>
          <w:p w14:paraId="011A0795"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FFFFFF" w:themeFill="background1"/>
          </w:tcPr>
          <w:p w14:paraId="5EA17FDF"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single" w:sz="8" w:space="0" w:color="auto"/>
              <w:right w:val="nil"/>
            </w:tcBorders>
            <w:shd w:val="clear" w:color="auto" w:fill="D9D9D9" w:themeFill="background1" w:themeFillShade="D9"/>
            <w:noWrap/>
            <w:vAlign w:val="center"/>
          </w:tcPr>
          <w:p w14:paraId="74B3764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(145)</w:t>
            </w:r>
          </w:p>
        </w:tc>
        <w:tc>
          <w:tcPr>
            <w:tcW w:w="895" w:type="dxa"/>
            <w:tcBorders>
              <w:top w:val="nil"/>
              <w:left w:val="nil"/>
              <w:bottom w:val="single" w:sz="8" w:space="0" w:color="auto"/>
              <w:right w:val="nil"/>
            </w:tcBorders>
            <w:shd w:val="clear" w:color="000000" w:fill="FFFFFF"/>
            <w:vAlign w:val="center"/>
          </w:tcPr>
          <w:p w14:paraId="23CEBA6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(158)</w:t>
            </w:r>
          </w:p>
        </w:tc>
        <w:tc>
          <w:tcPr>
            <w:tcW w:w="1044" w:type="dxa"/>
            <w:tcBorders>
              <w:top w:val="nil"/>
              <w:left w:val="nil"/>
              <w:bottom w:val="single" w:sz="8" w:space="0" w:color="auto"/>
              <w:right w:val="nil"/>
            </w:tcBorders>
            <w:shd w:val="clear" w:color="000000" w:fill="FFFFFF"/>
            <w:vAlign w:val="center"/>
          </w:tcPr>
          <w:p w14:paraId="4CD0AA2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w:t>
            </w:r>
          </w:p>
        </w:tc>
        <w:tc>
          <w:tcPr>
            <w:tcW w:w="895" w:type="dxa"/>
            <w:tcBorders>
              <w:top w:val="nil"/>
              <w:left w:val="nil"/>
              <w:bottom w:val="single" w:sz="8" w:space="0" w:color="auto"/>
              <w:right w:val="nil"/>
            </w:tcBorders>
            <w:shd w:val="clear" w:color="000000" w:fill="FFFFFF"/>
            <w:vAlign w:val="center"/>
            <w:hideMark/>
          </w:tcPr>
          <w:p w14:paraId="7C1C534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(139)</w:t>
            </w:r>
          </w:p>
        </w:tc>
      </w:tr>
      <w:tr w:rsidR="00DF3006" w:rsidRPr="00DF3006" w14:paraId="1F9C34B7" w14:textId="77777777" w:rsidTr="00A43983">
        <w:trPr>
          <w:trHeight w:val="315"/>
        </w:trPr>
        <w:tc>
          <w:tcPr>
            <w:tcW w:w="4481" w:type="dxa"/>
            <w:tcBorders>
              <w:top w:val="nil"/>
              <w:left w:val="nil"/>
              <w:bottom w:val="nil"/>
              <w:right w:val="nil"/>
            </w:tcBorders>
            <w:shd w:val="clear" w:color="000000" w:fill="FFFFFF"/>
            <w:noWrap/>
            <w:vAlign w:val="center"/>
            <w:hideMark/>
          </w:tcPr>
          <w:p w14:paraId="231C5A4D"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Net cash provided by/(used in) operating activities</w:t>
            </w:r>
          </w:p>
        </w:tc>
        <w:tc>
          <w:tcPr>
            <w:tcW w:w="339" w:type="dxa"/>
            <w:tcBorders>
              <w:top w:val="nil"/>
              <w:left w:val="nil"/>
              <w:bottom w:val="nil"/>
              <w:right w:val="nil"/>
            </w:tcBorders>
            <w:shd w:val="clear" w:color="000000" w:fill="FFFFFF"/>
            <w:noWrap/>
            <w:vAlign w:val="center"/>
            <w:hideMark/>
          </w:tcPr>
          <w:p w14:paraId="11C106E7"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top w:val="nil"/>
              <w:left w:val="nil"/>
              <w:right w:val="nil"/>
            </w:tcBorders>
            <w:shd w:val="clear" w:color="auto" w:fill="FFFFFF" w:themeFill="background1"/>
          </w:tcPr>
          <w:p w14:paraId="353297F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34" w:type="dxa"/>
            <w:tcBorders>
              <w:top w:val="nil"/>
              <w:left w:val="nil"/>
              <w:bottom w:val="single" w:sz="8" w:space="0" w:color="auto"/>
              <w:right w:val="nil"/>
            </w:tcBorders>
            <w:shd w:val="clear" w:color="auto" w:fill="D9D9D9" w:themeFill="background1" w:themeFillShade="D9"/>
            <w:noWrap/>
            <w:vAlign w:val="center"/>
          </w:tcPr>
          <w:p w14:paraId="70FCECF1"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7,673</w:t>
            </w:r>
          </w:p>
        </w:tc>
        <w:tc>
          <w:tcPr>
            <w:tcW w:w="895" w:type="dxa"/>
            <w:tcBorders>
              <w:top w:val="nil"/>
              <w:left w:val="nil"/>
              <w:bottom w:val="single" w:sz="8" w:space="0" w:color="auto"/>
              <w:right w:val="nil"/>
            </w:tcBorders>
            <w:shd w:val="clear" w:color="000000" w:fill="FFFFFF"/>
            <w:vAlign w:val="center"/>
          </w:tcPr>
          <w:p w14:paraId="321AD05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2,618</w:t>
            </w:r>
          </w:p>
        </w:tc>
        <w:tc>
          <w:tcPr>
            <w:tcW w:w="1044" w:type="dxa"/>
            <w:tcBorders>
              <w:top w:val="nil"/>
              <w:left w:val="nil"/>
              <w:bottom w:val="single" w:sz="8" w:space="0" w:color="auto"/>
              <w:right w:val="nil"/>
            </w:tcBorders>
            <w:shd w:val="clear" w:color="000000" w:fill="FFFFFF"/>
            <w:vAlign w:val="center"/>
          </w:tcPr>
          <w:p w14:paraId="49B6632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5,055</w:t>
            </w:r>
          </w:p>
        </w:tc>
        <w:tc>
          <w:tcPr>
            <w:tcW w:w="895" w:type="dxa"/>
            <w:tcBorders>
              <w:top w:val="nil"/>
              <w:left w:val="nil"/>
              <w:bottom w:val="single" w:sz="8" w:space="0" w:color="auto"/>
              <w:right w:val="nil"/>
            </w:tcBorders>
            <w:shd w:val="clear" w:color="000000" w:fill="FFFFFF"/>
            <w:vAlign w:val="center"/>
            <w:hideMark/>
          </w:tcPr>
          <w:p w14:paraId="7506C40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4,853</w:t>
            </w:r>
          </w:p>
        </w:tc>
      </w:tr>
      <w:tr w:rsidR="00DF3006" w:rsidRPr="00DF3006" w14:paraId="1956CF05" w14:textId="77777777" w:rsidTr="00A43983">
        <w:trPr>
          <w:trHeight w:val="162"/>
        </w:trPr>
        <w:tc>
          <w:tcPr>
            <w:tcW w:w="4481" w:type="dxa"/>
            <w:tcBorders>
              <w:top w:val="nil"/>
              <w:left w:val="nil"/>
              <w:bottom w:val="nil"/>
              <w:right w:val="nil"/>
            </w:tcBorders>
            <w:shd w:val="clear" w:color="000000" w:fill="FFFFFF"/>
            <w:noWrap/>
            <w:vAlign w:val="center"/>
            <w:hideMark/>
          </w:tcPr>
          <w:p w14:paraId="469F0C0C"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339" w:type="dxa"/>
            <w:tcBorders>
              <w:top w:val="nil"/>
              <w:left w:val="nil"/>
              <w:bottom w:val="nil"/>
              <w:right w:val="nil"/>
            </w:tcBorders>
            <w:shd w:val="clear" w:color="000000" w:fill="FFFFFF"/>
            <w:noWrap/>
            <w:vAlign w:val="center"/>
            <w:hideMark/>
          </w:tcPr>
          <w:p w14:paraId="5E9E11B5"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711A356D"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15808D49"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7FB8F891"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7624C4B7"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7B9B8C0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0CBCD1A3" w14:textId="77777777" w:rsidTr="00A43983">
        <w:trPr>
          <w:trHeight w:val="300"/>
        </w:trPr>
        <w:tc>
          <w:tcPr>
            <w:tcW w:w="4481" w:type="dxa"/>
            <w:tcBorders>
              <w:top w:val="nil"/>
              <w:left w:val="nil"/>
              <w:bottom w:val="nil"/>
              <w:right w:val="nil"/>
            </w:tcBorders>
            <w:shd w:val="clear" w:color="000000" w:fill="FFFFFF"/>
            <w:noWrap/>
            <w:vAlign w:val="center"/>
            <w:hideMark/>
          </w:tcPr>
          <w:p w14:paraId="32509F66"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Cash flows from investing activities</w:t>
            </w:r>
          </w:p>
        </w:tc>
        <w:tc>
          <w:tcPr>
            <w:tcW w:w="339" w:type="dxa"/>
            <w:tcBorders>
              <w:top w:val="nil"/>
              <w:left w:val="nil"/>
              <w:bottom w:val="nil"/>
              <w:right w:val="nil"/>
            </w:tcBorders>
            <w:shd w:val="clear" w:color="000000" w:fill="FFFFFF"/>
            <w:vAlign w:val="center"/>
            <w:hideMark/>
          </w:tcPr>
          <w:p w14:paraId="59FFE8D1"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49936ED2"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380F406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895" w:type="dxa"/>
            <w:tcBorders>
              <w:top w:val="nil"/>
              <w:left w:val="nil"/>
              <w:bottom w:val="nil"/>
              <w:right w:val="nil"/>
            </w:tcBorders>
            <w:shd w:val="clear" w:color="000000" w:fill="FFFFFF"/>
            <w:vAlign w:val="center"/>
          </w:tcPr>
          <w:p w14:paraId="3C26D8FB"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nil"/>
              <w:right w:val="nil"/>
            </w:tcBorders>
            <w:shd w:val="clear" w:color="000000" w:fill="FFFFFF"/>
            <w:vAlign w:val="center"/>
          </w:tcPr>
          <w:p w14:paraId="395EF10C"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0A52275D"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59706977" w14:textId="77777777" w:rsidTr="00A43983">
        <w:trPr>
          <w:trHeight w:val="300"/>
        </w:trPr>
        <w:tc>
          <w:tcPr>
            <w:tcW w:w="4481" w:type="dxa"/>
            <w:tcBorders>
              <w:top w:val="nil"/>
              <w:left w:val="nil"/>
              <w:bottom w:val="nil"/>
              <w:right w:val="nil"/>
            </w:tcBorders>
            <w:shd w:val="clear" w:color="000000" w:fill="FFFFFF"/>
            <w:noWrap/>
            <w:vAlign w:val="center"/>
            <w:hideMark/>
          </w:tcPr>
          <w:p w14:paraId="42C30C31" w14:textId="77777777" w:rsidR="00FC17BC" w:rsidRPr="00DF3006" w:rsidRDefault="00FC17BC" w:rsidP="00C30C67">
            <w:pPr>
              <w:spacing w:after="0"/>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Inflows</w:t>
            </w:r>
          </w:p>
        </w:tc>
        <w:tc>
          <w:tcPr>
            <w:tcW w:w="339" w:type="dxa"/>
            <w:tcBorders>
              <w:top w:val="nil"/>
              <w:left w:val="nil"/>
              <w:bottom w:val="nil"/>
              <w:right w:val="nil"/>
            </w:tcBorders>
            <w:shd w:val="clear" w:color="000000" w:fill="FFFFFF"/>
            <w:noWrap/>
            <w:vAlign w:val="center"/>
            <w:hideMark/>
          </w:tcPr>
          <w:p w14:paraId="4FB7938F"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50A4B408"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599B8400"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3E23DFD2"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014E63BE"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37552B71" w14:textId="77777777" w:rsidR="00FC17BC" w:rsidRPr="00DF3006" w:rsidRDefault="00FC17BC" w:rsidP="00C30C67">
            <w:pPr>
              <w:spacing w:after="0"/>
              <w:jc w:val="center"/>
              <w:rPr>
                <w:rFonts w:eastAsia="Times New Roman" w:cs="Calibri"/>
                <w:color w:val="414042" w:themeColor="text1"/>
                <w:szCs w:val="20"/>
                <w:lang w:eastAsia="en-AU"/>
              </w:rPr>
            </w:pPr>
          </w:p>
        </w:tc>
      </w:tr>
      <w:tr w:rsidR="00DF3006" w:rsidRPr="00DF3006" w14:paraId="1BA5ADCF" w14:textId="77777777" w:rsidTr="00A43983">
        <w:trPr>
          <w:trHeight w:val="300"/>
        </w:trPr>
        <w:tc>
          <w:tcPr>
            <w:tcW w:w="4481" w:type="dxa"/>
            <w:tcBorders>
              <w:top w:val="nil"/>
              <w:left w:val="nil"/>
              <w:bottom w:val="nil"/>
              <w:right w:val="nil"/>
            </w:tcBorders>
            <w:shd w:val="clear" w:color="000000" w:fill="FFFFFF"/>
            <w:noWrap/>
            <w:vAlign w:val="center"/>
            <w:hideMark/>
          </w:tcPr>
          <w:p w14:paraId="488AD03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Sales of property, </w:t>
            </w:r>
            <w:proofErr w:type="gramStart"/>
            <w:r w:rsidRPr="00DF3006">
              <w:rPr>
                <w:rFonts w:eastAsia="Times New Roman" w:cs="Calibri"/>
                <w:color w:val="414042" w:themeColor="text1"/>
                <w:szCs w:val="20"/>
                <w:lang w:eastAsia="en-AU"/>
              </w:rPr>
              <w:t>plant</w:t>
            </w:r>
            <w:proofErr w:type="gramEnd"/>
            <w:r w:rsidRPr="00DF3006">
              <w:rPr>
                <w:rFonts w:eastAsia="Times New Roman" w:cs="Calibri"/>
                <w:color w:val="414042" w:themeColor="text1"/>
                <w:szCs w:val="20"/>
                <w:lang w:eastAsia="en-AU"/>
              </w:rPr>
              <w:t xml:space="preserve"> and equipment</w:t>
            </w:r>
          </w:p>
        </w:tc>
        <w:tc>
          <w:tcPr>
            <w:tcW w:w="339" w:type="dxa"/>
            <w:tcBorders>
              <w:top w:val="nil"/>
              <w:left w:val="nil"/>
              <w:bottom w:val="nil"/>
              <w:right w:val="nil"/>
            </w:tcBorders>
            <w:shd w:val="clear" w:color="000000" w:fill="FFFFFF"/>
            <w:noWrap/>
            <w:vAlign w:val="center"/>
            <w:hideMark/>
          </w:tcPr>
          <w:p w14:paraId="1063EECF"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64CD4095"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3133759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524</w:t>
            </w:r>
          </w:p>
        </w:tc>
        <w:tc>
          <w:tcPr>
            <w:tcW w:w="895" w:type="dxa"/>
            <w:tcBorders>
              <w:top w:val="nil"/>
              <w:left w:val="nil"/>
              <w:bottom w:val="nil"/>
              <w:right w:val="nil"/>
            </w:tcBorders>
            <w:shd w:val="clear" w:color="000000" w:fill="FFFFFF"/>
            <w:vAlign w:val="center"/>
          </w:tcPr>
          <w:p w14:paraId="1E33C79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149</w:t>
            </w:r>
          </w:p>
        </w:tc>
        <w:tc>
          <w:tcPr>
            <w:tcW w:w="1044" w:type="dxa"/>
            <w:tcBorders>
              <w:top w:val="nil"/>
              <w:left w:val="nil"/>
              <w:bottom w:val="nil"/>
              <w:right w:val="nil"/>
            </w:tcBorders>
            <w:shd w:val="clear" w:color="000000" w:fill="FFFFFF"/>
            <w:vAlign w:val="center"/>
          </w:tcPr>
          <w:p w14:paraId="437C2D7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375</w:t>
            </w:r>
          </w:p>
        </w:tc>
        <w:tc>
          <w:tcPr>
            <w:tcW w:w="895" w:type="dxa"/>
            <w:tcBorders>
              <w:top w:val="nil"/>
              <w:left w:val="nil"/>
              <w:bottom w:val="nil"/>
              <w:right w:val="nil"/>
            </w:tcBorders>
            <w:shd w:val="clear" w:color="000000" w:fill="FFFFFF"/>
            <w:vAlign w:val="center"/>
            <w:hideMark/>
          </w:tcPr>
          <w:p w14:paraId="0DE8162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544</w:t>
            </w:r>
          </w:p>
        </w:tc>
      </w:tr>
      <w:tr w:rsidR="00DF3006" w:rsidRPr="00DF3006" w14:paraId="7298BA3B" w14:textId="77777777" w:rsidTr="00A43983">
        <w:trPr>
          <w:trHeight w:val="162"/>
        </w:trPr>
        <w:tc>
          <w:tcPr>
            <w:tcW w:w="4481" w:type="dxa"/>
            <w:tcBorders>
              <w:top w:val="nil"/>
              <w:left w:val="nil"/>
              <w:bottom w:val="nil"/>
              <w:right w:val="nil"/>
            </w:tcBorders>
            <w:shd w:val="clear" w:color="000000" w:fill="FFFFFF"/>
            <w:noWrap/>
            <w:vAlign w:val="center"/>
            <w:hideMark/>
          </w:tcPr>
          <w:p w14:paraId="3E098C0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339" w:type="dxa"/>
            <w:tcBorders>
              <w:top w:val="nil"/>
              <w:left w:val="nil"/>
              <w:bottom w:val="nil"/>
              <w:right w:val="nil"/>
            </w:tcBorders>
            <w:shd w:val="clear" w:color="000000" w:fill="FFFFFF"/>
            <w:noWrap/>
            <w:vAlign w:val="center"/>
            <w:hideMark/>
          </w:tcPr>
          <w:p w14:paraId="0F4ED539"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5E56A0E8"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3C67BCC6"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72C1BF42"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0DD3442F"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7CEB86A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52827523" w14:textId="77777777" w:rsidTr="00A43983">
        <w:trPr>
          <w:trHeight w:val="300"/>
        </w:trPr>
        <w:tc>
          <w:tcPr>
            <w:tcW w:w="4481" w:type="dxa"/>
            <w:tcBorders>
              <w:top w:val="nil"/>
              <w:left w:val="nil"/>
              <w:bottom w:val="nil"/>
              <w:right w:val="nil"/>
            </w:tcBorders>
            <w:shd w:val="clear" w:color="000000" w:fill="FFFFFF"/>
            <w:noWrap/>
            <w:vAlign w:val="center"/>
            <w:hideMark/>
          </w:tcPr>
          <w:p w14:paraId="682D716D" w14:textId="77777777" w:rsidR="00FC17BC" w:rsidRPr="00DF3006" w:rsidRDefault="00FC17BC" w:rsidP="00C30C67">
            <w:pPr>
              <w:spacing w:after="0"/>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Outflows</w:t>
            </w:r>
          </w:p>
        </w:tc>
        <w:tc>
          <w:tcPr>
            <w:tcW w:w="339" w:type="dxa"/>
            <w:tcBorders>
              <w:top w:val="nil"/>
              <w:left w:val="nil"/>
              <w:bottom w:val="nil"/>
              <w:right w:val="nil"/>
            </w:tcBorders>
            <w:shd w:val="clear" w:color="000000" w:fill="FFFFFF"/>
            <w:noWrap/>
            <w:vAlign w:val="center"/>
            <w:hideMark/>
          </w:tcPr>
          <w:p w14:paraId="32655683" w14:textId="77777777" w:rsidR="00FC17BC" w:rsidRPr="00DF3006" w:rsidRDefault="00FC17BC" w:rsidP="00C30C67">
            <w:pPr>
              <w:spacing w:after="0"/>
              <w:jc w:val="center"/>
              <w:rPr>
                <w:rFonts w:eastAsia="Times New Roman" w:cs="Calibri"/>
                <w:i/>
                <w:iCs/>
                <w:color w:val="414042" w:themeColor="text1"/>
                <w:szCs w:val="20"/>
                <w:lang w:eastAsia="en-AU"/>
              </w:rPr>
            </w:pPr>
            <w:r w:rsidRPr="00DF3006">
              <w:rPr>
                <w:rFonts w:eastAsia="Times New Roman" w:cs="Calibri"/>
                <w:i/>
                <w:iCs/>
                <w:color w:val="414042" w:themeColor="text1"/>
                <w:szCs w:val="20"/>
                <w:lang w:eastAsia="en-AU"/>
              </w:rPr>
              <w:t> </w:t>
            </w:r>
          </w:p>
        </w:tc>
        <w:tc>
          <w:tcPr>
            <w:tcW w:w="706" w:type="dxa"/>
            <w:tcBorders>
              <w:top w:val="nil"/>
              <w:left w:val="nil"/>
              <w:bottom w:val="nil"/>
              <w:right w:val="nil"/>
            </w:tcBorders>
            <w:shd w:val="clear" w:color="auto" w:fill="FFFFFF" w:themeFill="background1"/>
          </w:tcPr>
          <w:p w14:paraId="74B4B95A"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5437A2C3"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895" w:type="dxa"/>
            <w:tcBorders>
              <w:top w:val="nil"/>
              <w:left w:val="nil"/>
              <w:bottom w:val="nil"/>
              <w:right w:val="nil"/>
            </w:tcBorders>
            <w:shd w:val="clear" w:color="000000" w:fill="FFFFFF"/>
            <w:vAlign w:val="center"/>
          </w:tcPr>
          <w:p w14:paraId="756BF06C"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1044" w:type="dxa"/>
            <w:tcBorders>
              <w:top w:val="nil"/>
              <w:left w:val="nil"/>
              <w:bottom w:val="nil"/>
              <w:right w:val="nil"/>
            </w:tcBorders>
            <w:shd w:val="clear" w:color="000000" w:fill="FFFFFF"/>
            <w:vAlign w:val="center"/>
          </w:tcPr>
          <w:p w14:paraId="48F35A6B" w14:textId="77777777" w:rsidR="00FC17BC" w:rsidRPr="00DF3006" w:rsidRDefault="00FC17BC" w:rsidP="00C30C67">
            <w:pPr>
              <w:spacing w:after="0"/>
              <w:jc w:val="right"/>
              <w:rPr>
                <w:rFonts w:eastAsia="Times New Roman" w:cs="Calibri"/>
                <w:b/>
                <w:bCs/>
                <w:i/>
                <w:iCs/>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3AE08606" w14:textId="77777777" w:rsidR="00FC17BC" w:rsidRPr="00DF3006" w:rsidRDefault="00FC17BC" w:rsidP="00C30C67">
            <w:pPr>
              <w:spacing w:after="0"/>
              <w:jc w:val="right"/>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 </w:t>
            </w:r>
          </w:p>
        </w:tc>
      </w:tr>
      <w:tr w:rsidR="00DF3006" w:rsidRPr="00DF3006" w14:paraId="4ABAD482" w14:textId="77777777" w:rsidTr="00A43983">
        <w:trPr>
          <w:trHeight w:val="315"/>
        </w:trPr>
        <w:tc>
          <w:tcPr>
            <w:tcW w:w="4481" w:type="dxa"/>
            <w:tcBorders>
              <w:top w:val="nil"/>
              <w:left w:val="nil"/>
              <w:bottom w:val="nil"/>
              <w:right w:val="nil"/>
            </w:tcBorders>
            <w:shd w:val="clear" w:color="000000" w:fill="FFFFFF"/>
            <w:noWrap/>
            <w:vAlign w:val="center"/>
            <w:hideMark/>
          </w:tcPr>
          <w:p w14:paraId="71D49B3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Payments for property, </w:t>
            </w:r>
            <w:proofErr w:type="gramStart"/>
            <w:r w:rsidRPr="00DF3006">
              <w:rPr>
                <w:rFonts w:eastAsia="Times New Roman" w:cs="Calibri"/>
                <w:color w:val="414042" w:themeColor="text1"/>
                <w:szCs w:val="20"/>
                <w:lang w:eastAsia="en-AU"/>
              </w:rPr>
              <w:t>plant</w:t>
            </w:r>
            <w:proofErr w:type="gramEnd"/>
            <w:r w:rsidRPr="00DF3006">
              <w:rPr>
                <w:rFonts w:eastAsia="Times New Roman" w:cs="Calibri"/>
                <w:color w:val="414042" w:themeColor="text1"/>
                <w:szCs w:val="20"/>
                <w:lang w:eastAsia="en-AU"/>
              </w:rPr>
              <w:t xml:space="preserve"> and equipment</w:t>
            </w:r>
          </w:p>
        </w:tc>
        <w:tc>
          <w:tcPr>
            <w:tcW w:w="339" w:type="dxa"/>
            <w:tcBorders>
              <w:top w:val="nil"/>
              <w:left w:val="nil"/>
              <w:bottom w:val="nil"/>
              <w:right w:val="nil"/>
            </w:tcBorders>
            <w:shd w:val="clear" w:color="000000" w:fill="FFFFFF"/>
            <w:vAlign w:val="center"/>
            <w:hideMark/>
          </w:tcPr>
          <w:p w14:paraId="0452EB6B"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FFFFFF" w:themeFill="background1"/>
          </w:tcPr>
          <w:p w14:paraId="7C1E0CF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w:t>
            </w:r>
          </w:p>
        </w:tc>
        <w:tc>
          <w:tcPr>
            <w:tcW w:w="1134" w:type="dxa"/>
            <w:tcBorders>
              <w:top w:val="nil"/>
              <w:left w:val="nil"/>
              <w:bottom w:val="single" w:sz="8" w:space="0" w:color="auto"/>
              <w:right w:val="nil"/>
            </w:tcBorders>
            <w:shd w:val="clear" w:color="auto" w:fill="D9D9D9" w:themeFill="background1" w:themeFillShade="D9"/>
            <w:vAlign w:val="center"/>
          </w:tcPr>
          <w:p w14:paraId="27E40FD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(1,544)</w:t>
            </w:r>
          </w:p>
        </w:tc>
        <w:tc>
          <w:tcPr>
            <w:tcW w:w="895" w:type="dxa"/>
            <w:tcBorders>
              <w:top w:val="nil"/>
              <w:left w:val="nil"/>
              <w:bottom w:val="single" w:sz="8" w:space="0" w:color="auto"/>
              <w:right w:val="nil"/>
            </w:tcBorders>
            <w:shd w:val="clear" w:color="000000" w:fill="FFFFFF"/>
            <w:vAlign w:val="center"/>
          </w:tcPr>
          <w:p w14:paraId="73404FE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(1,600)</w:t>
            </w:r>
          </w:p>
        </w:tc>
        <w:tc>
          <w:tcPr>
            <w:tcW w:w="1044" w:type="dxa"/>
            <w:tcBorders>
              <w:top w:val="nil"/>
              <w:left w:val="nil"/>
              <w:bottom w:val="single" w:sz="8" w:space="0" w:color="auto"/>
              <w:right w:val="nil"/>
            </w:tcBorders>
            <w:shd w:val="clear" w:color="000000" w:fill="FFFFFF"/>
            <w:vAlign w:val="center"/>
          </w:tcPr>
          <w:p w14:paraId="0545E52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56</w:t>
            </w:r>
          </w:p>
        </w:tc>
        <w:tc>
          <w:tcPr>
            <w:tcW w:w="895" w:type="dxa"/>
            <w:tcBorders>
              <w:top w:val="nil"/>
              <w:left w:val="nil"/>
              <w:bottom w:val="single" w:sz="8" w:space="0" w:color="auto"/>
              <w:right w:val="nil"/>
            </w:tcBorders>
            <w:shd w:val="clear" w:color="000000" w:fill="FFFFFF"/>
            <w:vAlign w:val="center"/>
            <w:hideMark/>
          </w:tcPr>
          <w:p w14:paraId="6574BE7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(1,750)</w:t>
            </w:r>
          </w:p>
        </w:tc>
      </w:tr>
      <w:tr w:rsidR="00DF3006" w:rsidRPr="00DF3006" w14:paraId="26DBDE7D" w14:textId="77777777" w:rsidTr="00A43983">
        <w:trPr>
          <w:trHeight w:val="315"/>
        </w:trPr>
        <w:tc>
          <w:tcPr>
            <w:tcW w:w="4481" w:type="dxa"/>
            <w:tcBorders>
              <w:top w:val="nil"/>
              <w:left w:val="nil"/>
              <w:bottom w:val="nil"/>
              <w:right w:val="nil"/>
            </w:tcBorders>
            <w:shd w:val="clear" w:color="000000" w:fill="FFFFFF"/>
            <w:noWrap/>
            <w:vAlign w:val="center"/>
            <w:hideMark/>
          </w:tcPr>
          <w:p w14:paraId="7C7768CC"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Net cash provided by/(used in) investing activities</w:t>
            </w:r>
          </w:p>
        </w:tc>
        <w:tc>
          <w:tcPr>
            <w:tcW w:w="339" w:type="dxa"/>
            <w:tcBorders>
              <w:top w:val="nil"/>
              <w:left w:val="nil"/>
              <w:bottom w:val="nil"/>
              <w:right w:val="nil"/>
            </w:tcBorders>
            <w:shd w:val="clear" w:color="000000" w:fill="FFFFFF"/>
            <w:vAlign w:val="center"/>
            <w:hideMark/>
          </w:tcPr>
          <w:p w14:paraId="0BFC57B1"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FFFFFF" w:themeFill="background1"/>
          </w:tcPr>
          <w:p w14:paraId="6ABCE542"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34" w:type="dxa"/>
            <w:tcBorders>
              <w:top w:val="nil"/>
              <w:left w:val="nil"/>
              <w:bottom w:val="single" w:sz="8" w:space="0" w:color="auto"/>
              <w:right w:val="nil"/>
            </w:tcBorders>
            <w:shd w:val="clear" w:color="auto" w:fill="D9D9D9" w:themeFill="background1" w:themeFillShade="D9"/>
            <w:noWrap/>
            <w:vAlign w:val="center"/>
          </w:tcPr>
          <w:p w14:paraId="6BB40B83"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(1,020)</w:t>
            </w:r>
          </w:p>
        </w:tc>
        <w:tc>
          <w:tcPr>
            <w:tcW w:w="895" w:type="dxa"/>
            <w:tcBorders>
              <w:top w:val="nil"/>
              <w:left w:val="nil"/>
              <w:bottom w:val="single" w:sz="8" w:space="0" w:color="auto"/>
              <w:right w:val="nil"/>
            </w:tcBorders>
            <w:shd w:val="clear" w:color="000000" w:fill="FFFFFF"/>
            <w:vAlign w:val="center"/>
          </w:tcPr>
          <w:p w14:paraId="752A881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(1,451)</w:t>
            </w:r>
          </w:p>
        </w:tc>
        <w:tc>
          <w:tcPr>
            <w:tcW w:w="1044" w:type="dxa"/>
            <w:tcBorders>
              <w:top w:val="nil"/>
              <w:left w:val="nil"/>
              <w:bottom w:val="single" w:sz="8" w:space="0" w:color="auto"/>
              <w:right w:val="nil"/>
            </w:tcBorders>
            <w:shd w:val="clear" w:color="000000" w:fill="FFFFFF"/>
            <w:vAlign w:val="center"/>
          </w:tcPr>
          <w:p w14:paraId="7BB2C82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431</w:t>
            </w:r>
          </w:p>
        </w:tc>
        <w:tc>
          <w:tcPr>
            <w:tcW w:w="895" w:type="dxa"/>
            <w:tcBorders>
              <w:top w:val="nil"/>
              <w:left w:val="nil"/>
              <w:bottom w:val="single" w:sz="8" w:space="0" w:color="auto"/>
              <w:right w:val="nil"/>
            </w:tcBorders>
            <w:shd w:val="clear" w:color="000000" w:fill="FFFFFF"/>
            <w:vAlign w:val="center"/>
            <w:hideMark/>
          </w:tcPr>
          <w:p w14:paraId="14B60B4A"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(1,206)</w:t>
            </w:r>
          </w:p>
        </w:tc>
      </w:tr>
      <w:tr w:rsidR="00DF3006" w:rsidRPr="00DF3006" w14:paraId="4B7B2A45" w14:textId="77777777" w:rsidTr="00A43983">
        <w:trPr>
          <w:trHeight w:val="162"/>
        </w:trPr>
        <w:tc>
          <w:tcPr>
            <w:tcW w:w="4481" w:type="dxa"/>
            <w:tcBorders>
              <w:top w:val="nil"/>
              <w:left w:val="nil"/>
              <w:bottom w:val="nil"/>
              <w:right w:val="nil"/>
            </w:tcBorders>
            <w:shd w:val="clear" w:color="000000" w:fill="FFFFFF"/>
            <w:noWrap/>
            <w:vAlign w:val="center"/>
            <w:hideMark/>
          </w:tcPr>
          <w:p w14:paraId="5BF33B9F"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339" w:type="dxa"/>
            <w:tcBorders>
              <w:top w:val="nil"/>
              <w:left w:val="nil"/>
              <w:bottom w:val="nil"/>
              <w:right w:val="nil"/>
            </w:tcBorders>
            <w:shd w:val="clear" w:color="000000" w:fill="FFFFFF"/>
            <w:vAlign w:val="center"/>
            <w:hideMark/>
          </w:tcPr>
          <w:p w14:paraId="1D433747"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36AC6394"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0E74F4DE"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895" w:type="dxa"/>
            <w:tcBorders>
              <w:top w:val="nil"/>
              <w:left w:val="nil"/>
              <w:bottom w:val="nil"/>
              <w:right w:val="nil"/>
            </w:tcBorders>
            <w:shd w:val="clear" w:color="000000" w:fill="FFFFFF"/>
            <w:vAlign w:val="center"/>
          </w:tcPr>
          <w:p w14:paraId="37E2A2CB"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nil"/>
              <w:right w:val="nil"/>
            </w:tcBorders>
            <w:shd w:val="clear" w:color="000000" w:fill="FFFFFF"/>
            <w:vAlign w:val="center"/>
          </w:tcPr>
          <w:p w14:paraId="0C8C1DCA"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765F924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r>
      <w:tr w:rsidR="00DF3006" w:rsidRPr="00DF3006" w14:paraId="240AAD61" w14:textId="77777777" w:rsidTr="00A43983">
        <w:trPr>
          <w:trHeight w:val="300"/>
        </w:trPr>
        <w:tc>
          <w:tcPr>
            <w:tcW w:w="4481" w:type="dxa"/>
            <w:tcBorders>
              <w:top w:val="nil"/>
              <w:left w:val="nil"/>
              <w:bottom w:val="nil"/>
              <w:right w:val="nil"/>
            </w:tcBorders>
            <w:shd w:val="clear" w:color="000000" w:fill="FFFFFF"/>
            <w:noWrap/>
            <w:vAlign w:val="center"/>
            <w:hideMark/>
          </w:tcPr>
          <w:p w14:paraId="4F1184BD"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Cash flows from financing activities</w:t>
            </w:r>
          </w:p>
        </w:tc>
        <w:tc>
          <w:tcPr>
            <w:tcW w:w="339" w:type="dxa"/>
            <w:tcBorders>
              <w:top w:val="nil"/>
              <w:left w:val="nil"/>
              <w:bottom w:val="nil"/>
              <w:right w:val="nil"/>
            </w:tcBorders>
            <w:shd w:val="clear" w:color="000000" w:fill="FFFFFF"/>
            <w:noWrap/>
            <w:vAlign w:val="center"/>
            <w:hideMark/>
          </w:tcPr>
          <w:p w14:paraId="6E1E212C"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14EB7F03"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29744A77"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6D598FCB"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1FEE5369"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1502B5F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5DC92708" w14:textId="77777777" w:rsidTr="00A43983">
        <w:trPr>
          <w:trHeight w:val="162"/>
        </w:trPr>
        <w:tc>
          <w:tcPr>
            <w:tcW w:w="4481" w:type="dxa"/>
            <w:tcBorders>
              <w:top w:val="nil"/>
              <w:left w:val="nil"/>
              <w:bottom w:val="nil"/>
              <w:right w:val="nil"/>
            </w:tcBorders>
            <w:shd w:val="clear" w:color="000000" w:fill="FFFFFF"/>
            <w:noWrap/>
            <w:vAlign w:val="center"/>
            <w:hideMark/>
          </w:tcPr>
          <w:p w14:paraId="48AA1903"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339" w:type="dxa"/>
            <w:tcBorders>
              <w:top w:val="nil"/>
              <w:left w:val="nil"/>
              <w:bottom w:val="nil"/>
              <w:right w:val="nil"/>
            </w:tcBorders>
            <w:shd w:val="clear" w:color="000000" w:fill="FFFFFF"/>
            <w:noWrap/>
            <w:vAlign w:val="center"/>
            <w:hideMark/>
          </w:tcPr>
          <w:p w14:paraId="408E5976"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300AE7BF"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2D696919"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3FF1AE56"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35B9F34F"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39B7DDEA" w14:textId="77777777" w:rsidR="00FC17BC" w:rsidRPr="00DF3006" w:rsidRDefault="00FC17BC" w:rsidP="00C30C67">
            <w:pPr>
              <w:spacing w:after="0"/>
              <w:jc w:val="right"/>
              <w:rPr>
                <w:rFonts w:eastAsia="Times New Roman" w:cs="Calibri"/>
                <w:color w:val="414042" w:themeColor="text1"/>
                <w:szCs w:val="20"/>
                <w:lang w:eastAsia="en-AU"/>
              </w:rPr>
            </w:pPr>
          </w:p>
        </w:tc>
      </w:tr>
      <w:tr w:rsidR="00DF3006" w:rsidRPr="00DF3006" w14:paraId="2300424E" w14:textId="77777777" w:rsidTr="00A43983">
        <w:trPr>
          <w:trHeight w:val="300"/>
        </w:trPr>
        <w:tc>
          <w:tcPr>
            <w:tcW w:w="4481" w:type="dxa"/>
            <w:tcBorders>
              <w:top w:val="nil"/>
              <w:left w:val="nil"/>
              <w:bottom w:val="nil"/>
              <w:right w:val="nil"/>
            </w:tcBorders>
            <w:shd w:val="clear" w:color="000000" w:fill="FFFFFF"/>
            <w:noWrap/>
            <w:vAlign w:val="center"/>
            <w:hideMark/>
          </w:tcPr>
          <w:p w14:paraId="08EB539F" w14:textId="77777777" w:rsidR="00FC17BC" w:rsidRPr="00DF3006" w:rsidRDefault="00FC17BC" w:rsidP="00C30C67">
            <w:pPr>
              <w:spacing w:after="0"/>
              <w:rPr>
                <w:rFonts w:eastAsia="Times New Roman" w:cs="Calibri"/>
                <w:b/>
                <w:bCs/>
                <w:i/>
                <w:iCs/>
                <w:color w:val="414042" w:themeColor="text1"/>
                <w:szCs w:val="20"/>
                <w:lang w:eastAsia="en-AU"/>
              </w:rPr>
            </w:pPr>
            <w:r w:rsidRPr="00DF3006">
              <w:rPr>
                <w:rFonts w:eastAsia="Times New Roman" w:cs="Calibri"/>
                <w:b/>
                <w:bCs/>
                <w:i/>
                <w:iCs/>
                <w:color w:val="414042" w:themeColor="text1"/>
                <w:szCs w:val="20"/>
                <w:lang w:eastAsia="en-AU"/>
              </w:rPr>
              <w:t>Outflow</w:t>
            </w:r>
          </w:p>
        </w:tc>
        <w:tc>
          <w:tcPr>
            <w:tcW w:w="339" w:type="dxa"/>
            <w:tcBorders>
              <w:top w:val="nil"/>
              <w:left w:val="nil"/>
              <w:bottom w:val="nil"/>
              <w:right w:val="nil"/>
            </w:tcBorders>
            <w:shd w:val="clear" w:color="000000" w:fill="FFFFFF"/>
            <w:noWrap/>
            <w:vAlign w:val="center"/>
            <w:hideMark/>
          </w:tcPr>
          <w:p w14:paraId="46F3BBF3"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0F7E342B"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77A415C2"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6CE39FE5"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044" w:type="dxa"/>
            <w:tcBorders>
              <w:top w:val="nil"/>
              <w:left w:val="nil"/>
              <w:bottom w:val="nil"/>
              <w:right w:val="nil"/>
            </w:tcBorders>
            <w:shd w:val="clear" w:color="000000" w:fill="FFFFFF"/>
            <w:vAlign w:val="center"/>
          </w:tcPr>
          <w:p w14:paraId="737A0E19"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2C7BC34E" w14:textId="77777777" w:rsidR="00FC17BC" w:rsidRPr="00DF3006" w:rsidRDefault="00FC17BC" w:rsidP="00C30C67">
            <w:pPr>
              <w:spacing w:after="0"/>
              <w:jc w:val="right"/>
              <w:rPr>
                <w:rFonts w:eastAsia="Times New Roman" w:cs="Calibri"/>
                <w:b/>
                <w:bCs/>
                <w:color w:val="414042" w:themeColor="text1"/>
                <w:szCs w:val="20"/>
                <w:lang w:eastAsia="en-AU"/>
              </w:rPr>
            </w:pPr>
          </w:p>
        </w:tc>
      </w:tr>
      <w:tr w:rsidR="00DF3006" w:rsidRPr="00DF3006" w14:paraId="4204FF8B" w14:textId="77777777" w:rsidTr="00A43983">
        <w:trPr>
          <w:trHeight w:val="315"/>
        </w:trPr>
        <w:tc>
          <w:tcPr>
            <w:tcW w:w="4481" w:type="dxa"/>
            <w:tcBorders>
              <w:top w:val="nil"/>
              <w:left w:val="nil"/>
              <w:bottom w:val="nil"/>
              <w:right w:val="nil"/>
            </w:tcBorders>
            <w:shd w:val="clear" w:color="000000" w:fill="FFFFFF"/>
            <w:noWrap/>
            <w:vAlign w:val="center"/>
            <w:hideMark/>
          </w:tcPr>
          <w:p w14:paraId="5BFC824D"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Finance lease payments</w:t>
            </w:r>
          </w:p>
        </w:tc>
        <w:tc>
          <w:tcPr>
            <w:tcW w:w="339" w:type="dxa"/>
            <w:tcBorders>
              <w:top w:val="nil"/>
              <w:left w:val="nil"/>
              <w:bottom w:val="nil"/>
              <w:right w:val="nil"/>
            </w:tcBorders>
            <w:shd w:val="clear" w:color="000000" w:fill="FFFFFF"/>
            <w:noWrap/>
            <w:vAlign w:val="center"/>
            <w:hideMark/>
          </w:tcPr>
          <w:p w14:paraId="011FA742"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366035F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w:t>
            </w:r>
          </w:p>
        </w:tc>
        <w:tc>
          <w:tcPr>
            <w:tcW w:w="1134" w:type="dxa"/>
            <w:tcBorders>
              <w:top w:val="nil"/>
              <w:left w:val="nil"/>
              <w:bottom w:val="nil"/>
              <w:right w:val="nil"/>
            </w:tcBorders>
            <w:shd w:val="clear" w:color="auto" w:fill="D9D9D9" w:themeFill="background1" w:themeFillShade="D9"/>
            <w:noWrap/>
            <w:vAlign w:val="center"/>
          </w:tcPr>
          <w:p w14:paraId="2402236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(333)</w:t>
            </w:r>
          </w:p>
        </w:tc>
        <w:tc>
          <w:tcPr>
            <w:tcW w:w="895" w:type="dxa"/>
            <w:tcBorders>
              <w:top w:val="nil"/>
              <w:left w:val="nil"/>
              <w:bottom w:val="nil"/>
              <w:right w:val="nil"/>
            </w:tcBorders>
            <w:shd w:val="clear" w:color="000000" w:fill="FFFFFF"/>
            <w:vAlign w:val="center"/>
          </w:tcPr>
          <w:p w14:paraId="011555A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(330)</w:t>
            </w:r>
          </w:p>
        </w:tc>
        <w:tc>
          <w:tcPr>
            <w:tcW w:w="1044" w:type="dxa"/>
            <w:tcBorders>
              <w:top w:val="nil"/>
              <w:left w:val="nil"/>
              <w:bottom w:val="nil"/>
              <w:right w:val="nil"/>
            </w:tcBorders>
            <w:shd w:val="clear" w:color="000000" w:fill="FFFFFF"/>
            <w:vAlign w:val="center"/>
          </w:tcPr>
          <w:p w14:paraId="2A84A23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w:t>
            </w:r>
          </w:p>
        </w:tc>
        <w:tc>
          <w:tcPr>
            <w:tcW w:w="895" w:type="dxa"/>
            <w:tcBorders>
              <w:top w:val="nil"/>
              <w:left w:val="nil"/>
              <w:bottom w:val="nil"/>
              <w:right w:val="nil"/>
            </w:tcBorders>
            <w:shd w:val="clear" w:color="000000" w:fill="FFFFFF"/>
            <w:vAlign w:val="center"/>
            <w:hideMark/>
          </w:tcPr>
          <w:p w14:paraId="3D50060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(316)</w:t>
            </w:r>
          </w:p>
        </w:tc>
      </w:tr>
      <w:tr w:rsidR="00DF3006" w:rsidRPr="00DF3006" w14:paraId="213FB415" w14:textId="77777777" w:rsidTr="00A43983">
        <w:trPr>
          <w:trHeight w:val="315"/>
        </w:trPr>
        <w:tc>
          <w:tcPr>
            <w:tcW w:w="4481" w:type="dxa"/>
            <w:tcBorders>
              <w:top w:val="nil"/>
              <w:left w:val="nil"/>
              <w:bottom w:val="nil"/>
              <w:right w:val="nil"/>
            </w:tcBorders>
            <w:shd w:val="clear" w:color="000000" w:fill="FFFFFF"/>
            <w:noWrap/>
            <w:vAlign w:val="center"/>
            <w:hideMark/>
          </w:tcPr>
          <w:p w14:paraId="54CC5F59"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Net cash provided by/(used in) financing activities</w:t>
            </w:r>
          </w:p>
        </w:tc>
        <w:tc>
          <w:tcPr>
            <w:tcW w:w="339" w:type="dxa"/>
            <w:tcBorders>
              <w:top w:val="nil"/>
              <w:left w:val="nil"/>
              <w:bottom w:val="nil"/>
              <w:right w:val="nil"/>
            </w:tcBorders>
            <w:shd w:val="clear" w:color="000000" w:fill="FFFFFF"/>
            <w:noWrap/>
            <w:vAlign w:val="center"/>
            <w:hideMark/>
          </w:tcPr>
          <w:p w14:paraId="3F72A9BB"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left w:val="nil"/>
              <w:right w:val="nil"/>
            </w:tcBorders>
            <w:shd w:val="clear" w:color="auto" w:fill="FFFFFF" w:themeFill="background1"/>
          </w:tcPr>
          <w:p w14:paraId="2CE640F4" w14:textId="77777777" w:rsidR="00FC17BC" w:rsidRPr="00DF3006" w:rsidRDefault="00FC17BC" w:rsidP="00C30C67">
            <w:pPr>
              <w:spacing w:after="0"/>
              <w:jc w:val="right"/>
              <w:rPr>
                <w:rFonts w:eastAsia="Times New Roman" w:cs="Calibri"/>
                <w:b/>
                <w:color w:val="414042" w:themeColor="text1"/>
                <w:szCs w:val="20"/>
                <w:lang w:eastAsia="en-AU"/>
              </w:rPr>
            </w:pPr>
          </w:p>
        </w:tc>
        <w:tc>
          <w:tcPr>
            <w:tcW w:w="1134" w:type="dxa"/>
            <w:tcBorders>
              <w:top w:val="single" w:sz="8" w:space="0" w:color="auto"/>
              <w:left w:val="nil"/>
              <w:bottom w:val="single" w:sz="8" w:space="0" w:color="auto"/>
              <w:right w:val="nil"/>
            </w:tcBorders>
            <w:shd w:val="clear" w:color="auto" w:fill="D9D9D9" w:themeFill="background1" w:themeFillShade="D9"/>
            <w:noWrap/>
            <w:vAlign w:val="center"/>
          </w:tcPr>
          <w:p w14:paraId="18569833" w14:textId="77777777" w:rsidR="00FC17BC" w:rsidRPr="00DF3006" w:rsidRDefault="00FC17BC" w:rsidP="00C30C67">
            <w:pPr>
              <w:spacing w:after="0"/>
              <w:jc w:val="right"/>
              <w:rPr>
                <w:rFonts w:eastAsia="Times New Roman" w:cs="Calibri"/>
                <w:b/>
                <w:color w:val="414042" w:themeColor="text1"/>
                <w:szCs w:val="20"/>
                <w:lang w:eastAsia="en-AU"/>
              </w:rPr>
            </w:pPr>
            <w:r w:rsidRPr="00DF3006">
              <w:rPr>
                <w:rFonts w:eastAsia="Times New Roman" w:cs="Calibri"/>
                <w:b/>
                <w:color w:val="414042" w:themeColor="text1"/>
                <w:szCs w:val="20"/>
                <w:lang w:eastAsia="en-AU"/>
              </w:rPr>
              <w:t>(333)</w:t>
            </w:r>
          </w:p>
        </w:tc>
        <w:tc>
          <w:tcPr>
            <w:tcW w:w="895" w:type="dxa"/>
            <w:tcBorders>
              <w:top w:val="single" w:sz="8" w:space="0" w:color="auto"/>
              <w:left w:val="nil"/>
              <w:bottom w:val="single" w:sz="8" w:space="0" w:color="auto"/>
              <w:right w:val="nil"/>
            </w:tcBorders>
            <w:shd w:val="clear" w:color="000000" w:fill="FFFFFF"/>
            <w:vAlign w:val="center"/>
          </w:tcPr>
          <w:p w14:paraId="4D19A1E9" w14:textId="77777777" w:rsidR="00FC17BC" w:rsidRPr="00DF3006" w:rsidRDefault="00FC17BC" w:rsidP="00C30C67">
            <w:pPr>
              <w:spacing w:after="0"/>
              <w:jc w:val="right"/>
              <w:rPr>
                <w:rFonts w:eastAsia="Times New Roman" w:cs="Calibri"/>
                <w:b/>
                <w:color w:val="414042" w:themeColor="text1"/>
                <w:szCs w:val="20"/>
                <w:lang w:eastAsia="en-AU"/>
              </w:rPr>
            </w:pPr>
            <w:r w:rsidRPr="00DF3006">
              <w:rPr>
                <w:rFonts w:eastAsia="Times New Roman" w:cs="Calibri"/>
                <w:b/>
                <w:color w:val="414042" w:themeColor="text1"/>
                <w:szCs w:val="20"/>
                <w:lang w:eastAsia="en-AU"/>
              </w:rPr>
              <w:t>(330)</w:t>
            </w:r>
          </w:p>
        </w:tc>
        <w:tc>
          <w:tcPr>
            <w:tcW w:w="1044" w:type="dxa"/>
            <w:tcBorders>
              <w:top w:val="single" w:sz="8" w:space="0" w:color="auto"/>
              <w:left w:val="nil"/>
              <w:bottom w:val="single" w:sz="8" w:space="0" w:color="auto"/>
              <w:right w:val="nil"/>
            </w:tcBorders>
            <w:shd w:val="clear" w:color="000000" w:fill="FFFFFF"/>
            <w:vAlign w:val="center"/>
          </w:tcPr>
          <w:p w14:paraId="6B654920" w14:textId="77777777" w:rsidR="00FC17BC" w:rsidRPr="00DF3006" w:rsidRDefault="00FC17BC" w:rsidP="00C30C67">
            <w:pPr>
              <w:spacing w:after="0"/>
              <w:jc w:val="right"/>
              <w:rPr>
                <w:rFonts w:eastAsia="Times New Roman" w:cs="Calibri"/>
                <w:b/>
                <w:color w:val="414042" w:themeColor="text1"/>
                <w:szCs w:val="20"/>
                <w:lang w:eastAsia="en-AU"/>
              </w:rPr>
            </w:pPr>
            <w:r w:rsidRPr="00DF3006">
              <w:rPr>
                <w:rFonts w:eastAsia="Times New Roman" w:cs="Calibri"/>
                <w:b/>
                <w:color w:val="414042" w:themeColor="text1"/>
                <w:szCs w:val="20"/>
                <w:lang w:eastAsia="en-AU"/>
              </w:rPr>
              <w:t>(3)</w:t>
            </w:r>
          </w:p>
        </w:tc>
        <w:tc>
          <w:tcPr>
            <w:tcW w:w="895" w:type="dxa"/>
            <w:tcBorders>
              <w:top w:val="single" w:sz="8" w:space="0" w:color="auto"/>
              <w:left w:val="nil"/>
              <w:bottom w:val="single" w:sz="8" w:space="0" w:color="auto"/>
              <w:right w:val="nil"/>
            </w:tcBorders>
            <w:shd w:val="clear" w:color="000000" w:fill="FFFFFF"/>
            <w:vAlign w:val="center"/>
            <w:hideMark/>
          </w:tcPr>
          <w:p w14:paraId="27B33687"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color w:val="414042" w:themeColor="text1"/>
                <w:szCs w:val="20"/>
                <w:lang w:eastAsia="en-AU"/>
              </w:rPr>
              <w:t>(316)</w:t>
            </w:r>
          </w:p>
        </w:tc>
      </w:tr>
      <w:tr w:rsidR="00DF3006" w:rsidRPr="00DF3006" w14:paraId="2DB5A187" w14:textId="77777777" w:rsidTr="00A43983">
        <w:trPr>
          <w:trHeight w:val="162"/>
        </w:trPr>
        <w:tc>
          <w:tcPr>
            <w:tcW w:w="4481" w:type="dxa"/>
            <w:tcBorders>
              <w:top w:val="nil"/>
              <w:left w:val="nil"/>
              <w:bottom w:val="nil"/>
              <w:right w:val="nil"/>
            </w:tcBorders>
            <w:shd w:val="clear" w:color="000000" w:fill="FFFFFF"/>
            <w:noWrap/>
            <w:vAlign w:val="center"/>
            <w:hideMark/>
          </w:tcPr>
          <w:p w14:paraId="23EC57B5"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339" w:type="dxa"/>
            <w:tcBorders>
              <w:top w:val="nil"/>
              <w:left w:val="nil"/>
              <w:bottom w:val="nil"/>
              <w:right w:val="nil"/>
            </w:tcBorders>
            <w:shd w:val="clear" w:color="000000" w:fill="FFFFFF"/>
            <w:noWrap/>
            <w:vAlign w:val="center"/>
            <w:hideMark/>
          </w:tcPr>
          <w:p w14:paraId="3CED7892"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7D374D41"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4D9BBD1C"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tcPr>
          <w:p w14:paraId="6AB2B6CF" w14:textId="77777777" w:rsidR="00FC17BC" w:rsidRPr="00DF3006" w:rsidRDefault="00FC17BC" w:rsidP="00C30C67">
            <w:pPr>
              <w:spacing w:after="0"/>
              <w:jc w:val="right"/>
              <w:rPr>
                <w:rFonts w:eastAsia="Times New Roman" w:cs="Calibri"/>
                <w:color w:val="414042" w:themeColor="text1"/>
                <w:szCs w:val="20"/>
                <w:lang w:eastAsia="en-AU"/>
              </w:rPr>
            </w:pPr>
          </w:p>
        </w:tc>
        <w:tc>
          <w:tcPr>
            <w:tcW w:w="1044" w:type="dxa"/>
            <w:tcBorders>
              <w:top w:val="nil"/>
              <w:left w:val="nil"/>
              <w:bottom w:val="nil"/>
              <w:right w:val="nil"/>
            </w:tcBorders>
            <w:shd w:val="clear" w:color="000000" w:fill="FFFFFF"/>
            <w:vAlign w:val="center"/>
          </w:tcPr>
          <w:p w14:paraId="651C02A8" w14:textId="77777777" w:rsidR="00FC17BC" w:rsidRPr="00DF3006" w:rsidRDefault="00FC17BC" w:rsidP="00C30C67">
            <w:pPr>
              <w:spacing w:after="0"/>
              <w:jc w:val="right"/>
              <w:rPr>
                <w:rFonts w:eastAsia="Times New Roman" w:cs="Calibri"/>
                <w:color w:val="414042" w:themeColor="text1"/>
                <w:szCs w:val="20"/>
                <w:lang w:eastAsia="en-AU"/>
              </w:rPr>
            </w:pPr>
          </w:p>
        </w:tc>
        <w:tc>
          <w:tcPr>
            <w:tcW w:w="895" w:type="dxa"/>
            <w:tcBorders>
              <w:top w:val="nil"/>
              <w:left w:val="nil"/>
              <w:bottom w:val="nil"/>
              <w:right w:val="nil"/>
            </w:tcBorders>
            <w:shd w:val="clear" w:color="000000" w:fill="FFFFFF"/>
            <w:vAlign w:val="center"/>
            <w:hideMark/>
          </w:tcPr>
          <w:p w14:paraId="7E9ED09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4CEA7CC4" w14:textId="77777777" w:rsidTr="00A43983">
        <w:trPr>
          <w:trHeight w:val="300"/>
        </w:trPr>
        <w:tc>
          <w:tcPr>
            <w:tcW w:w="4481" w:type="dxa"/>
            <w:tcBorders>
              <w:top w:val="nil"/>
              <w:left w:val="nil"/>
              <w:bottom w:val="nil"/>
              <w:right w:val="nil"/>
            </w:tcBorders>
            <w:shd w:val="clear" w:color="000000" w:fill="FFFFFF"/>
            <w:noWrap/>
            <w:vAlign w:val="center"/>
            <w:hideMark/>
          </w:tcPr>
          <w:p w14:paraId="2C027C0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Net increase in cash and cash equivalents</w:t>
            </w:r>
          </w:p>
        </w:tc>
        <w:tc>
          <w:tcPr>
            <w:tcW w:w="339" w:type="dxa"/>
            <w:tcBorders>
              <w:top w:val="nil"/>
              <w:left w:val="nil"/>
              <w:bottom w:val="nil"/>
              <w:right w:val="nil"/>
            </w:tcBorders>
            <w:shd w:val="clear" w:color="000000" w:fill="FFFFFF"/>
            <w:noWrap/>
            <w:vAlign w:val="center"/>
            <w:hideMark/>
          </w:tcPr>
          <w:p w14:paraId="765C0289"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bottom w:val="nil"/>
              <w:right w:val="nil"/>
            </w:tcBorders>
            <w:shd w:val="clear" w:color="auto" w:fill="FFFFFF" w:themeFill="background1"/>
          </w:tcPr>
          <w:p w14:paraId="42DA293F"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nil"/>
              <w:right w:val="nil"/>
            </w:tcBorders>
            <w:shd w:val="clear" w:color="auto" w:fill="D9D9D9" w:themeFill="background1" w:themeFillShade="D9"/>
            <w:noWrap/>
            <w:vAlign w:val="center"/>
          </w:tcPr>
          <w:p w14:paraId="466D29E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6,320</w:t>
            </w:r>
          </w:p>
        </w:tc>
        <w:tc>
          <w:tcPr>
            <w:tcW w:w="895" w:type="dxa"/>
            <w:tcBorders>
              <w:top w:val="nil"/>
              <w:left w:val="nil"/>
              <w:bottom w:val="nil"/>
              <w:right w:val="nil"/>
            </w:tcBorders>
            <w:shd w:val="clear" w:color="000000" w:fill="FFFFFF"/>
            <w:vAlign w:val="center"/>
          </w:tcPr>
          <w:p w14:paraId="64EC8E5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837</w:t>
            </w:r>
          </w:p>
        </w:tc>
        <w:tc>
          <w:tcPr>
            <w:tcW w:w="1044" w:type="dxa"/>
            <w:tcBorders>
              <w:top w:val="nil"/>
              <w:left w:val="nil"/>
              <w:bottom w:val="nil"/>
              <w:right w:val="nil"/>
            </w:tcBorders>
            <w:shd w:val="clear" w:color="000000" w:fill="FFFFFF"/>
            <w:vAlign w:val="center"/>
          </w:tcPr>
          <w:p w14:paraId="621D147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5,483</w:t>
            </w:r>
          </w:p>
        </w:tc>
        <w:tc>
          <w:tcPr>
            <w:tcW w:w="895" w:type="dxa"/>
            <w:tcBorders>
              <w:top w:val="nil"/>
              <w:left w:val="nil"/>
              <w:bottom w:val="nil"/>
              <w:right w:val="nil"/>
            </w:tcBorders>
            <w:shd w:val="clear" w:color="000000" w:fill="FFFFFF"/>
            <w:vAlign w:val="center"/>
            <w:hideMark/>
          </w:tcPr>
          <w:p w14:paraId="10A60A6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3,331</w:t>
            </w:r>
          </w:p>
        </w:tc>
      </w:tr>
      <w:tr w:rsidR="00DF3006" w:rsidRPr="00DF3006" w14:paraId="4450A451" w14:textId="77777777" w:rsidTr="00A43983">
        <w:trPr>
          <w:trHeight w:val="300"/>
        </w:trPr>
        <w:tc>
          <w:tcPr>
            <w:tcW w:w="4481" w:type="dxa"/>
            <w:tcBorders>
              <w:top w:val="nil"/>
              <w:left w:val="nil"/>
              <w:bottom w:val="nil"/>
              <w:right w:val="nil"/>
            </w:tcBorders>
            <w:shd w:val="clear" w:color="000000" w:fill="FFFFFF"/>
            <w:noWrap/>
            <w:vAlign w:val="center"/>
            <w:hideMark/>
          </w:tcPr>
          <w:p w14:paraId="5AC1597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Cash and cash equivalents at beginning of period</w:t>
            </w:r>
          </w:p>
        </w:tc>
        <w:tc>
          <w:tcPr>
            <w:tcW w:w="339" w:type="dxa"/>
            <w:tcBorders>
              <w:top w:val="nil"/>
              <w:left w:val="nil"/>
              <w:bottom w:val="nil"/>
              <w:right w:val="nil"/>
            </w:tcBorders>
            <w:shd w:val="clear" w:color="000000" w:fill="FFFFFF"/>
            <w:noWrap/>
            <w:vAlign w:val="center"/>
            <w:hideMark/>
          </w:tcPr>
          <w:p w14:paraId="4693455D" w14:textId="77777777" w:rsidR="00FC17BC" w:rsidRPr="00DF3006" w:rsidRDefault="00FC17BC" w:rsidP="00C30C67">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706" w:type="dxa"/>
            <w:tcBorders>
              <w:top w:val="nil"/>
              <w:left w:val="nil"/>
              <w:right w:val="nil"/>
            </w:tcBorders>
            <w:shd w:val="clear" w:color="auto" w:fill="FFFFFF" w:themeFill="background1"/>
          </w:tcPr>
          <w:p w14:paraId="1AD8CDAA" w14:textId="77777777" w:rsidR="00FC17BC" w:rsidRPr="00DF3006" w:rsidRDefault="00FC17BC" w:rsidP="00C30C67">
            <w:pPr>
              <w:spacing w:after="0"/>
              <w:jc w:val="right"/>
              <w:rPr>
                <w:rFonts w:eastAsia="Times New Roman" w:cs="Calibri"/>
                <w:color w:val="414042" w:themeColor="text1"/>
                <w:szCs w:val="20"/>
                <w:lang w:eastAsia="en-AU"/>
              </w:rPr>
            </w:pPr>
          </w:p>
        </w:tc>
        <w:tc>
          <w:tcPr>
            <w:tcW w:w="1134" w:type="dxa"/>
            <w:tcBorders>
              <w:top w:val="nil"/>
              <w:left w:val="nil"/>
              <w:bottom w:val="single" w:sz="8" w:space="0" w:color="auto"/>
              <w:right w:val="nil"/>
            </w:tcBorders>
            <w:shd w:val="clear" w:color="auto" w:fill="D9D9D9" w:themeFill="background1" w:themeFillShade="D9"/>
            <w:vAlign w:val="center"/>
          </w:tcPr>
          <w:p w14:paraId="0A56B42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18,895</w:t>
            </w:r>
          </w:p>
        </w:tc>
        <w:tc>
          <w:tcPr>
            <w:tcW w:w="895" w:type="dxa"/>
            <w:tcBorders>
              <w:top w:val="nil"/>
              <w:left w:val="nil"/>
              <w:bottom w:val="single" w:sz="8" w:space="0" w:color="auto"/>
              <w:right w:val="nil"/>
            </w:tcBorders>
            <w:shd w:val="clear" w:color="000000" w:fill="FFFFFF"/>
            <w:vAlign w:val="center"/>
          </w:tcPr>
          <w:p w14:paraId="3B4AC56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17,773</w:t>
            </w:r>
          </w:p>
        </w:tc>
        <w:tc>
          <w:tcPr>
            <w:tcW w:w="1044" w:type="dxa"/>
            <w:tcBorders>
              <w:top w:val="nil"/>
              <w:left w:val="nil"/>
              <w:bottom w:val="single" w:sz="8" w:space="0" w:color="auto"/>
              <w:right w:val="nil"/>
            </w:tcBorders>
            <w:shd w:val="clear" w:color="000000" w:fill="FFFFFF"/>
            <w:vAlign w:val="center"/>
          </w:tcPr>
          <w:p w14:paraId="3E844DA6"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1,122</w:t>
            </w:r>
          </w:p>
        </w:tc>
        <w:tc>
          <w:tcPr>
            <w:tcW w:w="895" w:type="dxa"/>
            <w:tcBorders>
              <w:top w:val="nil"/>
              <w:left w:val="nil"/>
              <w:bottom w:val="single" w:sz="8" w:space="0" w:color="auto"/>
              <w:right w:val="nil"/>
            </w:tcBorders>
            <w:shd w:val="clear" w:color="000000" w:fill="FFFFFF"/>
            <w:vAlign w:val="center"/>
            <w:hideMark/>
          </w:tcPr>
          <w:p w14:paraId="74A3A07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15,564</w:t>
            </w:r>
          </w:p>
        </w:tc>
      </w:tr>
      <w:tr w:rsidR="00DF3006" w:rsidRPr="00DF3006" w14:paraId="0A07904B" w14:textId="77777777" w:rsidTr="00A43983">
        <w:trPr>
          <w:trHeight w:val="315"/>
        </w:trPr>
        <w:tc>
          <w:tcPr>
            <w:tcW w:w="4481" w:type="dxa"/>
            <w:tcBorders>
              <w:top w:val="nil"/>
              <w:left w:val="nil"/>
              <w:bottom w:val="nil"/>
              <w:right w:val="nil"/>
            </w:tcBorders>
            <w:shd w:val="clear" w:color="000000" w:fill="FFFFFF"/>
            <w:noWrap/>
            <w:vAlign w:val="center"/>
            <w:hideMark/>
          </w:tcPr>
          <w:p w14:paraId="64BC8739"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Cash and cash equivalents at end of period</w:t>
            </w:r>
          </w:p>
        </w:tc>
        <w:tc>
          <w:tcPr>
            <w:tcW w:w="339" w:type="dxa"/>
            <w:tcBorders>
              <w:top w:val="nil"/>
              <w:left w:val="nil"/>
              <w:bottom w:val="nil"/>
              <w:right w:val="nil"/>
            </w:tcBorders>
            <w:shd w:val="clear" w:color="000000" w:fill="FFFFFF"/>
            <w:noWrap/>
            <w:vAlign w:val="center"/>
            <w:hideMark/>
          </w:tcPr>
          <w:p w14:paraId="2F9C80B5" w14:textId="77777777" w:rsidR="00FC17BC" w:rsidRPr="00DF3006" w:rsidRDefault="00FC17BC" w:rsidP="00C30C67">
            <w:pPr>
              <w:spacing w:after="0"/>
              <w:jc w:val="center"/>
              <w:rPr>
                <w:rFonts w:eastAsia="Times New Roman" w:cs="Calibri"/>
                <w:color w:val="414042" w:themeColor="text1"/>
                <w:szCs w:val="20"/>
                <w:lang w:eastAsia="en-AU"/>
              </w:rPr>
            </w:pPr>
          </w:p>
        </w:tc>
        <w:tc>
          <w:tcPr>
            <w:tcW w:w="706" w:type="dxa"/>
            <w:tcBorders>
              <w:left w:val="nil"/>
              <w:right w:val="nil"/>
            </w:tcBorders>
            <w:shd w:val="clear" w:color="auto" w:fill="FFFFFF" w:themeFill="background1"/>
          </w:tcPr>
          <w:p w14:paraId="220261E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color w:val="414042" w:themeColor="text1"/>
                <w:szCs w:val="20"/>
                <w:lang w:eastAsia="en-AU"/>
              </w:rPr>
              <w:t>7</w:t>
            </w:r>
          </w:p>
        </w:tc>
        <w:tc>
          <w:tcPr>
            <w:tcW w:w="1134" w:type="dxa"/>
            <w:tcBorders>
              <w:top w:val="single" w:sz="8" w:space="0" w:color="auto"/>
              <w:left w:val="nil"/>
              <w:bottom w:val="double" w:sz="4" w:space="0" w:color="auto"/>
              <w:right w:val="nil"/>
            </w:tcBorders>
            <w:shd w:val="clear" w:color="auto" w:fill="D9D9D9" w:themeFill="background1" w:themeFillShade="D9"/>
            <w:noWrap/>
            <w:vAlign w:val="center"/>
          </w:tcPr>
          <w:p w14:paraId="507336C2"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25,215</w:t>
            </w:r>
          </w:p>
        </w:tc>
        <w:tc>
          <w:tcPr>
            <w:tcW w:w="895" w:type="dxa"/>
            <w:tcBorders>
              <w:top w:val="single" w:sz="8" w:space="0" w:color="auto"/>
              <w:left w:val="nil"/>
              <w:bottom w:val="double" w:sz="4" w:space="0" w:color="auto"/>
              <w:right w:val="nil"/>
            </w:tcBorders>
            <w:shd w:val="clear" w:color="000000" w:fill="FFFFFF"/>
            <w:vAlign w:val="center"/>
          </w:tcPr>
          <w:p w14:paraId="6F0887C4"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18,610</w:t>
            </w:r>
          </w:p>
        </w:tc>
        <w:tc>
          <w:tcPr>
            <w:tcW w:w="1044" w:type="dxa"/>
            <w:tcBorders>
              <w:top w:val="single" w:sz="8" w:space="0" w:color="auto"/>
              <w:left w:val="nil"/>
              <w:bottom w:val="double" w:sz="4" w:space="0" w:color="auto"/>
              <w:right w:val="nil"/>
            </w:tcBorders>
            <w:shd w:val="clear" w:color="000000" w:fill="FFFFFF"/>
            <w:vAlign w:val="center"/>
          </w:tcPr>
          <w:p w14:paraId="354D5B7F"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6,605</w:t>
            </w:r>
          </w:p>
        </w:tc>
        <w:tc>
          <w:tcPr>
            <w:tcW w:w="895" w:type="dxa"/>
            <w:tcBorders>
              <w:top w:val="single" w:sz="8" w:space="0" w:color="auto"/>
              <w:left w:val="nil"/>
              <w:bottom w:val="double" w:sz="4" w:space="0" w:color="auto"/>
              <w:right w:val="nil"/>
            </w:tcBorders>
            <w:shd w:val="clear" w:color="000000" w:fill="FFFFFF"/>
            <w:vAlign w:val="center"/>
            <w:hideMark/>
          </w:tcPr>
          <w:p w14:paraId="73BBE330"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18,895</w:t>
            </w:r>
          </w:p>
        </w:tc>
      </w:tr>
    </w:tbl>
    <w:p w14:paraId="5F37376E" w14:textId="77777777" w:rsidR="00FC17BC" w:rsidRPr="00DF3006" w:rsidRDefault="00FC17BC" w:rsidP="00FC17BC">
      <w:pPr>
        <w:pStyle w:val="Notes"/>
        <w:rPr>
          <w:i/>
        </w:rPr>
      </w:pPr>
    </w:p>
    <w:p w14:paraId="64565AEA" w14:textId="77777777" w:rsidR="00FC17BC" w:rsidRPr="00DF3006" w:rsidRDefault="00FC17BC" w:rsidP="00FC17BC">
      <w:pPr>
        <w:pStyle w:val="Notes"/>
        <w:rPr>
          <w:i/>
        </w:rPr>
      </w:pPr>
    </w:p>
    <w:p w14:paraId="5FEAA8AF" w14:textId="77777777" w:rsidR="00FC17BC" w:rsidRPr="00DF3006" w:rsidRDefault="00FC17BC" w:rsidP="00FC17BC">
      <w:pPr>
        <w:pStyle w:val="Notes"/>
        <w:rPr>
          <w:i/>
        </w:rPr>
      </w:pPr>
    </w:p>
    <w:p w14:paraId="48562E12" w14:textId="77777777" w:rsidR="00FC17BC" w:rsidRPr="00DF3006" w:rsidRDefault="00FC17BC" w:rsidP="00FC17BC">
      <w:pPr>
        <w:tabs>
          <w:tab w:val="left" w:pos="4500"/>
        </w:tabs>
        <w:rPr>
          <w:rFonts w:cs="Arial"/>
          <w:i/>
          <w:color w:val="414042" w:themeColor="text1"/>
          <w:sz w:val="17"/>
          <w:szCs w:val="17"/>
        </w:rPr>
      </w:pPr>
      <w:r w:rsidRPr="00DF3006">
        <w:rPr>
          <w:rFonts w:cs="Arial"/>
          <w:i/>
          <w:color w:val="414042" w:themeColor="text1"/>
          <w:sz w:val="17"/>
          <w:szCs w:val="17"/>
        </w:rPr>
        <w:t>* An explanation of major variances is included at Note 19.</w:t>
      </w:r>
    </w:p>
    <w:p w14:paraId="2D3242FB" w14:textId="77777777" w:rsidR="00FC17BC" w:rsidRPr="00DF3006" w:rsidRDefault="00FC17BC" w:rsidP="00FC17BC">
      <w:pPr>
        <w:pStyle w:val="Notes"/>
        <w:rPr>
          <w:i/>
        </w:rPr>
      </w:pPr>
      <w:r w:rsidRPr="00DF3006">
        <w:rPr>
          <w:i/>
        </w:rPr>
        <w:t>The accompanying notes form part of these statements.</w:t>
      </w:r>
    </w:p>
    <w:p w14:paraId="1020C4D4" w14:textId="77777777" w:rsidR="004E2FA3" w:rsidRDefault="004E2FA3">
      <w:pPr>
        <w:spacing w:before="120" w:after="0" w:line="260" w:lineRule="exact"/>
        <w:rPr>
          <w:color w:val="414042" w:themeColor="text1"/>
        </w:rPr>
      </w:pPr>
      <w:r>
        <w:rPr>
          <w:color w:val="414042" w:themeColor="text1"/>
        </w:rPr>
        <w:t>FTE</w:t>
      </w:r>
    </w:p>
    <w:p w14:paraId="5859D131" w14:textId="1822F514" w:rsidR="00C30C67" w:rsidRPr="00DF3006" w:rsidRDefault="00C30C67">
      <w:pPr>
        <w:spacing w:before="120" w:after="0" w:line="260" w:lineRule="exact"/>
        <w:rPr>
          <w:color w:val="414042" w:themeColor="text1"/>
        </w:rPr>
      </w:pPr>
      <w:r w:rsidRPr="00DF3006">
        <w:rPr>
          <w:color w:val="414042" w:themeColor="text1"/>
        </w:rPr>
        <w:br w:type="page"/>
      </w:r>
    </w:p>
    <w:p w14:paraId="329CF2F8" w14:textId="77777777" w:rsidR="00C30C9B" w:rsidRPr="00DF3006" w:rsidRDefault="00C30C9B" w:rsidP="00FC17BC">
      <w:pPr>
        <w:pStyle w:val="Normal1stpara"/>
        <w:spacing w:line="240" w:lineRule="auto"/>
        <w:rPr>
          <w:b/>
          <w:color w:val="414042" w:themeColor="text1"/>
        </w:rPr>
      </w:pPr>
    </w:p>
    <w:p w14:paraId="08BB21B7" w14:textId="523411D5" w:rsidR="00FC17BC" w:rsidRPr="00DF3006" w:rsidRDefault="00FC17BC" w:rsidP="00FC17BC">
      <w:pPr>
        <w:pStyle w:val="Normal1stpara"/>
        <w:spacing w:line="240" w:lineRule="auto"/>
        <w:rPr>
          <w:color w:val="414042" w:themeColor="text1"/>
        </w:rPr>
      </w:pPr>
      <w:r w:rsidRPr="00DF3006">
        <w:rPr>
          <w:b/>
          <w:color w:val="414042" w:themeColor="text1"/>
        </w:rPr>
        <w:t>Reconciliation of Operating Result to Net Cash Provided by Operating Activities</w:t>
      </w:r>
    </w:p>
    <w:p w14:paraId="0E0925F3" w14:textId="77777777" w:rsidR="00FC17BC" w:rsidRPr="00DF3006" w:rsidRDefault="00FC17BC" w:rsidP="00FC17BC">
      <w:pPr>
        <w:tabs>
          <w:tab w:val="left" w:pos="1851"/>
        </w:tabs>
        <w:rPr>
          <w:b/>
          <w:bCs/>
          <w:color w:val="414042" w:themeColor="text1"/>
          <w:szCs w:val="20"/>
        </w:rPr>
      </w:pPr>
      <w:r w:rsidRPr="00DF3006">
        <w:rPr>
          <w:b/>
          <w:bCs/>
          <w:color w:val="414042" w:themeColor="text1"/>
          <w:szCs w:val="20"/>
        </w:rPr>
        <w:tab/>
      </w:r>
    </w:p>
    <w:tbl>
      <w:tblPr>
        <w:tblW w:w="9220" w:type="dxa"/>
        <w:tblLook w:val="04A0" w:firstRow="1" w:lastRow="0" w:firstColumn="1" w:lastColumn="0" w:noHBand="0" w:noVBand="1"/>
      </w:tblPr>
      <w:tblGrid>
        <w:gridCol w:w="6820"/>
        <w:gridCol w:w="1200"/>
        <w:gridCol w:w="1200"/>
      </w:tblGrid>
      <w:tr w:rsidR="00DF3006" w:rsidRPr="00DF3006" w14:paraId="6CF079FF" w14:textId="77777777" w:rsidTr="00025E55">
        <w:trPr>
          <w:trHeight w:val="285"/>
        </w:trPr>
        <w:tc>
          <w:tcPr>
            <w:tcW w:w="6820" w:type="dxa"/>
            <w:tcBorders>
              <w:top w:val="nil"/>
              <w:left w:val="nil"/>
              <w:bottom w:val="nil"/>
              <w:right w:val="nil"/>
            </w:tcBorders>
            <w:shd w:val="clear" w:color="auto" w:fill="auto"/>
            <w:noWrap/>
            <w:vAlign w:val="center"/>
            <w:hideMark/>
          </w:tcPr>
          <w:p w14:paraId="1001A529" w14:textId="77777777" w:rsidR="00FC17BC" w:rsidRPr="00DF3006" w:rsidRDefault="00FC17BC" w:rsidP="00C30C67">
            <w:pPr>
              <w:spacing w:after="0"/>
              <w:rPr>
                <w:rFonts w:ascii="Times New Roman" w:eastAsia="Times New Roman" w:hAnsi="Times New Roman" w:cs="Times New Roman"/>
                <w:color w:val="414042" w:themeColor="text1"/>
                <w:sz w:val="24"/>
                <w:szCs w:val="24"/>
                <w:lang w:eastAsia="en-AU"/>
              </w:rPr>
            </w:pPr>
          </w:p>
        </w:tc>
        <w:tc>
          <w:tcPr>
            <w:tcW w:w="1200" w:type="dxa"/>
            <w:tcBorders>
              <w:top w:val="nil"/>
              <w:left w:val="nil"/>
              <w:bottom w:val="nil"/>
              <w:right w:val="nil"/>
            </w:tcBorders>
            <w:shd w:val="clear" w:color="auto" w:fill="D9D9D9" w:themeFill="background1" w:themeFillShade="D9"/>
            <w:noWrap/>
            <w:vAlign w:val="center"/>
            <w:hideMark/>
          </w:tcPr>
          <w:p w14:paraId="2A29CD1E"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1200" w:type="dxa"/>
            <w:tcBorders>
              <w:top w:val="nil"/>
              <w:left w:val="nil"/>
              <w:bottom w:val="nil"/>
              <w:right w:val="nil"/>
            </w:tcBorders>
            <w:shd w:val="clear" w:color="000000" w:fill="FFFFFF"/>
            <w:noWrap/>
            <w:vAlign w:val="center"/>
            <w:hideMark/>
          </w:tcPr>
          <w:p w14:paraId="20AECCB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r>
      <w:tr w:rsidR="00DF3006" w:rsidRPr="00DF3006" w14:paraId="767A3E2D" w14:textId="77777777" w:rsidTr="00025E55">
        <w:trPr>
          <w:trHeight w:val="285"/>
        </w:trPr>
        <w:tc>
          <w:tcPr>
            <w:tcW w:w="6820" w:type="dxa"/>
            <w:tcBorders>
              <w:top w:val="nil"/>
              <w:left w:val="nil"/>
              <w:bottom w:val="nil"/>
              <w:right w:val="nil"/>
            </w:tcBorders>
            <w:shd w:val="clear" w:color="auto" w:fill="auto"/>
            <w:noWrap/>
            <w:vAlign w:val="center"/>
            <w:hideMark/>
          </w:tcPr>
          <w:p w14:paraId="60850C98"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200" w:type="dxa"/>
            <w:tcBorders>
              <w:top w:val="nil"/>
              <w:left w:val="nil"/>
              <w:bottom w:val="nil"/>
              <w:right w:val="nil"/>
            </w:tcBorders>
            <w:shd w:val="clear" w:color="auto" w:fill="D9D9D9" w:themeFill="background1" w:themeFillShade="D9"/>
            <w:noWrap/>
            <w:vAlign w:val="center"/>
            <w:hideMark/>
          </w:tcPr>
          <w:p w14:paraId="6B40FEDB"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200" w:type="dxa"/>
            <w:tcBorders>
              <w:top w:val="nil"/>
              <w:left w:val="nil"/>
              <w:bottom w:val="nil"/>
              <w:right w:val="nil"/>
            </w:tcBorders>
            <w:shd w:val="clear" w:color="000000" w:fill="FFFFFF"/>
            <w:noWrap/>
            <w:vAlign w:val="center"/>
            <w:hideMark/>
          </w:tcPr>
          <w:p w14:paraId="377DF705"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r>
      <w:tr w:rsidR="00DF3006" w:rsidRPr="00DF3006" w14:paraId="535374F0" w14:textId="77777777" w:rsidTr="00025E55">
        <w:trPr>
          <w:trHeight w:val="285"/>
        </w:trPr>
        <w:tc>
          <w:tcPr>
            <w:tcW w:w="6820" w:type="dxa"/>
            <w:tcBorders>
              <w:top w:val="nil"/>
              <w:left w:val="nil"/>
              <w:bottom w:val="nil"/>
              <w:right w:val="nil"/>
            </w:tcBorders>
            <w:shd w:val="clear" w:color="auto" w:fill="auto"/>
            <w:noWrap/>
            <w:vAlign w:val="center"/>
            <w:hideMark/>
          </w:tcPr>
          <w:p w14:paraId="4AB02980"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200" w:type="dxa"/>
            <w:tcBorders>
              <w:top w:val="nil"/>
              <w:left w:val="nil"/>
              <w:bottom w:val="nil"/>
              <w:right w:val="nil"/>
            </w:tcBorders>
            <w:shd w:val="clear" w:color="auto" w:fill="D9D9D9" w:themeFill="background1" w:themeFillShade="D9"/>
            <w:noWrap/>
            <w:vAlign w:val="center"/>
            <w:hideMark/>
          </w:tcPr>
          <w:p w14:paraId="6334F5BB"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00" w:type="dxa"/>
            <w:tcBorders>
              <w:top w:val="nil"/>
              <w:left w:val="nil"/>
              <w:bottom w:val="nil"/>
              <w:right w:val="nil"/>
            </w:tcBorders>
            <w:shd w:val="clear" w:color="000000" w:fill="FFFFFF"/>
            <w:noWrap/>
            <w:vAlign w:val="center"/>
            <w:hideMark/>
          </w:tcPr>
          <w:p w14:paraId="01C3E5C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168CF37A" w14:textId="77777777" w:rsidTr="00025E55">
        <w:trPr>
          <w:trHeight w:val="285"/>
        </w:trPr>
        <w:tc>
          <w:tcPr>
            <w:tcW w:w="6820" w:type="dxa"/>
            <w:tcBorders>
              <w:top w:val="nil"/>
              <w:left w:val="nil"/>
              <w:bottom w:val="nil"/>
              <w:right w:val="nil"/>
            </w:tcBorders>
            <w:shd w:val="clear" w:color="auto" w:fill="auto"/>
            <w:noWrap/>
            <w:vAlign w:val="center"/>
            <w:hideMark/>
          </w:tcPr>
          <w:p w14:paraId="43B9ED03"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Operating result from continuing operations</w:t>
            </w:r>
          </w:p>
        </w:tc>
        <w:tc>
          <w:tcPr>
            <w:tcW w:w="1200" w:type="dxa"/>
            <w:tcBorders>
              <w:top w:val="nil"/>
              <w:left w:val="nil"/>
              <w:bottom w:val="nil"/>
              <w:right w:val="nil"/>
            </w:tcBorders>
            <w:shd w:val="clear" w:color="auto" w:fill="D9D9D9" w:themeFill="background1" w:themeFillShade="D9"/>
            <w:noWrap/>
            <w:vAlign w:val="center"/>
          </w:tcPr>
          <w:p w14:paraId="4EC6640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6,431</w:t>
            </w:r>
          </w:p>
        </w:tc>
        <w:tc>
          <w:tcPr>
            <w:tcW w:w="1200" w:type="dxa"/>
            <w:tcBorders>
              <w:top w:val="nil"/>
              <w:left w:val="nil"/>
              <w:bottom w:val="nil"/>
              <w:right w:val="nil"/>
            </w:tcBorders>
            <w:shd w:val="clear" w:color="000000" w:fill="FFFFFF"/>
            <w:noWrap/>
            <w:vAlign w:val="center"/>
            <w:hideMark/>
          </w:tcPr>
          <w:p w14:paraId="2BF9505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(551)</w:t>
            </w:r>
          </w:p>
        </w:tc>
      </w:tr>
      <w:tr w:rsidR="00DF3006" w:rsidRPr="00DF3006" w14:paraId="27A398A1" w14:textId="77777777" w:rsidTr="00025E55">
        <w:trPr>
          <w:trHeight w:val="285"/>
        </w:trPr>
        <w:tc>
          <w:tcPr>
            <w:tcW w:w="6820" w:type="dxa"/>
            <w:tcBorders>
              <w:top w:val="nil"/>
              <w:left w:val="nil"/>
              <w:bottom w:val="nil"/>
              <w:right w:val="nil"/>
            </w:tcBorders>
            <w:shd w:val="clear" w:color="auto" w:fill="auto"/>
            <w:noWrap/>
            <w:vAlign w:val="center"/>
            <w:hideMark/>
          </w:tcPr>
          <w:p w14:paraId="3865542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Depreciation and amortisation expense</w:t>
            </w:r>
          </w:p>
        </w:tc>
        <w:tc>
          <w:tcPr>
            <w:tcW w:w="1200" w:type="dxa"/>
            <w:tcBorders>
              <w:top w:val="nil"/>
              <w:left w:val="nil"/>
              <w:bottom w:val="nil"/>
              <w:right w:val="nil"/>
            </w:tcBorders>
            <w:shd w:val="clear" w:color="auto" w:fill="D9D9D9" w:themeFill="background1" w:themeFillShade="D9"/>
            <w:noWrap/>
            <w:vAlign w:val="center"/>
          </w:tcPr>
          <w:p w14:paraId="225B3FC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2,288</w:t>
            </w:r>
          </w:p>
        </w:tc>
        <w:tc>
          <w:tcPr>
            <w:tcW w:w="1200" w:type="dxa"/>
            <w:tcBorders>
              <w:top w:val="nil"/>
              <w:left w:val="nil"/>
              <w:bottom w:val="nil"/>
              <w:right w:val="nil"/>
            </w:tcBorders>
            <w:shd w:val="clear" w:color="000000" w:fill="FFFFFF"/>
            <w:noWrap/>
            <w:vAlign w:val="center"/>
            <w:hideMark/>
          </w:tcPr>
          <w:p w14:paraId="21AA91A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2,406</w:t>
            </w:r>
          </w:p>
        </w:tc>
      </w:tr>
      <w:tr w:rsidR="00DF3006" w:rsidRPr="00DF3006" w14:paraId="5210524D" w14:textId="77777777" w:rsidTr="00025E55">
        <w:trPr>
          <w:trHeight w:val="285"/>
        </w:trPr>
        <w:tc>
          <w:tcPr>
            <w:tcW w:w="6820" w:type="dxa"/>
            <w:tcBorders>
              <w:top w:val="nil"/>
              <w:left w:val="nil"/>
              <w:bottom w:val="nil"/>
              <w:right w:val="nil"/>
            </w:tcBorders>
            <w:shd w:val="clear" w:color="auto" w:fill="auto"/>
            <w:noWrap/>
            <w:vAlign w:val="center"/>
            <w:hideMark/>
          </w:tcPr>
          <w:p w14:paraId="4A2318DA"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Losses on disposal of property, </w:t>
            </w:r>
            <w:proofErr w:type="gramStart"/>
            <w:r w:rsidRPr="00DF3006">
              <w:rPr>
                <w:rFonts w:eastAsia="Times New Roman" w:cs="Calibri"/>
                <w:color w:val="414042" w:themeColor="text1"/>
                <w:szCs w:val="20"/>
                <w:lang w:eastAsia="en-AU"/>
              </w:rPr>
              <w:t>plant</w:t>
            </w:r>
            <w:proofErr w:type="gramEnd"/>
            <w:r w:rsidRPr="00DF3006">
              <w:rPr>
                <w:rFonts w:eastAsia="Times New Roman" w:cs="Calibri"/>
                <w:color w:val="414042" w:themeColor="text1"/>
                <w:szCs w:val="20"/>
                <w:lang w:eastAsia="en-AU"/>
              </w:rPr>
              <w:t xml:space="preserve"> and equipment</w:t>
            </w:r>
          </w:p>
        </w:tc>
        <w:tc>
          <w:tcPr>
            <w:tcW w:w="1200" w:type="dxa"/>
            <w:tcBorders>
              <w:top w:val="nil"/>
              <w:left w:val="nil"/>
              <w:bottom w:val="nil"/>
              <w:right w:val="nil"/>
            </w:tcBorders>
            <w:shd w:val="clear" w:color="auto" w:fill="D9D9D9" w:themeFill="background1" w:themeFillShade="D9"/>
            <w:noWrap/>
            <w:vAlign w:val="center"/>
          </w:tcPr>
          <w:p w14:paraId="3F7D3E2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w:t>
            </w:r>
          </w:p>
        </w:tc>
        <w:tc>
          <w:tcPr>
            <w:tcW w:w="1200" w:type="dxa"/>
            <w:tcBorders>
              <w:top w:val="nil"/>
              <w:left w:val="nil"/>
              <w:bottom w:val="nil"/>
              <w:right w:val="nil"/>
            </w:tcBorders>
            <w:shd w:val="clear" w:color="000000" w:fill="FFFFFF"/>
            <w:noWrap/>
            <w:vAlign w:val="center"/>
            <w:hideMark/>
          </w:tcPr>
          <w:p w14:paraId="42C6720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w:t>
            </w:r>
          </w:p>
        </w:tc>
      </w:tr>
      <w:tr w:rsidR="00DF3006" w:rsidRPr="00DF3006" w14:paraId="38899071" w14:textId="77777777" w:rsidTr="00025E55">
        <w:trPr>
          <w:trHeight w:val="285"/>
        </w:trPr>
        <w:tc>
          <w:tcPr>
            <w:tcW w:w="6820" w:type="dxa"/>
            <w:tcBorders>
              <w:top w:val="nil"/>
              <w:left w:val="nil"/>
              <w:bottom w:val="nil"/>
              <w:right w:val="nil"/>
            </w:tcBorders>
            <w:shd w:val="clear" w:color="auto" w:fill="auto"/>
            <w:noWrap/>
            <w:vAlign w:val="center"/>
            <w:hideMark/>
          </w:tcPr>
          <w:p w14:paraId="573227D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Gains on disposal of property, </w:t>
            </w:r>
            <w:proofErr w:type="gramStart"/>
            <w:r w:rsidRPr="00DF3006">
              <w:rPr>
                <w:rFonts w:eastAsia="Times New Roman" w:cs="Calibri"/>
                <w:color w:val="414042" w:themeColor="text1"/>
                <w:szCs w:val="20"/>
                <w:lang w:eastAsia="en-AU"/>
              </w:rPr>
              <w:t>plant</w:t>
            </w:r>
            <w:proofErr w:type="gramEnd"/>
            <w:r w:rsidRPr="00DF3006">
              <w:rPr>
                <w:rFonts w:eastAsia="Times New Roman" w:cs="Calibri"/>
                <w:color w:val="414042" w:themeColor="text1"/>
                <w:szCs w:val="20"/>
                <w:lang w:eastAsia="en-AU"/>
              </w:rPr>
              <w:t xml:space="preserve"> and equipment</w:t>
            </w:r>
          </w:p>
        </w:tc>
        <w:tc>
          <w:tcPr>
            <w:tcW w:w="1200" w:type="dxa"/>
            <w:tcBorders>
              <w:top w:val="nil"/>
              <w:left w:val="nil"/>
              <w:bottom w:val="nil"/>
              <w:right w:val="nil"/>
            </w:tcBorders>
            <w:shd w:val="clear" w:color="auto" w:fill="D9D9D9" w:themeFill="background1" w:themeFillShade="D9"/>
            <w:noWrap/>
            <w:vAlign w:val="center"/>
          </w:tcPr>
          <w:p w14:paraId="3A2E6095"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(91)</w:t>
            </w:r>
          </w:p>
        </w:tc>
        <w:tc>
          <w:tcPr>
            <w:tcW w:w="1200" w:type="dxa"/>
            <w:tcBorders>
              <w:top w:val="nil"/>
              <w:left w:val="nil"/>
              <w:bottom w:val="nil"/>
              <w:right w:val="nil"/>
            </w:tcBorders>
            <w:shd w:val="clear" w:color="000000" w:fill="FFFFFF"/>
            <w:noWrap/>
            <w:vAlign w:val="center"/>
            <w:hideMark/>
          </w:tcPr>
          <w:p w14:paraId="203BFDEF"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(123)</w:t>
            </w:r>
          </w:p>
        </w:tc>
      </w:tr>
      <w:tr w:rsidR="00DF3006" w:rsidRPr="00DF3006" w14:paraId="404B159F" w14:textId="77777777" w:rsidTr="00025E55">
        <w:trPr>
          <w:trHeight w:val="285"/>
        </w:trPr>
        <w:tc>
          <w:tcPr>
            <w:tcW w:w="6820" w:type="dxa"/>
            <w:tcBorders>
              <w:top w:val="nil"/>
              <w:left w:val="nil"/>
              <w:bottom w:val="nil"/>
              <w:right w:val="nil"/>
            </w:tcBorders>
            <w:shd w:val="clear" w:color="auto" w:fill="auto"/>
            <w:noWrap/>
            <w:vAlign w:val="center"/>
            <w:hideMark/>
          </w:tcPr>
          <w:p w14:paraId="107717F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Impairment losses</w:t>
            </w:r>
          </w:p>
        </w:tc>
        <w:tc>
          <w:tcPr>
            <w:tcW w:w="1200" w:type="dxa"/>
            <w:tcBorders>
              <w:top w:val="nil"/>
              <w:left w:val="nil"/>
              <w:bottom w:val="nil"/>
              <w:right w:val="nil"/>
            </w:tcBorders>
            <w:shd w:val="clear" w:color="auto" w:fill="D9D9D9" w:themeFill="background1" w:themeFillShade="D9"/>
            <w:noWrap/>
            <w:vAlign w:val="center"/>
          </w:tcPr>
          <w:p w14:paraId="43E0360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200" w:type="dxa"/>
            <w:tcBorders>
              <w:top w:val="nil"/>
              <w:left w:val="nil"/>
              <w:bottom w:val="nil"/>
              <w:right w:val="nil"/>
            </w:tcBorders>
            <w:shd w:val="clear" w:color="000000" w:fill="FFFFFF"/>
            <w:noWrap/>
            <w:vAlign w:val="center"/>
            <w:hideMark/>
          </w:tcPr>
          <w:p w14:paraId="0B86753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2,275</w:t>
            </w:r>
          </w:p>
        </w:tc>
      </w:tr>
      <w:tr w:rsidR="00DF3006" w:rsidRPr="00DF3006" w14:paraId="65A7791B" w14:textId="77777777" w:rsidTr="00025E55">
        <w:trPr>
          <w:trHeight w:val="285"/>
        </w:trPr>
        <w:tc>
          <w:tcPr>
            <w:tcW w:w="6820" w:type="dxa"/>
            <w:tcBorders>
              <w:top w:val="nil"/>
              <w:left w:val="nil"/>
              <w:bottom w:val="nil"/>
              <w:right w:val="nil"/>
            </w:tcBorders>
            <w:shd w:val="clear" w:color="auto" w:fill="auto"/>
            <w:noWrap/>
            <w:vAlign w:val="center"/>
            <w:hideMark/>
          </w:tcPr>
          <w:p w14:paraId="1B89446A"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Finance costs</w:t>
            </w:r>
          </w:p>
        </w:tc>
        <w:tc>
          <w:tcPr>
            <w:tcW w:w="1200" w:type="dxa"/>
            <w:tcBorders>
              <w:top w:val="nil"/>
              <w:left w:val="nil"/>
              <w:bottom w:val="nil"/>
              <w:right w:val="nil"/>
            </w:tcBorders>
            <w:shd w:val="clear" w:color="auto" w:fill="D9D9D9" w:themeFill="background1" w:themeFillShade="D9"/>
            <w:noWrap/>
            <w:vAlign w:val="center"/>
          </w:tcPr>
          <w:p w14:paraId="7C124D34"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w:t>
            </w:r>
          </w:p>
        </w:tc>
        <w:tc>
          <w:tcPr>
            <w:tcW w:w="1200" w:type="dxa"/>
            <w:tcBorders>
              <w:top w:val="nil"/>
              <w:left w:val="nil"/>
              <w:bottom w:val="nil"/>
              <w:right w:val="nil"/>
            </w:tcBorders>
            <w:shd w:val="clear" w:color="000000" w:fill="FFFFFF"/>
            <w:noWrap/>
            <w:vAlign w:val="center"/>
            <w:hideMark/>
          </w:tcPr>
          <w:p w14:paraId="6528B4A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w:t>
            </w:r>
          </w:p>
        </w:tc>
      </w:tr>
      <w:tr w:rsidR="00DF3006" w:rsidRPr="00DF3006" w14:paraId="18C21FDE" w14:textId="77777777" w:rsidTr="00025E55">
        <w:trPr>
          <w:trHeight w:val="285"/>
        </w:trPr>
        <w:tc>
          <w:tcPr>
            <w:tcW w:w="6820" w:type="dxa"/>
            <w:tcBorders>
              <w:top w:val="nil"/>
              <w:left w:val="nil"/>
              <w:bottom w:val="nil"/>
              <w:right w:val="nil"/>
            </w:tcBorders>
            <w:shd w:val="clear" w:color="auto" w:fill="auto"/>
            <w:noWrap/>
            <w:vAlign w:val="center"/>
            <w:hideMark/>
          </w:tcPr>
          <w:p w14:paraId="64DDE61C" w14:textId="77777777" w:rsidR="00FC17BC" w:rsidRPr="00DF3006" w:rsidRDefault="00FC17BC" w:rsidP="00C30C67">
            <w:pPr>
              <w:spacing w:after="0"/>
              <w:jc w:val="right"/>
              <w:rPr>
                <w:rFonts w:eastAsia="Times New Roman" w:cs="Calibri"/>
                <w:color w:val="414042" w:themeColor="text1"/>
                <w:szCs w:val="20"/>
                <w:lang w:eastAsia="en-AU"/>
              </w:rPr>
            </w:pPr>
          </w:p>
        </w:tc>
        <w:tc>
          <w:tcPr>
            <w:tcW w:w="1200" w:type="dxa"/>
            <w:tcBorders>
              <w:top w:val="nil"/>
              <w:left w:val="nil"/>
              <w:bottom w:val="nil"/>
              <w:right w:val="nil"/>
            </w:tcBorders>
            <w:shd w:val="clear" w:color="auto" w:fill="D9D9D9" w:themeFill="background1" w:themeFillShade="D9"/>
            <w:noWrap/>
            <w:vAlign w:val="center"/>
          </w:tcPr>
          <w:p w14:paraId="2FD1B031"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200" w:type="dxa"/>
            <w:tcBorders>
              <w:top w:val="nil"/>
              <w:left w:val="nil"/>
              <w:bottom w:val="nil"/>
              <w:right w:val="nil"/>
            </w:tcBorders>
            <w:shd w:val="clear" w:color="000000" w:fill="FFFFFF"/>
            <w:noWrap/>
            <w:vAlign w:val="center"/>
            <w:hideMark/>
          </w:tcPr>
          <w:p w14:paraId="1A61107C" w14:textId="77777777" w:rsidR="00FC17BC" w:rsidRPr="00DF3006" w:rsidRDefault="00FC17BC" w:rsidP="00C30C67">
            <w:pPr>
              <w:spacing w:after="0"/>
              <w:jc w:val="right"/>
              <w:rPr>
                <w:rFonts w:eastAsia="Times New Roman" w:cs="Calibri"/>
                <w:b/>
                <w:bCs/>
                <w:color w:val="414042" w:themeColor="text1"/>
                <w:szCs w:val="20"/>
                <w:lang w:eastAsia="en-AU"/>
              </w:rPr>
            </w:pPr>
          </w:p>
        </w:tc>
      </w:tr>
      <w:tr w:rsidR="00DF3006" w:rsidRPr="00DF3006" w14:paraId="5BFAB042" w14:textId="77777777" w:rsidTr="00025E55">
        <w:trPr>
          <w:trHeight w:val="285"/>
        </w:trPr>
        <w:tc>
          <w:tcPr>
            <w:tcW w:w="6820" w:type="dxa"/>
            <w:tcBorders>
              <w:top w:val="nil"/>
              <w:left w:val="nil"/>
              <w:bottom w:val="nil"/>
              <w:right w:val="nil"/>
            </w:tcBorders>
            <w:shd w:val="clear" w:color="auto" w:fill="auto"/>
            <w:noWrap/>
            <w:vAlign w:val="center"/>
            <w:hideMark/>
          </w:tcPr>
          <w:p w14:paraId="6A4D51AD"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Change in asset and liabilities:</w:t>
            </w:r>
          </w:p>
        </w:tc>
        <w:tc>
          <w:tcPr>
            <w:tcW w:w="1200" w:type="dxa"/>
            <w:tcBorders>
              <w:top w:val="nil"/>
              <w:left w:val="nil"/>
              <w:bottom w:val="nil"/>
              <w:right w:val="nil"/>
            </w:tcBorders>
            <w:shd w:val="clear" w:color="auto" w:fill="D9D9D9" w:themeFill="background1" w:themeFillShade="D9"/>
            <w:noWrap/>
            <w:vAlign w:val="center"/>
          </w:tcPr>
          <w:p w14:paraId="3343455F" w14:textId="77777777" w:rsidR="00FC17BC" w:rsidRPr="00DF3006" w:rsidRDefault="00FC17BC" w:rsidP="00C30C67">
            <w:pPr>
              <w:spacing w:after="0"/>
              <w:jc w:val="right"/>
              <w:rPr>
                <w:rFonts w:eastAsia="Times New Roman" w:cs="Calibri"/>
                <w:b/>
                <w:bCs/>
                <w:color w:val="414042" w:themeColor="text1"/>
                <w:szCs w:val="20"/>
                <w:lang w:eastAsia="en-AU"/>
              </w:rPr>
            </w:pPr>
          </w:p>
        </w:tc>
        <w:tc>
          <w:tcPr>
            <w:tcW w:w="1200" w:type="dxa"/>
            <w:tcBorders>
              <w:top w:val="nil"/>
              <w:left w:val="nil"/>
              <w:bottom w:val="nil"/>
              <w:right w:val="nil"/>
            </w:tcBorders>
            <w:shd w:val="clear" w:color="000000" w:fill="FFFFFF"/>
            <w:noWrap/>
            <w:vAlign w:val="center"/>
            <w:hideMark/>
          </w:tcPr>
          <w:p w14:paraId="36C91A17" w14:textId="77777777" w:rsidR="00FC17BC" w:rsidRPr="00DF3006" w:rsidRDefault="00FC17BC" w:rsidP="00C30C67">
            <w:pPr>
              <w:spacing w:after="0"/>
              <w:jc w:val="right"/>
              <w:rPr>
                <w:rFonts w:eastAsia="Times New Roman" w:cs="Calibri"/>
                <w:b/>
                <w:bCs/>
                <w:color w:val="414042" w:themeColor="text1"/>
                <w:szCs w:val="20"/>
                <w:lang w:eastAsia="en-AU"/>
              </w:rPr>
            </w:pPr>
          </w:p>
        </w:tc>
      </w:tr>
      <w:tr w:rsidR="00DF3006" w:rsidRPr="00DF3006" w14:paraId="58F33909" w14:textId="77777777" w:rsidTr="00025E55">
        <w:trPr>
          <w:trHeight w:val="285"/>
        </w:trPr>
        <w:tc>
          <w:tcPr>
            <w:tcW w:w="6820" w:type="dxa"/>
            <w:tcBorders>
              <w:top w:val="nil"/>
              <w:left w:val="nil"/>
              <w:bottom w:val="nil"/>
              <w:right w:val="nil"/>
            </w:tcBorders>
            <w:shd w:val="clear" w:color="auto" w:fill="auto"/>
            <w:noWrap/>
            <w:vAlign w:val="center"/>
            <w:hideMark/>
          </w:tcPr>
          <w:p w14:paraId="3B48ADE4"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other receivables</w:t>
            </w:r>
          </w:p>
        </w:tc>
        <w:tc>
          <w:tcPr>
            <w:tcW w:w="1200" w:type="dxa"/>
            <w:tcBorders>
              <w:top w:val="nil"/>
              <w:left w:val="nil"/>
              <w:bottom w:val="nil"/>
              <w:right w:val="nil"/>
            </w:tcBorders>
            <w:shd w:val="clear" w:color="auto" w:fill="D9D9D9" w:themeFill="background1" w:themeFillShade="D9"/>
            <w:noWrap/>
            <w:vAlign w:val="center"/>
          </w:tcPr>
          <w:p w14:paraId="6E43DC7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w:t>
            </w:r>
          </w:p>
        </w:tc>
        <w:tc>
          <w:tcPr>
            <w:tcW w:w="1200" w:type="dxa"/>
            <w:tcBorders>
              <w:top w:val="nil"/>
              <w:left w:val="nil"/>
              <w:bottom w:val="nil"/>
              <w:right w:val="nil"/>
            </w:tcBorders>
            <w:shd w:val="clear" w:color="000000" w:fill="FFFFFF"/>
            <w:noWrap/>
            <w:vAlign w:val="center"/>
            <w:hideMark/>
          </w:tcPr>
          <w:p w14:paraId="3C6DBCD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w:t>
            </w:r>
          </w:p>
        </w:tc>
      </w:tr>
      <w:tr w:rsidR="00DF3006" w:rsidRPr="00DF3006" w14:paraId="5E5B4A36" w14:textId="77777777" w:rsidTr="00025E55">
        <w:trPr>
          <w:trHeight w:val="285"/>
        </w:trPr>
        <w:tc>
          <w:tcPr>
            <w:tcW w:w="6820" w:type="dxa"/>
            <w:tcBorders>
              <w:top w:val="nil"/>
              <w:left w:val="nil"/>
              <w:bottom w:val="nil"/>
              <w:right w:val="nil"/>
            </w:tcBorders>
            <w:shd w:val="clear" w:color="auto" w:fill="auto"/>
            <w:noWrap/>
            <w:vAlign w:val="center"/>
            <w:hideMark/>
          </w:tcPr>
          <w:p w14:paraId="05DFE471"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GST receivable</w:t>
            </w:r>
          </w:p>
        </w:tc>
        <w:tc>
          <w:tcPr>
            <w:tcW w:w="1200" w:type="dxa"/>
            <w:tcBorders>
              <w:top w:val="nil"/>
              <w:left w:val="nil"/>
              <w:bottom w:val="nil"/>
              <w:right w:val="nil"/>
            </w:tcBorders>
            <w:shd w:val="clear" w:color="auto" w:fill="D9D9D9" w:themeFill="background1" w:themeFillShade="D9"/>
            <w:noWrap/>
            <w:vAlign w:val="center"/>
          </w:tcPr>
          <w:p w14:paraId="794B722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w:t>
            </w:r>
          </w:p>
        </w:tc>
        <w:tc>
          <w:tcPr>
            <w:tcW w:w="1200" w:type="dxa"/>
            <w:tcBorders>
              <w:top w:val="nil"/>
              <w:left w:val="nil"/>
              <w:bottom w:val="nil"/>
              <w:right w:val="nil"/>
            </w:tcBorders>
            <w:shd w:val="clear" w:color="000000" w:fill="FFFFFF"/>
            <w:noWrap/>
            <w:vAlign w:val="center"/>
            <w:hideMark/>
          </w:tcPr>
          <w:p w14:paraId="5E68323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42</w:t>
            </w:r>
          </w:p>
        </w:tc>
      </w:tr>
      <w:tr w:rsidR="00DF3006" w:rsidRPr="00DF3006" w14:paraId="19F1A258" w14:textId="77777777" w:rsidTr="00025E55">
        <w:trPr>
          <w:trHeight w:val="285"/>
        </w:trPr>
        <w:tc>
          <w:tcPr>
            <w:tcW w:w="6820" w:type="dxa"/>
            <w:tcBorders>
              <w:top w:val="nil"/>
              <w:left w:val="nil"/>
              <w:bottom w:val="nil"/>
              <w:right w:val="nil"/>
            </w:tcBorders>
            <w:shd w:val="clear" w:color="auto" w:fill="auto"/>
            <w:noWrap/>
            <w:vAlign w:val="center"/>
            <w:hideMark/>
          </w:tcPr>
          <w:p w14:paraId="6F3AD879"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long service leave reimbursement receivable</w:t>
            </w:r>
          </w:p>
        </w:tc>
        <w:tc>
          <w:tcPr>
            <w:tcW w:w="1200" w:type="dxa"/>
            <w:tcBorders>
              <w:top w:val="nil"/>
              <w:left w:val="nil"/>
              <w:bottom w:val="nil"/>
              <w:right w:val="nil"/>
            </w:tcBorders>
            <w:shd w:val="clear" w:color="auto" w:fill="D9D9D9" w:themeFill="background1" w:themeFillShade="D9"/>
            <w:noWrap/>
            <w:vAlign w:val="center"/>
          </w:tcPr>
          <w:p w14:paraId="3F8F988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59</w:t>
            </w:r>
          </w:p>
        </w:tc>
        <w:tc>
          <w:tcPr>
            <w:tcW w:w="1200" w:type="dxa"/>
            <w:tcBorders>
              <w:top w:val="nil"/>
              <w:left w:val="nil"/>
              <w:bottom w:val="nil"/>
              <w:right w:val="nil"/>
            </w:tcBorders>
            <w:shd w:val="clear" w:color="000000" w:fill="FFFFFF"/>
            <w:noWrap/>
            <w:vAlign w:val="center"/>
            <w:hideMark/>
          </w:tcPr>
          <w:p w14:paraId="02DAAB7E"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(46)</w:t>
            </w:r>
          </w:p>
        </w:tc>
      </w:tr>
      <w:tr w:rsidR="00DF3006" w:rsidRPr="00DF3006" w14:paraId="44762231" w14:textId="77777777" w:rsidTr="00025E55">
        <w:trPr>
          <w:trHeight w:val="285"/>
        </w:trPr>
        <w:tc>
          <w:tcPr>
            <w:tcW w:w="6820" w:type="dxa"/>
            <w:tcBorders>
              <w:top w:val="nil"/>
              <w:left w:val="nil"/>
              <w:bottom w:val="nil"/>
              <w:right w:val="nil"/>
            </w:tcBorders>
            <w:shd w:val="clear" w:color="auto" w:fill="auto"/>
            <w:noWrap/>
            <w:vAlign w:val="center"/>
            <w:hideMark/>
          </w:tcPr>
          <w:p w14:paraId="65EDCBD5"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annual leave reimbursement receivable</w:t>
            </w:r>
          </w:p>
        </w:tc>
        <w:tc>
          <w:tcPr>
            <w:tcW w:w="1200" w:type="dxa"/>
            <w:tcBorders>
              <w:top w:val="nil"/>
              <w:left w:val="nil"/>
              <w:bottom w:val="nil"/>
              <w:right w:val="nil"/>
            </w:tcBorders>
            <w:shd w:val="clear" w:color="auto" w:fill="D9D9D9" w:themeFill="background1" w:themeFillShade="D9"/>
            <w:noWrap/>
            <w:vAlign w:val="center"/>
          </w:tcPr>
          <w:p w14:paraId="6EB18E4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36</w:t>
            </w:r>
          </w:p>
        </w:tc>
        <w:tc>
          <w:tcPr>
            <w:tcW w:w="1200" w:type="dxa"/>
            <w:tcBorders>
              <w:top w:val="nil"/>
              <w:left w:val="nil"/>
              <w:bottom w:val="nil"/>
              <w:right w:val="nil"/>
            </w:tcBorders>
            <w:shd w:val="clear" w:color="000000" w:fill="FFFFFF"/>
            <w:noWrap/>
            <w:vAlign w:val="center"/>
            <w:hideMark/>
          </w:tcPr>
          <w:p w14:paraId="2CAB58B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(102)</w:t>
            </w:r>
          </w:p>
        </w:tc>
      </w:tr>
      <w:tr w:rsidR="00DF3006" w:rsidRPr="00DF3006" w14:paraId="748B1D69" w14:textId="77777777" w:rsidTr="00025E55">
        <w:trPr>
          <w:trHeight w:val="285"/>
        </w:trPr>
        <w:tc>
          <w:tcPr>
            <w:tcW w:w="6820" w:type="dxa"/>
            <w:tcBorders>
              <w:top w:val="nil"/>
              <w:left w:val="nil"/>
              <w:bottom w:val="nil"/>
              <w:right w:val="nil"/>
            </w:tcBorders>
            <w:shd w:val="clear" w:color="auto" w:fill="auto"/>
            <w:noWrap/>
            <w:vAlign w:val="center"/>
            <w:hideMark/>
          </w:tcPr>
          <w:p w14:paraId="030A8BD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interest receivable</w:t>
            </w:r>
          </w:p>
        </w:tc>
        <w:tc>
          <w:tcPr>
            <w:tcW w:w="1200" w:type="dxa"/>
            <w:tcBorders>
              <w:top w:val="nil"/>
              <w:left w:val="nil"/>
              <w:bottom w:val="nil"/>
              <w:right w:val="nil"/>
            </w:tcBorders>
            <w:shd w:val="clear" w:color="auto" w:fill="D9D9D9" w:themeFill="background1" w:themeFillShade="D9"/>
            <w:noWrap/>
            <w:vAlign w:val="center"/>
          </w:tcPr>
          <w:p w14:paraId="46A483DD"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(80)</w:t>
            </w:r>
          </w:p>
        </w:tc>
        <w:tc>
          <w:tcPr>
            <w:tcW w:w="1200" w:type="dxa"/>
            <w:tcBorders>
              <w:top w:val="nil"/>
              <w:left w:val="nil"/>
              <w:bottom w:val="nil"/>
              <w:right w:val="nil"/>
            </w:tcBorders>
            <w:shd w:val="clear" w:color="000000" w:fill="FFFFFF"/>
            <w:noWrap/>
            <w:vAlign w:val="center"/>
            <w:hideMark/>
          </w:tcPr>
          <w:p w14:paraId="3063825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w:t>
            </w:r>
          </w:p>
        </w:tc>
      </w:tr>
      <w:tr w:rsidR="00DF3006" w:rsidRPr="00DF3006" w14:paraId="333CF4CD" w14:textId="77777777" w:rsidTr="00025E55">
        <w:trPr>
          <w:trHeight w:val="285"/>
        </w:trPr>
        <w:tc>
          <w:tcPr>
            <w:tcW w:w="6820" w:type="dxa"/>
            <w:tcBorders>
              <w:top w:val="nil"/>
              <w:left w:val="nil"/>
              <w:bottom w:val="nil"/>
              <w:right w:val="nil"/>
            </w:tcBorders>
            <w:shd w:val="clear" w:color="auto" w:fill="auto"/>
            <w:noWrap/>
            <w:vAlign w:val="center"/>
            <w:hideMark/>
          </w:tcPr>
          <w:p w14:paraId="17F449FF"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prepayments</w:t>
            </w:r>
          </w:p>
        </w:tc>
        <w:tc>
          <w:tcPr>
            <w:tcW w:w="1200" w:type="dxa"/>
            <w:tcBorders>
              <w:top w:val="nil"/>
              <w:left w:val="nil"/>
              <w:bottom w:val="nil"/>
              <w:right w:val="nil"/>
            </w:tcBorders>
            <w:shd w:val="clear" w:color="auto" w:fill="D9D9D9" w:themeFill="background1" w:themeFillShade="D9"/>
            <w:noWrap/>
            <w:vAlign w:val="center"/>
          </w:tcPr>
          <w:p w14:paraId="11C77110"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(196)</w:t>
            </w:r>
          </w:p>
        </w:tc>
        <w:tc>
          <w:tcPr>
            <w:tcW w:w="1200" w:type="dxa"/>
            <w:tcBorders>
              <w:top w:val="nil"/>
              <w:left w:val="nil"/>
              <w:bottom w:val="nil"/>
              <w:right w:val="nil"/>
            </w:tcBorders>
            <w:shd w:val="clear" w:color="000000" w:fill="FFFFFF"/>
            <w:noWrap/>
            <w:vAlign w:val="center"/>
            <w:hideMark/>
          </w:tcPr>
          <w:p w14:paraId="2B4939D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326</w:t>
            </w:r>
          </w:p>
        </w:tc>
      </w:tr>
      <w:tr w:rsidR="00DF3006" w:rsidRPr="00DF3006" w14:paraId="48C0F618" w14:textId="77777777" w:rsidTr="00025E55">
        <w:trPr>
          <w:trHeight w:val="285"/>
        </w:trPr>
        <w:tc>
          <w:tcPr>
            <w:tcW w:w="6820" w:type="dxa"/>
            <w:tcBorders>
              <w:top w:val="nil"/>
              <w:left w:val="nil"/>
              <w:bottom w:val="nil"/>
              <w:right w:val="nil"/>
            </w:tcBorders>
            <w:shd w:val="clear" w:color="auto" w:fill="auto"/>
            <w:noWrap/>
            <w:vAlign w:val="center"/>
            <w:hideMark/>
          </w:tcPr>
          <w:p w14:paraId="44883470"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accounts payable</w:t>
            </w:r>
          </w:p>
        </w:tc>
        <w:tc>
          <w:tcPr>
            <w:tcW w:w="1200" w:type="dxa"/>
            <w:tcBorders>
              <w:top w:val="nil"/>
              <w:left w:val="nil"/>
              <w:bottom w:val="nil"/>
              <w:right w:val="nil"/>
            </w:tcBorders>
            <w:shd w:val="clear" w:color="auto" w:fill="D9D9D9" w:themeFill="background1" w:themeFillShade="D9"/>
            <w:noWrap/>
            <w:vAlign w:val="center"/>
          </w:tcPr>
          <w:p w14:paraId="38508FF8"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(446)</w:t>
            </w:r>
          </w:p>
        </w:tc>
        <w:tc>
          <w:tcPr>
            <w:tcW w:w="1200" w:type="dxa"/>
            <w:tcBorders>
              <w:top w:val="nil"/>
              <w:left w:val="nil"/>
              <w:bottom w:val="nil"/>
              <w:right w:val="nil"/>
            </w:tcBorders>
            <w:shd w:val="clear" w:color="000000" w:fill="FFFFFF"/>
            <w:noWrap/>
            <w:vAlign w:val="center"/>
            <w:hideMark/>
          </w:tcPr>
          <w:p w14:paraId="05AFEA6C"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609</w:t>
            </w:r>
          </w:p>
        </w:tc>
      </w:tr>
      <w:tr w:rsidR="00DF3006" w:rsidRPr="00DF3006" w14:paraId="25576EE5" w14:textId="77777777" w:rsidTr="00025E55">
        <w:trPr>
          <w:trHeight w:val="285"/>
        </w:trPr>
        <w:tc>
          <w:tcPr>
            <w:tcW w:w="6820" w:type="dxa"/>
            <w:tcBorders>
              <w:top w:val="nil"/>
              <w:left w:val="nil"/>
              <w:bottom w:val="nil"/>
              <w:right w:val="nil"/>
            </w:tcBorders>
            <w:shd w:val="clear" w:color="auto" w:fill="auto"/>
            <w:noWrap/>
            <w:vAlign w:val="center"/>
            <w:hideMark/>
          </w:tcPr>
          <w:p w14:paraId="2DADCDC9"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accrued employee benefits</w:t>
            </w:r>
          </w:p>
        </w:tc>
        <w:tc>
          <w:tcPr>
            <w:tcW w:w="1200" w:type="dxa"/>
            <w:tcBorders>
              <w:top w:val="nil"/>
              <w:left w:val="nil"/>
              <w:bottom w:val="nil"/>
              <w:right w:val="nil"/>
            </w:tcBorders>
            <w:shd w:val="clear" w:color="auto" w:fill="D9D9D9" w:themeFill="background1" w:themeFillShade="D9"/>
            <w:noWrap/>
            <w:vAlign w:val="center"/>
          </w:tcPr>
          <w:p w14:paraId="7FBC7467"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(352)</w:t>
            </w:r>
          </w:p>
        </w:tc>
        <w:tc>
          <w:tcPr>
            <w:tcW w:w="1200" w:type="dxa"/>
            <w:tcBorders>
              <w:top w:val="nil"/>
              <w:left w:val="nil"/>
              <w:bottom w:val="nil"/>
              <w:right w:val="nil"/>
            </w:tcBorders>
            <w:shd w:val="clear" w:color="000000" w:fill="FFFFFF"/>
            <w:noWrap/>
            <w:vAlign w:val="center"/>
            <w:hideMark/>
          </w:tcPr>
          <w:p w14:paraId="7BCA9231"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w:t>
            </w:r>
          </w:p>
        </w:tc>
      </w:tr>
      <w:tr w:rsidR="00DF3006" w:rsidRPr="00DF3006" w14:paraId="1516BC30" w14:textId="77777777" w:rsidTr="00025E55">
        <w:trPr>
          <w:trHeight w:val="285"/>
        </w:trPr>
        <w:tc>
          <w:tcPr>
            <w:tcW w:w="6820" w:type="dxa"/>
            <w:tcBorders>
              <w:top w:val="nil"/>
              <w:left w:val="nil"/>
              <w:bottom w:val="nil"/>
              <w:right w:val="nil"/>
            </w:tcBorders>
            <w:shd w:val="clear" w:color="auto" w:fill="auto"/>
            <w:noWrap/>
            <w:vAlign w:val="center"/>
            <w:hideMark/>
          </w:tcPr>
          <w:p w14:paraId="2645FBDE"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unearned revenue</w:t>
            </w:r>
          </w:p>
        </w:tc>
        <w:tc>
          <w:tcPr>
            <w:tcW w:w="1200" w:type="dxa"/>
            <w:tcBorders>
              <w:top w:val="nil"/>
              <w:left w:val="nil"/>
              <w:right w:val="nil"/>
            </w:tcBorders>
            <w:shd w:val="clear" w:color="auto" w:fill="D9D9D9" w:themeFill="background1" w:themeFillShade="D9"/>
            <w:noWrap/>
            <w:vAlign w:val="center"/>
          </w:tcPr>
          <w:p w14:paraId="65DC41B9"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w:t>
            </w:r>
          </w:p>
        </w:tc>
        <w:tc>
          <w:tcPr>
            <w:tcW w:w="1200" w:type="dxa"/>
            <w:tcBorders>
              <w:top w:val="nil"/>
              <w:left w:val="nil"/>
              <w:right w:val="nil"/>
            </w:tcBorders>
            <w:shd w:val="clear" w:color="000000" w:fill="FFFFFF"/>
            <w:noWrap/>
            <w:vAlign w:val="center"/>
            <w:hideMark/>
          </w:tcPr>
          <w:p w14:paraId="4DD23A63"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w:t>
            </w:r>
          </w:p>
        </w:tc>
      </w:tr>
      <w:tr w:rsidR="00DF3006" w:rsidRPr="00DF3006" w14:paraId="7F835134" w14:textId="77777777" w:rsidTr="00025E55">
        <w:trPr>
          <w:trHeight w:val="285"/>
        </w:trPr>
        <w:tc>
          <w:tcPr>
            <w:tcW w:w="6820" w:type="dxa"/>
            <w:tcBorders>
              <w:top w:val="nil"/>
              <w:left w:val="nil"/>
              <w:bottom w:val="nil"/>
              <w:right w:val="nil"/>
            </w:tcBorders>
            <w:shd w:val="clear" w:color="auto" w:fill="auto"/>
            <w:noWrap/>
            <w:vAlign w:val="center"/>
            <w:hideMark/>
          </w:tcPr>
          <w:p w14:paraId="243E3736" w14:textId="77777777" w:rsidR="00FC17BC" w:rsidRPr="00DF3006" w:rsidRDefault="00FC17BC" w:rsidP="00C30C67">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Increase/(decrease) in provisions</w:t>
            </w:r>
          </w:p>
        </w:tc>
        <w:tc>
          <w:tcPr>
            <w:tcW w:w="1200" w:type="dxa"/>
            <w:tcBorders>
              <w:top w:val="nil"/>
              <w:left w:val="nil"/>
              <w:bottom w:val="single" w:sz="4" w:space="0" w:color="auto"/>
              <w:right w:val="nil"/>
            </w:tcBorders>
            <w:shd w:val="clear" w:color="auto" w:fill="D9D9D9" w:themeFill="background1" w:themeFillShade="D9"/>
            <w:noWrap/>
            <w:vAlign w:val="center"/>
          </w:tcPr>
          <w:p w14:paraId="01D8C7D2"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1200" w:type="dxa"/>
            <w:tcBorders>
              <w:top w:val="nil"/>
              <w:left w:val="nil"/>
              <w:bottom w:val="single" w:sz="4" w:space="0" w:color="auto"/>
              <w:right w:val="nil"/>
            </w:tcBorders>
            <w:shd w:val="clear" w:color="000000" w:fill="FFFFFF"/>
            <w:noWrap/>
            <w:vAlign w:val="center"/>
            <w:hideMark/>
          </w:tcPr>
          <w:p w14:paraId="7476756A" w14:textId="77777777" w:rsidR="00FC17BC" w:rsidRPr="00DF3006" w:rsidRDefault="00FC17BC" w:rsidP="00C30C67">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w:t>
            </w:r>
          </w:p>
        </w:tc>
      </w:tr>
      <w:tr w:rsidR="00DF3006" w:rsidRPr="00DF3006" w14:paraId="7A60EC5A" w14:textId="77777777" w:rsidTr="00025E55">
        <w:trPr>
          <w:trHeight w:val="293"/>
        </w:trPr>
        <w:tc>
          <w:tcPr>
            <w:tcW w:w="6820" w:type="dxa"/>
            <w:tcBorders>
              <w:top w:val="nil"/>
              <w:left w:val="nil"/>
              <w:bottom w:val="nil"/>
              <w:right w:val="nil"/>
            </w:tcBorders>
            <w:shd w:val="clear" w:color="auto" w:fill="auto"/>
            <w:noWrap/>
            <w:vAlign w:val="center"/>
            <w:hideMark/>
          </w:tcPr>
          <w:p w14:paraId="6BCF25CF" w14:textId="77777777" w:rsidR="00FC17BC" w:rsidRPr="00DF3006" w:rsidRDefault="00FC17BC" w:rsidP="00C30C67">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Net Cash Provided by operating activities</w:t>
            </w:r>
          </w:p>
        </w:tc>
        <w:tc>
          <w:tcPr>
            <w:tcW w:w="1200" w:type="dxa"/>
            <w:tcBorders>
              <w:top w:val="single" w:sz="4" w:space="0" w:color="auto"/>
              <w:left w:val="nil"/>
              <w:bottom w:val="double" w:sz="6" w:space="0" w:color="auto"/>
              <w:right w:val="nil"/>
            </w:tcBorders>
            <w:shd w:val="clear" w:color="auto" w:fill="D9D9D9" w:themeFill="background1" w:themeFillShade="D9"/>
            <w:noWrap/>
            <w:vAlign w:val="center"/>
          </w:tcPr>
          <w:p w14:paraId="04EA6206"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7,673</w:t>
            </w:r>
          </w:p>
        </w:tc>
        <w:tc>
          <w:tcPr>
            <w:tcW w:w="1200" w:type="dxa"/>
            <w:tcBorders>
              <w:top w:val="single" w:sz="4" w:space="0" w:color="auto"/>
              <w:left w:val="nil"/>
              <w:bottom w:val="double" w:sz="6" w:space="0" w:color="auto"/>
              <w:right w:val="nil"/>
            </w:tcBorders>
            <w:shd w:val="clear" w:color="000000" w:fill="FFFFFF"/>
            <w:noWrap/>
            <w:vAlign w:val="center"/>
            <w:hideMark/>
          </w:tcPr>
          <w:p w14:paraId="2EBF4258" w14:textId="77777777" w:rsidR="00FC17BC" w:rsidRPr="00DF3006" w:rsidRDefault="00FC17BC" w:rsidP="00C30C67">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4,853</w:t>
            </w:r>
          </w:p>
        </w:tc>
      </w:tr>
    </w:tbl>
    <w:p w14:paraId="2D56E7DD" w14:textId="77777777" w:rsidR="00C30C9B" w:rsidRPr="00DF3006" w:rsidRDefault="00C30C9B" w:rsidP="00C30C9B">
      <w:pPr>
        <w:pStyle w:val="Normal1stpara"/>
        <w:spacing w:line="240" w:lineRule="auto"/>
        <w:rPr>
          <w:color w:val="414042" w:themeColor="text1"/>
        </w:rPr>
      </w:pPr>
    </w:p>
    <w:p w14:paraId="1A29E5B4" w14:textId="6FF077E3" w:rsidR="00C30C9B" w:rsidRPr="00DF3006" w:rsidRDefault="00C30C9B" w:rsidP="00C30C67">
      <w:pPr>
        <w:rPr>
          <w:color w:val="414042" w:themeColor="text1"/>
        </w:rPr>
        <w:sectPr w:rsidR="00C30C9B" w:rsidRPr="00DF3006" w:rsidSect="00C77834">
          <w:headerReference w:type="even" r:id="rId330"/>
          <w:headerReference w:type="default" r:id="rId331"/>
          <w:headerReference w:type="first" r:id="rId332"/>
          <w:pgSz w:w="11906" w:h="16838"/>
          <w:pgMar w:top="2155" w:right="1134" w:bottom="964" w:left="1134" w:header="720" w:footer="283" w:gutter="0"/>
          <w:cols w:space="708"/>
          <w:docGrid w:linePitch="360"/>
        </w:sectPr>
      </w:pPr>
      <w:r w:rsidRPr="00DF3006">
        <w:rPr>
          <w:color w:val="414042" w:themeColor="text1"/>
        </w:rPr>
        <w:tab/>
      </w:r>
    </w:p>
    <w:p w14:paraId="545DD71F" w14:textId="77777777" w:rsidR="00FC17BC" w:rsidRPr="00DF3006" w:rsidRDefault="00FC17BC" w:rsidP="001C06A7">
      <w:pPr>
        <w:rPr>
          <w:rFonts w:ascii="Calibri" w:hAnsi="Calibri" w:cs="Calibri"/>
          <w:b/>
          <w:bCs/>
          <w:color w:val="414042" w:themeColor="text1"/>
        </w:rPr>
      </w:pPr>
      <w:r w:rsidRPr="00DF3006">
        <w:rPr>
          <w:rFonts w:ascii="Calibri" w:hAnsi="Calibri" w:cs="Calibri"/>
          <w:b/>
          <w:bCs/>
          <w:color w:val="414042" w:themeColor="text1"/>
        </w:rPr>
        <w:t>Objectives of the Crime and Corruption Commission</w:t>
      </w:r>
    </w:p>
    <w:p w14:paraId="2F12AAF6"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w:t>
      </w:r>
      <w:r w:rsidRPr="00DF3006">
        <w:rPr>
          <w:color w:val="414042" w:themeColor="text1"/>
        </w:rPr>
        <w:tab/>
        <w:t>Summary of Significant Accounting Policies</w:t>
      </w:r>
    </w:p>
    <w:p w14:paraId="7A356C04"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2</w:t>
      </w:r>
      <w:r w:rsidRPr="00DF3006">
        <w:rPr>
          <w:color w:val="414042" w:themeColor="text1"/>
        </w:rPr>
        <w:tab/>
        <w:t>Grants and Other Contributions</w:t>
      </w:r>
    </w:p>
    <w:p w14:paraId="6E7DCEAF"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3</w:t>
      </w:r>
      <w:r w:rsidRPr="00DF3006">
        <w:rPr>
          <w:color w:val="414042" w:themeColor="text1"/>
        </w:rPr>
        <w:tab/>
        <w:t>Employee Expenses</w:t>
      </w:r>
    </w:p>
    <w:p w14:paraId="6B6F0BE1"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4</w:t>
      </w:r>
      <w:r w:rsidRPr="00DF3006">
        <w:rPr>
          <w:color w:val="414042" w:themeColor="text1"/>
        </w:rPr>
        <w:tab/>
        <w:t>The Commission, Senior Executive Personnel, Remuneration Expenses and Related Party Transactions</w:t>
      </w:r>
    </w:p>
    <w:p w14:paraId="1E279DC4"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5</w:t>
      </w:r>
      <w:r w:rsidRPr="00DF3006">
        <w:rPr>
          <w:color w:val="414042" w:themeColor="text1"/>
        </w:rPr>
        <w:tab/>
        <w:t>Supplies and Services</w:t>
      </w:r>
    </w:p>
    <w:p w14:paraId="70DC38C0"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6</w:t>
      </w:r>
      <w:r w:rsidRPr="00DF3006">
        <w:rPr>
          <w:b/>
          <w:color w:val="414042" w:themeColor="text1"/>
        </w:rPr>
        <w:tab/>
      </w:r>
      <w:r w:rsidRPr="00DF3006">
        <w:rPr>
          <w:color w:val="414042" w:themeColor="text1"/>
        </w:rPr>
        <w:t>Other Expenses</w:t>
      </w:r>
    </w:p>
    <w:p w14:paraId="4B7A01B4" w14:textId="77777777" w:rsidR="00FC17BC" w:rsidRPr="00DF3006" w:rsidRDefault="00FC17BC" w:rsidP="00FC17BC">
      <w:pPr>
        <w:pStyle w:val="NormallistofNotes"/>
        <w:tabs>
          <w:tab w:val="left" w:pos="340"/>
          <w:tab w:val="left" w:pos="680"/>
          <w:tab w:val="left" w:pos="1020"/>
          <w:tab w:val="left" w:pos="1360"/>
          <w:tab w:val="left" w:pos="1700"/>
          <w:tab w:val="left" w:pos="2040"/>
          <w:tab w:val="left" w:pos="2380"/>
          <w:tab w:val="left" w:pos="2720"/>
          <w:tab w:val="left" w:pos="3060"/>
          <w:tab w:val="left" w:pos="9043"/>
        </w:tabs>
        <w:spacing w:line="360" w:lineRule="auto"/>
        <w:rPr>
          <w:color w:val="414042" w:themeColor="text1"/>
        </w:rPr>
      </w:pPr>
      <w:r w:rsidRPr="00DF3006">
        <w:rPr>
          <w:b/>
          <w:color w:val="414042" w:themeColor="text1"/>
        </w:rPr>
        <w:t>Note 7</w:t>
      </w:r>
      <w:r w:rsidRPr="00DF3006">
        <w:rPr>
          <w:color w:val="414042" w:themeColor="text1"/>
        </w:rPr>
        <w:tab/>
      </w:r>
      <w:r w:rsidRPr="00DF3006">
        <w:rPr>
          <w:color w:val="414042" w:themeColor="text1"/>
        </w:rPr>
        <w:tab/>
      </w:r>
      <w:r w:rsidRPr="00DF3006">
        <w:rPr>
          <w:color w:val="414042" w:themeColor="text1"/>
        </w:rPr>
        <w:tab/>
        <w:t>Cash and Cash Equivalents</w:t>
      </w:r>
      <w:r w:rsidRPr="00DF3006">
        <w:rPr>
          <w:color w:val="414042" w:themeColor="text1"/>
        </w:rPr>
        <w:tab/>
      </w:r>
    </w:p>
    <w:p w14:paraId="22A03C38" w14:textId="77777777" w:rsidR="00FC17BC" w:rsidRPr="00DF3006" w:rsidRDefault="00FC17BC" w:rsidP="00FC17BC">
      <w:pPr>
        <w:pStyle w:val="NormallistofNotes"/>
        <w:spacing w:line="360" w:lineRule="auto"/>
        <w:rPr>
          <w:bCs/>
          <w:color w:val="414042" w:themeColor="text1"/>
        </w:rPr>
      </w:pPr>
      <w:r w:rsidRPr="00DF3006">
        <w:rPr>
          <w:b/>
          <w:color w:val="414042" w:themeColor="text1"/>
        </w:rPr>
        <w:t>Note 8</w:t>
      </w:r>
      <w:r w:rsidRPr="00DF3006">
        <w:rPr>
          <w:color w:val="414042" w:themeColor="text1"/>
        </w:rPr>
        <w:tab/>
      </w:r>
      <w:r w:rsidRPr="00DF3006">
        <w:rPr>
          <w:bCs/>
          <w:color w:val="414042" w:themeColor="text1"/>
        </w:rPr>
        <w:t>Intangible Assets</w:t>
      </w:r>
    </w:p>
    <w:p w14:paraId="78330469"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9</w:t>
      </w:r>
      <w:r w:rsidRPr="00DF3006">
        <w:rPr>
          <w:color w:val="414042" w:themeColor="text1"/>
        </w:rPr>
        <w:tab/>
        <w:t>Impairment Losses</w:t>
      </w:r>
    </w:p>
    <w:p w14:paraId="583D28B4"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10</w:t>
      </w:r>
      <w:r w:rsidRPr="00DF3006">
        <w:rPr>
          <w:b/>
          <w:color w:val="414042" w:themeColor="text1"/>
        </w:rPr>
        <w:tab/>
      </w:r>
      <w:r w:rsidRPr="00DF3006">
        <w:rPr>
          <w:color w:val="414042" w:themeColor="text1"/>
        </w:rPr>
        <w:t>Property, Plant and Equipment</w:t>
      </w:r>
    </w:p>
    <w:p w14:paraId="3D4F6545"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11</w:t>
      </w:r>
      <w:r w:rsidRPr="00DF3006">
        <w:rPr>
          <w:color w:val="414042" w:themeColor="text1"/>
        </w:rPr>
        <w:tab/>
        <w:t>Right-of-use Assets and Lease Liabilities</w:t>
      </w:r>
    </w:p>
    <w:p w14:paraId="29ECE6C7"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12</w:t>
      </w:r>
      <w:r w:rsidRPr="00DF3006">
        <w:rPr>
          <w:color w:val="414042" w:themeColor="text1"/>
        </w:rPr>
        <w:tab/>
        <w:t>Payables</w:t>
      </w:r>
    </w:p>
    <w:p w14:paraId="005E2A8D"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13</w:t>
      </w:r>
      <w:r w:rsidRPr="00DF3006">
        <w:rPr>
          <w:color w:val="414042" w:themeColor="text1"/>
        </w:rPr>
        <w:tab/>
        <w:t>Accrued Employee Benefits</w:t>
      </w:r>
    </w:p>
    <w:p w14:paraId="379316ED"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14</w:t>
      </w:r>
      <w:r w:rsidRPr="00DF3006">
        <w:rPr>
          <w:color w:val="414042" w:themeColor="text1"/>
        </w:rPr>
        <w:tab/>
        <w:t>Provisions</w:t>
      </w:r>
    </w:p>
    <w:p w14:paraId="20E34251"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15</w:t>
      </w:r>
      <w:r w:rsidRPr="00DF3006">
        <w:rPr>
          <w:color w:val="414042" w:themeColor="text1"/>
        </w:rPr>
        <w:tab/>
        <w:t>Commitments for Expenditure</w:t>
      </w:r>
    </w:p>
    <w:p w14:paraId="4973D27A"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16</w:t>
      </w:r>
      <w:r w:rsidRPr="00DF3006">
        <w:rPr>
          <w:color w:val="414042" w:themeColor="text1"/>
        </w:rPr>
        <w:tab/>
        <w:t>Contingencies</w:t>
      </w:r>
    </w:p>
    <w:p w14:paraId="7B5E5CDF"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17</w:t>
      </w:r>
      <w:r w:rsidRPr="00DF3006">
        <w:rPr>
          <w:color w:val="414042" w:themeColor="text1"/>
        </w:rPr>
        <w:tab/>
        <w:t>Financial Instruments</w:t>
      </w:r>
    </w:p>
    <w:p w14:paraId="6E1DCCF2" w14:textId="77777777" w:rsidR="00FC17BC" w:rsidRPr="00DF3006" w:rsidRDefault="00FC17BC" w:rsidP="00FC17BC">
      <w:pPr>
        <w:pStyle w:val="NormallistofNotes"/>
        <w:spacing w:line="360" w:lineRule="auto"/>
        <w:rPr>
          <w:color w:val="414042" w:themeColor="text1"/>
        </w:rPr>
      </w:pPr>
      <w:r w:rsidRPr="00DF3006">
        <w:rPr>
          <w:b/>
          <w:color w:val="414042" w:themeColor="text1"/>
        </w:rPr>
        <w:t>Note 18</w:t>
      </w:r>
      <w:r w:rsidRPr="00DF3006">
        <w:rPr>
          <w:color w:val="414042" w:themeColor="text1"/>
        </w:rPr>
        <w:tab/>
        <w:t>Trust Transactions and Balances</w:t>
      </w:r>
    </w:p>
    <w:p w14:paraId="084C5C86" w14:textId="77777777" w:rsidR="00FC17BC" w:rsidRPr="00DF3006" w:rsidRDefault="00FC17BC" w:rsidP="00FC17BC">
      <w:pPr>
        <w:tabs>
          <w:tab w:val="left" w:pos="462"/>
          <w:tab w:val="left" w:pos="1134"/>
          <w:tab w:val="left" w:pos="7132"/>
        </w:tabs>
        <w:spacing w:line="360" w:lineRule="auto"/>
        <w:rPr>
          <w:color w:val="414042" w:themeColor="text1"/>
          <w:szCs w:val="20"/>
        </w:rPr>
      </w:pPr>
      <w:r w:rsidRPr="00DF3006">
        <w:rPr>
          <w:b/>
          <w:color w:val="414042" w:themeColor="text1"/>
          <w:szCs w:val="20"/>
        </w:rPr>
        <w:t>Note 19</w:t>
      </w:r>
      <w:r w:rsidRPr="00DF3006">
        <w:rPr>
          <w:b/>
          <w:color w:val="414042" w:themeColor="text1"/>
          <w:szCs w:val="20"/>
        </w:rPr>
        <w:tab/>
      </w:r>
      <w:r w:rsidRPr="00DF3006">
        <w:rPr>
          <w:color w:val="414042" w:themeColor="text1"/>
          <w:szCs w:val="20"/>
        </w:rPr>
        <w:t>Explanation of Major Variances</w:t>
      </w:r>
    </w:p>
    <w:p w14:paraId="748636DA" w14:textId="77777777" w:rsidR="00FC17BC" w:rsidRPr="00DF3006" w:rsidRDefault="00FC17BC" w:rsidP="00FC17BC">
      <w:pPr>
        <w:spacing w:line="360" w:lineRule="auto"/>
        <w:rPr>
          <w:b/>
          <w:color w:val="414042" w:themeColor="text1"/>
          <w:sz w:val="24"/>
          <w:szCs w:val="24"/>
        </w:rPr>
        <w:sectPr w:rsidR="00FC17BC" w:rsidRPr="00DF3006" w:rsidSect="00C77834">
          <w:headerReference w:type="even" r:id="rId333"/>
          <w:headerReference w:type="default" r:id="rId334"/>
          <w:headerReference w:type="first" r:id="rId335"/>
          <w:pgSz w:w="11906" w:h="16838"/>
          <w:pgMar w:top="2155" w:right="1134" w:bottom="964" w:left="1134" w:header="720" w:footer="283" w:gutter="0"/>
          <w:cols w:space="708"/>
          <w:docGrid w:linePitch="360"/>
        </w:sectPr>
      </w:pPr>
      <w:r w:rsidRPr="00DF3006">
        <w:rPr>
          <w:b/>
          <w:bCs/>
          <w:color w:val="414042" w:themeColor="text1"/>
          <w:szCs w:val="20"/>
        </w:rPr>
        <w:t>Management Certificate for the year ended 30 June 2023</w:t>
      </w:r>
    </w:p>
    <w:p w14:paraId="5BF32F8C" w14:textId="77777777" w:rsidR="00FC17BC" w:rsidRPr="00DF3006" w:rsidRDefault="00FC17BC" w:rsidP="00FC17BC">
      <w:pPr>
        <w:spacing w:line="360" w:lineRule="auto"/>
        <w:rPr>
          <w:b/>
          <w:color w:val="414042" w:themeColor="text1"/>
          <w:sz w:val="24"/>
          <w:szCs w:val="24"/>
        </w:rPr>
      </w:pPr>
      <w:r w:rsidRPr="00DF3006">
        <w:rPr>
          <w:b/>
          <w:color w:val="414042" w:themeColor="text1"/>
          <w:sz w:val="24"/>
          <w:szCs w:val="24"/>
        </w:rPr>
        <w:t>Objectives of the Crime and Corruption Commission (CCC)</w:t>
      </w:r>
    </w:p>
    <w:p w14:paraId="1B73EC7F" w14:textId="77777777" w:rsidR="00FC17BC" w:rsidRPr="00DF3006" w:rsidRDefault="00FC17BC" w:rsidP="00FC17BC">
      <w:pPr>
        <w:jc w:val="both"/>
        <w:rPr>
          <w:color w:val="414042" w:themeColor="text1"/>
        </w:rPr>
      </w:pPr>
      <w:r w:rsidRPr="00DF3006">
        <w:rPr>
          <w:color w:val="414042" w:themeColor="text1"/>
        </w:rPr>
        <w:t>The Crime and Corruption Commission (CCC) is an independent statutory body set up to combat and reduce the incidence of major crime and corruption in the public sector in Queensland. We investigate crime and corruption, have oversight of the public sector including police, and protect witnesses.</w:t>
      </w:r>
      <w:r w:rsidRPr="00DF3006" w:rsidDel="004C78EF">
        <w:rPr>
          <w:color w:val="414042" w:themeColor="text1"/>
        </w:rPr>
        <w:t xml:space="preserve"> </w:t>
      </w:r>
    </w:p>
    <w:p w14:paraId="4944876C" w14:textId="77777777" w:rsidR="00FC17BC" w:rsidRPr="00DF3006" w:rsidRDefault="00FC17BC" w:rsidP="00FC17BC">
      <w:pPr>
        <w:jc w:val="both"/>
        <w:rPr>
          <w:rFonts w:asciiTheme="minorHAnsi" w:hAnsiTheme="minorHAnsi" w:cs="Times New Roman"/>
          <w:color w:val="414042" w:themeColor="text1"/>
          <w:szCs w:val="20"/>
        </w:rPr>
      </w:pPr>
    </w:p>
    <w:p w14:paraId="650C186B" w14:textId="77777777" w:rsidR="00FC17BC" w:rsidRPr="00DF3006" w:rsidRDefault="00FC17BC" w:rsidP="00FC17BC">
      <w:pPr>
        <w:pStyle w:val="Normal115pttext"/>
        <w:spacing w:line="240" w:lineRule="auto"/>
        <w:rPr>
          <w:color w:val="414042" w:themeColor="text1"/>
          <w:szCs w:val="23"/>
        </w:rPr>
      </w:pPr>
      <w:r w:rsidRPr="00DF3006">
        <w:rPr>
          <w:color w:val="414042" w:themeColor="text1"/>
          <w:szCs w:val="23"/>
        </w:rPr>
        <w:t>Note 1: Summary of Significant Accounting Policies</w:t>
      </w:r>
    </w:p>
    <w:p w14:paraId="1C11A713" w14:textId="77777777" w:rsidR="00FC17BC" w:rsidRPr="00DF3006" w:rsidRDefault="00FC17BC" w:rsidP="00FC17BC">
      <w:pPr>
        <w:pStyle w:val="Normal105pttext"/>
        <w:spacing w:line="240" w:lineRule="auto"/>
        <w:rPr>
          <w:b/>
          <w:color w:val="414042" w:themeColor="text1"/>
          <w:sz w:val="22"/>
          <w:szCs w:val="22"/>
        </w:rPr>
      </w:pPr>
      <w:r w:rsidRPr="00DF3006">
        <w:rPr>
          <w:b/>
          <w:color w:val="414042" w:themeColor="text1"/>
          <w:sz w:val="22"/>
          <w:szCs w:val="22"/>
        </w:rPr>
        <w:t>Significant accounting policies are in the notes to which they relate, except as follows:</w:t>
      </w:r>
    </w:p>
    <w:p w14:paraId="6C435473" w14:textId="77777777" w:rsidR="00FC17BC" w:rsidRPr="00DF3006" w:rsidRDefault="00FC17BC" w:rsidP="00FC17BC">
      <w:pPr>
        <w:pStyle w:val="Normalhanginglist105pt"/>
        <w:spacing w:line="240" w:lineRule="auto"/>
        <w:rPr>
          <w:color w:val="414042" w:themeColor="text1"/>
          <w:sz w:val="22"/>
          <w:szCs w:val="22"/>
        </w:rPr>
      </w:pPr>
      <w:r w:rsidRPr="00DF3006">
        <w:rPr>
          <w:color w:val="414042" w:themeColor="text1"/>
          <w:sz w:val="22"/>
          <w:szCs w:val="22"/>
        </w:rPr>
        <w:t>(a)</w:t>
      </w:r>
      <w:r w:rsidRPr="00DF3006">
        <w:rPr>
          <w:color w:val="414042" w:themeColor="text1"/>
          <w:sz w:val="22"/>
          <w:szCs w:val="22"/>
        </w:rPr>
        <w:tab/>
        <w:t>Statement of Compliance</w:t>
      </w:r>
    </w:p>
    <w:p w14:paraId="6E0BA3BB" w14:textId="77777777" w:rsidR="00FC17BC" w:rsidRPr="00DF3006" w:rsidRDefault="00FC17BC" w:rsidP="00FC17BC">
      <w:pPr>
        <w:pStyle w:val="Normalindent1stpara"/>
        <w:spacing w:line="240" w:lineRule="auto"/>
        <w:jc w:val="both"/>
        <w:rPr>
          <w:color w:val="414042" w:themeColor="text1"/>
          <w:szCs w:val="20"/>
        </w:rPr>
      </w:pPr>
      <w:r w:rsidRPr="00DF3006">
        <w:rPr>
          <w:color w:val="414042" w:themeColor="text1"/>
          <w:szCs w:val="20"/>
        </w:rPr>
        <w:t>These financial statements are general purpose financial statements which have been prepared on an accrual basis, except for the Statement of Cash Flows which is prepared on a cash basis.  They are prepared in accordance with:</w:t>
      </w:r>
    </w:p>
    <w:p w14:paraId="4F9522C3" w14:textId="77777777" w:rsidR="00FC17BC" w:rsidRPr="00DF3006" w:rsidRDefault="00FC17BC" w:rsidP="00FC17BC">
      <w:pPr>
        <w:pStyle w:val="NormalindentbulletsL1"/>
        <w:spacing w:line="240" w:lineRule="auto"/>
        <w:ind w:left="1040"/>
        <w:jc w:val="both"/>
        <w:rPr>
          <w:color w:val="414042" w:themeColor="text1"/>
          <w:szCs w:val="20"/>
        </w:rPr>
      </w:pPr>
      <w:r w:rsidRPr="00DF3006">
        <w:rPr>
          <w:color w:val="414042" w:themeColor="text1"/>
          <w:szCs w:val="20"/>
        </w:rPr>
        <w:t xml:space="preserve">Section 39 of the </w:t>
      </w:r>
      <w:r w:rsidRPr="00DF3006">
        <w:rPr>
          <w:i/>
          <w:color w:val="414042" w:themeColor="text1"/>
          <w:szCs w:val="20"/>
        </w:rPr>
        <w:t>Financial and Performance Management Standard 2019</w:t>
      </w:r>
    </w:p>
    <w:p w14:paraId="276366FC" w14:textId="77777777" w:rsidR="00FC17BC" w:rsidRPr="00DF3006" w:rsidRDefault="00FC17BC" w:rsidP="00FC17BC">
      <w:pPr>
        <w:pStyle w:val="NormalindentbulletsL1"/>
        <w:spacing w:line="240" w:lineRule="auto"/>
        <w:ind w:left="1040"/>
        <w:jc w:val="both"/>
        <w:rPr>
          <w:color w:val="414042" w:themeColor="text1"/>
          <w:szCs w:val="20"/>
        </w:rPr>
      </w:pPr>
      <w:r w:rsidRPr="00DF3006">
        <w:rPr>
          <w:color w:val="414042" w:themeColor="text1"/>
          <w:szCs w:val="20"/>
        </w:rPr>
        <w:t>Australian Accounting Standards and Interpretations applicable to not-for-profit entities</w:t>
      </w:r>
    </w:p>
    <w:p w14:paraId="2B72AAB7" w14:textId="77777777" w:rsidR="00FC17BC" w:rsidRPr="00DF3006" w:rsidRDefault="00FC17BC" w:rsidP="00FC17BC">
      <w:pPr>
        <w:pStyle w:val="NormalindentbulletsL1"/>
        <w:spacing w:line="240" w:lineRule="auto"/>
        <w:ind w:left="1040"/>
        <w:jc w:val="both"/>
        <w:rPr>
          <w:color w:val="414042" w:themeColor="text1"/>
          <w:szCs w:val="20"/>
        </w:rPr>
      </w:pPr>
      <w:r w:rsidRPr="00DF3006">
        <w:rPr>
          <w:color w:val="414042" w:themeColor="text1"/>
          <w:szCs w:val="20"/>
        </w:rPr>
        <w:t>Queensland Treasury’s Minimum Reporting Requirements for reporting periods beginning on or after 1 July 2022</w:t>
      </w:r>
    </w:p>
    <w:p w14:paraId="690BE7CC" w14:textId="77777777" w:rsidR="00FC17BC" w:rsidRPr="00DF3006" w:rsidRDefault="00FC17BC" w:rsidP="00FC17BC">
      <w:pPr>
        <w:pStyle w:val="NormalIndent1"/>
        <w:spacing w:line="240" w:lineRule="auto"/>
        <w:jc w:val="both"/>
        <w:rPr>
          <w:color w:val="414042" w:themeColor="text1"/>
          <w:szCs w:val="20"/>
        </w:rPr>
      </w:pPr>
      <w:r w:rsidRPr="00DF3006">
        <w:rPr>
          <w:color w:val="414042" w:themeColor="text1"/>
          <w:szCs w:val="20"/>
        </w:rPr>
        <w:t>Except where stated, the historical cost convention is used. This means that assets are recorded at their initial cost and liabilities are valued at the amount initially received in exchange for obligation.</w:t>
      </w:r>
    </w:p>
    <w:p w14:paraId="08C87B98" w14:textId="77777777" w:rsidR="00FC17BC" w:rsidRPr="00DF3006" w:rsidRDefault="00FC17BC" w:rsidP="00FC17BC">
      <w:pPr>
        <w:pStyle w:val="NormalIndent1"/>
        <w:spacing w:line="240" w:lineRule="auto"/>
        <w:jc w:val="both"/>
        <w:rPr>
          <w:color w:val="414042" w:themeColor="text1"/>
          <w:szCs w:val="20"/>
        </w:rPr>
      </w:pPr>
      <w:r w:rsidRPr="00DF3006">
        <w:rPr>
          <w:rFonts w:cs="Arial-BoldMT"/>
          <w:color w:val="414042" w:themeColor="text1"/>
          <w:szCs w:val="20"/>
        </w:rPr>
        <w:t xml:space="preserve">There are no new accounting policies applied or changes in accounting policy in 2022-23.  </w:t>
      </w:r>
    </w:p>
    <w:p w14:paraId="0E3A1AB6" w14:textId="77777777" w:rsidR="00FC17BC" w:rsidRPr="00DF3006" w:rsidRDefault="00FC17BC" w:rsidP="00FC17BC">
      <w:pPr>
        <w:pStyle w:val="Normalindent1stpara"/>
        <w:spacing w:line="240" w:lineRule="auto"/>
        <w:rPr>
          <w:color w:val="414042" w:themeColor="text1"/>
        </w:rPr>
      </w:pPr>
    </w:p>
    <w:p w14:paraId="661F7D33" w14:textId="77777777" w:rsidR="00FC17BC" w:rsidRPr="00DF3006" w:rsidRDefault="00FC17BC" w:rsidP="00FC17BC">
      <w:pPr>
        <w:pStyle w:val="Normalhanginglist105pt"/>
        <w:spacing w:line="240" w:lineRule="auto"/>
        <w:rPr>
          <w:color w:val="414042" w:themeColor="text1"/>
          <w:sz w:val="22"/>
          <w:szCs w:val="22"/>
        </w:rPr>
      </w:pPr>
      <w:r w:rsidRPr="00DF3006">
        <w:rPr>
          <w:color w:val="414042" w:themeColor="text1"/>
          <w:sz w:val="22"/>
          <w:szCs w:val="22"/>
        </w:rPr>
        <w:t>(b)</w:t>
      </w:r>
      <w:r w:rsidRPr="00DF3006">
        <w:rPr>
          <w:color w:val="414042" w:themeColor="text1"/>
          <w:sz w:val="22"/>
          <w:szCs w:val="22"/>
        </w:rPr>
        <w:tab/>
        <w:t>The Reporting Entity</w:t>
      </w:r>
    </w:p>
    <w:p w14:paraId="6112F97F" w14:textId="77777777" w:rsidR="00FC17BC" w:rsidRPr="00DF3006" w:rsidRDefault="00FC17BC" w:rsidP="00FC17BC">
      <w:pPr>
        <w:pStyle w:val="Normalindent1stpara"/>
        <w:spacing w:line="240" w:lineRule="auto"/>
        <w:jc w:val="both"/>
        <w:rPr>
          <w:color w:val="414042" w:themeColor="text1"/>
          <w:szCs w:val="20"/>
          <w:lang w:eastAsia="en-AU"/>
        </w:rPr>
      </w:pPr>
      <w:r w:rsidRPr="00DF3006">
        <w:rPr>
          <w:color w:val="414042" w:themeColor="text1"/>
          <w:szCs w:val="20"/>
          <w:lang w:eastAsia="en-AU"/>
        </w:rPr>
        <w:t xml:space="preserve">The financial statements include the value of all assets, liabilities, equity, </w:t>
      </w:r>
      <w:proofErr w:type="gramStart"/>
      <w:r w:rsidRPr="00DF3006">
        <w:rPr>
          <w:color w:val="414042" w:themeColor="text1"/>
          <w:szCs w:val="20"/>
          <w:lang w:eastAsia="en-AU"/>
        </w:rPr>
        <w:t>revenues</w:t>
      </w:r>
      <w:proofErr w:type="gramEnd"/>
      <w:r w:rsidRPr="00DF3006">
        <w:rPr>
          <w:color w:val="414042" w:themeColor="text1"/>
          <w:szCs w:val="20"/>
          <w:lang w:eastAsia="en-AU"/>
        </w:rPr>
        <w:t xml:space="preserve"> and expenses of the CCC. The CCC does not control any other entities.</w:t>
      </w:r>
    </w:p>
    <w:p w14:paraId="2FFA7386" w14:textId="77777777" w:rsidR="00FC17BC" w:rsidRPr="00DF3006" w:rsidRDefault="00FC17BC" w:rsidP="00FC17BC">
      <w:pPr>
        <w:pStyle w:val="Normalindent1stpara"/>
        <w:spacing w:line="240" w:lineRule="auto"/>
        <w:rPr>
          <w:color w:val="414042" w:themeColor="text1"/>
        </w:rPr>
      </w:pPr>
    </w:p>
    <w:p w14:paraId="362EB538" w14:textId="77777777" w:rsidR="00FC17BC" w:rsidRPr="00DF3006" w:rsidRDefault="00FC17BC" w:rsidP="00FC17BC">
      <w:pPr>
        <w:pStyle w:val="Normalhanginglist105pt"/>
        <w:spacing w:line="240" w:lineRule="auto"/>
        <w:rPr>
          <w:color w:val="414042" w:themeColor="text1"/>
          <w:sz w:val="22"/>
          <w:szCs w:val="22"/>
        </w:rPr>
      </w:pPr>
      <w:r w:rsidRPr="00DF3006">
        <w:rPr>
          <w:color w:val="414042" w:themeColor="text1"/>
          <w:sz w:val="22"/>
          <w:szCs w:val="22"/>
        </w:rPr>
        <w:t>(c)</w:t>
      </w:r>
      <w:r w:rsidRPr="00DF3006">
        <w:rPr>
          <w:color w:val="414042" w:themeColor="text1"/>
          <w:sz w:val="22"/>
          <w:szCs w:val="22"/>
        </w:rPr>
        <w:tab/>
        <w:t>Other Presentation Matters</w:t>
      </w:r>
    </w:p>
    <w:p w14:paraId="38EB0182" w14:textId="77777777" w:rsidR="00FC17BC" w:rsidRPr="00DF3006" w:rsidRDefault="00FC17BC" w:rsidP="00FC17BC">
      <w:pPr>
        <w:pStyle w:val="Normalindent1stpara"/>
        <w:spacing w:line="240" w:lineRule="auto"/>
        <w:rPr>
          <w:b/>
          <w:color w:val="414042" w:themeColor="text1"/>
          <w:szCs w:val="20"/>
          <w:lang w:eastAsia="en-AU"/>
        </w:rPr>
      </w:pPr>
      <w:r w:rsidRPr="00DF3006">
        <w:rPr>
          <w:b/>
          <w:i/>
          <w:color w:val="414042" w:themeColor="text1"/>
          <w:szCs w:val="20"/>
          <w:lang w:eastAsia="en-AU"/>
        </w:rPr>
        <w:t>Currency and rounding</w:t>
      </w:r>
    </w:p>
    <w:p w14:paraId="2AA59BBD" w14:textId="77777777" w:rsidR="00FC17BC" w:rsidRPr="00DF3006" w:rsidRDefault="00FC17BC" w:rsidP="00FC17BC">
      <w:pPr>
        <w:pStyle w:val="Normalindent1stpara"/>
        <w:spacing w:line="240" w:lineRule="auto"/>
        <w:jc w:val="both"/>
        <w:rPr>
          <w:color w:val="414042" w:themeColor="text1"/>
          <w:szCs w:val="20"/>
          <w:lang w:eastAsia="en-AU"/>
        </w:rPr>
      </w:pPr>
      <w:r w:rsidRPr="00DF3006">
        <w:rPr>
          <w:color w:val="414042" w:themeColor="text1"/>
          <w:szCs w:val="20"/>
          <w:lang w:eastAsia="en-AU"/>
        </w:rPr>
        <w:t>Amounts included in the financial statements are in Australian dollars and have been rounded to the nearest $1,000 or, where that amount is $500 or less, to zero, unless disclosure of the full amount is specifically required.</w:t>
      </w:r>
    </w:p>
    <w:p w14:paraId="2E546E63" w14:textId="77777777" w:rsidR="00FC17BC" w:rsidRPr="00DF3006" w:rsidRDefault="00FC17BC" w:rsidP="00FC17BC">
      <w:pPr>
        <w:pStyle w:val="NormalIndent1"/>
        <w:spacing w:line="240" w:lineRule="auto"/>
        <w:rPr>
          <w:b/>
          <w:color w:val="414042" w:themeColor="text1"/>
          <w:szCs w:val="20"/>
        </w:rPr>
      </w:pPr>
      <w:r w:rsidRPr="00DF3006">
        <w:rPr>
          <w:b/>
          <w:i/>
          <w:color w:val="414042" w:themeColor="text1"/>
          <w:szCs w:val="20"/>
        </w:rPr>
        <w:t>Comparatives</w:t>
      </w:r>
    </w:p>
    <w:p w14:paraId="781BA5CD" w14:textId="77777777" w:rsidR="00FC17BC" w:rsidRPr="00DF3006" w:rsidRDefault="00FC17BC" w:rsidP="00FC17BC">
      <w:pPr>
        <w:pStyle w:val="NormalIndent1"/>
        <w:spacing w:line="240" w:lineRule="auto"/>
        <w:jc w:val="both"/>
        <w:rPr>
          <w:color w:val="414042" w:themeColor="text1"/>
          <w:szCs w:val="20"/>
        </w:rPr>
      </w:pPr>
      <w:r w:rsidRPr="00DF3006">
        <w:rPr>
          <w:color w:val="414042" w:themeColor="text1"/>
          <w:szCs w:val="20"/>
        </w:rPr>
        <w:t>Comparative information has not been restated.</w:t>
      </w:r>
    </w:p>
    <w:p w14:paraId="57B4A182" w14:textId="77777777" w:rsidR="00FC17BC" w:rsidRPr="00DF3006" w:rsidRDefault="00FC17BC" w:rsidP="00FC17BC">
      <w:pPr>
        <w:autoSpaceDE w:val="0"/>
        <w:autoSpaceDN w:val="0"/>
        <w:adjustRightInd w:val="0"/>
        <w:ind w:left="426"/>
        <w:rPr>
          <w:b/>
          <w:color w:val="414042" w:themeColor="text1"/>
          <w:szCs w:val="20"/>
        </w:rPr>
      </w:pPr>
      <w:r w:rsidRPr="00DF3006">
        <w:rPr>
          <w:b/>
          <w:i/>
          <w:color w:val="414042" w:themeColor="text1"/>
          <w:szCs w:val="20"/>
        </w:rPr>
        <w:t>Current/Non-Current Classification</w:t>
      </w:r>
    </w:p>
    <w:p w14:paraId="47A4D1C4" w14:textId="77777777" w:rsidR="00FC17BC" w:rsidRPr="00DF3006" w:rsidRDefault="00FC17BC" w:rsidP="00FC17BC">
      <w:pPr>
        <w:autoSpaceDE w:val="0"/>
        <w:autoSpaceDN w:val="0"/>
        <w:adjustRightInd w:val="0"/>
        <w:ind w:left="426"/>
        <w:jc w:val="both"/>
        <w:rPr>
          <w:rFonts w:ascii="Calibri" w:hAnsi="Calibri" w:cs="Calibri"/>
          <w:color w:val="414042" w:themeColor="text1"/>
          <w:szCs w:val="20"/>
          <w:lang w:eastAsia="en-AU"/>
        </w:rPr>
      </w:pPr>
      <w:r w:rsidRPr="00DF3006">
        <w:rPr>
          <w:rFonts w:ascii="Calibri" w:hAnsi="Calibri" w:cs="Calibri"/>
          <w:color w:val="414042" w:themeColor="text1"/>
          <w:szCs w:val="20"/>
          <w:lang w:eastAsia="en-AU"/>
        </w:rPr>
        <w:t xml:space="preserve">Assets and liabilities are classified as either “current” or “non-current” in the Statement of Financial Position and associated notes. </w:t>
      </w:r>
    </w:p>
    <w:p w14:paraId="1910285E" w14:textId="77777777" w:rsidR="00FC17BC" w:rsidRPr="00DF3006" w:rsidRDefault="00FC17BC" w:rsidP="00FC17BC">
      <w:pPr>
        <w:autoSpaceDE w:val="0"/>
        <w:autoSpaceDN w:val="0"/>
        <w:adjustRightInd w:val="0"/>
        <w:ind w:left="426"/>
        <w:jc w:val="both"/>
        <w:rPr>
          <w:rFonts w:ascii="Calibri" w:hAnsi="Calibri" w:cs="Calibri"/>
          <w:color w:val="414042" w:themeColor="text1"/>
          <w:szCs w:val="20"/>
          <w:lang w:eastAsia="en-AU"/>
        </w:rPr>
      </w:pPr>
      <w:r w:rsidRPr="00DF3006">
        <w:rPr>
          <w:rFonts w:ascii="Calibri" w:hAnsi="Calibri" w:cs="Calibri"/>
          <w:color w:val="414042" w:themeColor="text1"/>
          <w:szCs w:val="20"/>
          <w:lang w:eastAsia="en-AU"/>
        </w:rPr>
        <w:t>Assets are classified as “current” where their carrying amount is expected to be realised within 12 months after the reporting date.  Liabilities are classified as “current” when they are due to be settled within 12 months after the reporting date, or the CCC does not have an unconditional right to defer settlement to beyond 12 months after the reporting date.</w:t>
      </w:r>
    </w:p>
    <w:p w14:paraId="1BE961A9" w14:textId="77777777" w:rsidR="00FC17BC" w:rsidRPr="00DF3006" w:rsidRDefault="00FC17BC" w:rsidP="00FC17BC">
      <w:pPr>
        <w:autoSpaceDE w:val="0"/>
        <w:autoSpaceDN w:val="0"/>
        <w:adjustRightInd w:val="0"/>
        <w:ind w:left="426"/>
        <w:jc w:val="both"/>
        <w:rPr>
          <w:rFonts w:ascii="Calibri" w:hAnsi="Calibri" w:cs="Calibri"/>
          <w:color w:val="414042" w:themeColor="text1"/>
          <w:szCs w:val="20"/>
          <w:lang w:eastAsia="en-AU"/>
        </w:rPr>
      </w:pPr>
    </w:p>
    <w:p w14:paraId="63545D1F" w14:textId="77777777" w:rsidR="00FC17BC" w:rsidRPr="00DF3006" w:rsidRDefault="00FC17BC" w:rsidP="00FC17BC">
      <w:pPr>
        <w:autoSpaceDE w:val="0"/>
        <w:autoSpaceDN w:val="0"/>
        <w:adjustRightInd w:val="0"/>
        <w:ind w:left="426"/>
        <w:jc w:val="both"/>
        <w:rPr>
          <w:rFonts w:ascii="Calibri" w:hAnsi="Calibri" w:cs="Calibri"/>
          <w:color w:val="414042" w:themeColor="text1"/>
          <w:szCs w:val="20"/>
          <w:lang w:eastAsia="en-AU"/>
        </w:rPr>
      </w:pPr>
      <w:r w:rsidRPr="00DF3006">
        <w:rPr>
          <w:rFonts w:ascii="Calibri" w:hAnsi="Calibri" w:cs="Calibri"/>
          <w:color w:val="414042" w:themeColor="text1"/>
          <w:szCs w:val="20"/>
          <w:lang w:eastAsia="en-AU"/>
        </w:rPr>
        <w:t>All other assets and liabilities are classified as non-current.</w:t>
      </w:r>
    </w:p>
    <w:p w14:paraId="3685481A" w14:textId="77777777" w:rsidR="00FC17BC" w:rsidRPr="00DF3006" w:rsidRDefault="00FC17BC" w:rsidP="00FC17BC">
      <w:pPr>
        <w:autoSpaceDE w:val="0"/>
        <w:autoSpaceDN w:val="0"/>
        <w:adjustRightInd w:val="0"/>
        <w:ind w:left="426"/>
        <w:jc w:val="both"/>
        <w:rPr>
          <w:rFonts w:ascii="ArialMT" w:hAnsi="ArialMT" w:cs="ArialMT"/>
          <w:color w:val="414042" w:themeColor="text1"/>
          <w:sz w:val="17"/>
          <w:szCs w:val="17"/>
          <w:lang w:eastAsia="en-AU"/>
        </w:rPr>
      </w:pPr>
    </w:p>
    <w:p w14:paraId="322BDF1E" w14:textId="77777777" w:rsidR="00FC17BC" w:rsidRPr="00DF3006" w:rsidRDefault="00FC17BC" w:rsidP="00FC17BC">
      <w:pPr>
        <w:pStyle w:val="Normalhanginglist105pt"/>
        <w:spacing w:line="240" w:lineRule="auto"/>
        <w:rPr>
          <w:color w:val="414042" w:themeColor="text1"/>
          <w:sz w:val="22"/>
          <w:szCs w:val="22"/>
        </w:rPr>
      </w:pPr>
      <w:r w:rsidRPr="00DF3006">
        <w:rPr>
          <w:color w:val="414042" w:themeColor="text1"/>
          <w:sz w:val="22"/>
          <w:szCs w:val="22"/>
        </w:rPr>
        <w:t>(d)</w:t>
      </w:r>
      <w:r w:rsidRPr="00DF3006">
        <w:rPr>
          <w:color w:val="414042" w:themeColor="text1"/>
          <w:sz w:val="22"/>
          <w:szCs w:val="22"/>
        </w:rPr>
        <w:tab/>
        <w:t>Authorisation of Financial Statements for Issue</w:t>
      </w:r>
    </w:p>
    <w:p w14:paraId="2C89F41C" w14:textId="709F4854" w:rsidR="00FC17BC" w:rsidRPr="00DF3006" w:rsidRDefault="00FC17BC" w:rsidP="00C30C67">
      <w:pPr>
        <w:pStyle w:val="NormalindentbulletsL1"/>
        <w:numPr>
          <w:ilvl w:val="0"/>
          <w:numId w:val="0"/>
        </w:numPr>
        <w:spacing w:line="240" w:lineRule="auto"/>
        <w:ind w:left="426"/>
        <w:jc w:val="both"/>
        <w:rPr>
          <w:color w:val="414042" w:themeColor="text1"/>
          <w:szCs w:val="20"/>
        </w:rPr>
      </w:pPr>
      <w:r w:rsidRPr="00DF3006">
        <w:rPr>
          <w:color w:val="414042" w:themeColor="text1"/>
          <w:szCs w:val="20"/>
        </w:rPr>
        <w:t xml:space="preserve">The financial statements are authorised for issue by the Chief Finance Officer, Chief Executive </w:t>
      </w:r>
      <w:proofErr w:type="gramStart"/>
      <w:r w:rsidRPr="00DF3006">
        <w:rPr>
          <w:color w:val="414042" w:themeColor="text1"/>
          <w:szCs w:val="20"/>
        </w:rPr>
        <w:t>Officer</w:t>
      </w:r>
      <w:proofErr w:type="gramEnd"/>
      <w:r w:rsidRPr="00DF3006">
        <w:rPr>
          <w:color w:val="414042" w:themeColor="text1"/>
          <w:szCs w:val="20"/>
        </w:rPr>
        <w:t xml:space="preserve"> and Chairperson at the date of signing the Management Certificate.</w:t>
      </w:r>
    </w:p>
    <w:p w14:paraId="4366A1ED" w14:textId="77777777" w:rsidR="00FC17BC" w:rsidRPr="00DF3006" w:rsidRDefault="00FC17BC" w:rsidP="00FC17BC">
      <w:pPr>
        <w:pStyle w:val="Normal115pttext"/>
        <w:spacing w:line="240" w:lineRule="auto"/>
        <w:rPr>
          <w:color w:val="414042" w:themeColor="text1"/>
          <w:szCs w:val="23"/>
        </w:rPr>
      </w:pPr>
      <w:r w:rsidRPr="00DF3006">
        <w:rPr>
          <w:color w:val="414042" w:themeColor="text1"/>
          <w:szCs w:val="23"/>
        </w:rPr>
        <w:t>Note 1: Summary of Significant Accounting Policies (cont’d)</w:t>
      </w:r>
    </w:p>
    <w:p w14:paraId="535ECD13" w14:textId="77777777" w:rsidR="00FC17BC" w:rsidRPr="00DF3006" w:rsidRDefault="00FC17BC" w:rsidP="00FC17BC">
      <w:pPr>
        <w:pStyle w:val="Normalhanginglist105pt"/>
        <w:spacing w:line="240" w:lineRule="auto"/>
        <w:jc w:val="both"/>
        <w:rPr>
          <w:color w:val="414042" w:themeColor="text1"/>
          <w:sz w:val="22"/>
          <w:szCs w:val="22"/>
        </w:rPr>
      </w:pPr>
      <w:r w:rsidRPr="00DF3006">
        <w:rPr>
          <w:color w:val="414042" w:themeColor="text1"/>
          <w:sz w:val="22"/>
          <w:szCs w:val="22"/>
        </w:rPr>
        <w:t xml:space="preserve"> (e)</w:t>
      </w:r>
      <w:r w:rsidRPr="00DF3006">
        <w:rPr>
          <w:color w:val="414042" w:themeColor="text1"/>
          <w:sz w:val="22"/>
          <w:szCs w:val="22"/>
        </w:rPr>
        <w:tab/>
        <w:t>Taxation</w:t>
      </w:r>
    </w:p>
    <w:p w14:paraId="76EE32C8" w14:textId="77777777" w:rsidR="00FC17BC" w:rsidRPr="00DF3006" w:rsidRDefault="00FC17BC" w:rsidP="00FC17BC">
      <w:pPr>
        <w:pStyle w:val="Normalindent1stpara"/>
        <w:spacing w:line="240" w:lineRule="auto"/>
        <w:jc w:val="both"/>
        <w:rPr>
          <w:color w:val="414042" w:themeColor="text1"/>
          <w:szCs w:val="20"/>
          <w:lang w:eastAsia="en-AU"/>
        </w:rPr>
      </w:pPr>
      <w:r w:rsidRPr="00DF3006">
        <w:rPr>
          <w:color w:val="414042" w:themeColor="text1"/>
          <w:szCs w:val="20"/>
          <w:lang w:eastAsia="en-AU"/>
        </w:rPr>
        <w:t xml:space="preserve">The CCC is a </w:t>
      </w:r>
      <w:proofErr w:type="gramStart"/>
      <w:r w:rsidRPr="00DF3006">
        <w:rPr>
          <w:color w:val="414042" w:themeColor="text1"/>
          <w:szCs w:val="20"/>
          <w:lang w:eastAsia="en-AU"/>
        </w:rPr>
        <w:t>State</w:t>
      </w:r>
      <w:proofErr w:type="gramEnd"/>
      <w:r w:rsidRPr="00DF3006">
        <w:rPr>
          <w:color w:val="414042" w:themeColor="text1"/>
          <w:szCs w:val="20"/>
          <w:lang w:eastAsia="en-AU"/>
        </w:rPr>
        <w:t xml:space="preserve"> body as defined under the </w:t>
      </w:r>
      <w:r w:rsidRPr="00DF3006">
        <w:rPr>
          <w:i/>
          <w:color w:val="414042" w:themeColor="text1"/>
          <w:szCs w:val="20"/>
          <w:lang w:eastAsia="en-AU"/>
        </w:rPr>
        <w:t>Income Tax Assessment Act 1936</w:t>
      </w:r>
      <w:r w:rsidRPr="00DF3006">
        <w:rPr>
          <w:color w:val="414042" w:themeColor="text1"/>
          <w:szCs w:val="20"/>
          <w:lang w:eastAsia="en-AU"/>
        </w:rPr>
        <w:t xml:space="preserve"> and is exempt from Commonwealth taxation with the exception of Fringe Benefits Tax (</w:t>
      </w:r>
      <w:proofErr w:type="spellStart"/>
      <w:r w:rsidRPr="00DF3006">
        <w:rPr>
          <w:color w:val="414042" w:themeColor="text1"/>
          <w:szCs w:val="20"/>
          <w:lang w:eastAsia="en-AU"/>
        </w:rPr>
        <w:t>FBT</w:t>
      </w:r>
      <w:proofErr w:type="spellEnd"/>
      <w:r w:rsidRPr="00DF3006">
        <w:rPr>
          <w:color w:val="414042" w:themeColor="text1"/>
          <w:szCs w:val="20"/>
          <w:lang w:eastAsia="en-AU"/>
        </w:rPr>
        <w:t xml:space="preserve">) and Goods and Services Tax (GST). </w:t>
      </w:r>
    </w:p>
    <w:p w14:paraId="2B1F1D8A" w14:textId="77777777" w:rsidR="00FC17BC" w:rsidRPr="00DF3006" w:rsidRDefault="00FC17BC" w:rsidP="00FC17BC">
      <w:pPr>
        <w:pStyle w:val="Normalindent1stpara"/>
        <w:spacing w:line="240" w:lineRule="auto"/>
        <w:jc w:val="both"/>
        <w:rPr>
          <w:color w:val="414042" w:themeColor="text1"/>
          <w:szCs w:val="20"/>
          <w:lang w:eastAsia="en-AU"/>
        </w:rPr>
      </w:pPr>
    </w:p>
    <w:p w14:paraId="63BD0CC6" w14:textId="77777777" w:rsidR="00FC17BC" w:rsidRPr="00DF3006" w:rsidRDefault="00FC17BC" w:rsidP="00FC17BC">
      <w:pPr>
        <w:pStyle w:val="Normalhanginglist105pt"/>
        <w:jc w:val="both"/>
        <w:rPr>
          <w:color w:val="414042" w:themeColor="text1"/>
          <w:sz w:val="22"/>
          <w:szCs w:val="22"/>
        </w:rPr>
      </w:pPr>
      <w:r w:rsidRPr="00DF3006">
        <w:rPr>
          <w:color w:val="414042" w:themeColor="text1"/>
          <w:sz w:val="22"/>
          <w:szCs w:val="22"/>
        </w:rPr>
        <w:t>(f)</w:t>
      </w:r>
      <w:r w:rsidRPr="00DF3006">
        <w:rPr>
          <w:color w:val="414042" w:themeColor="text1"/>
          <w:sz w:val="22"/>
          <w:szCs w:val="22"/>
        </w:rPr>
        <w:tab/>
        <w:t>Receivables</w:t>
      </w:r>
    </w:p>
    <w:p w14:paraId="669FF95E" w14:textId="77777777" w:rsidR="00FC17BC" w:rsidRPr="00DF3006" w:rsidRDefault="00FC17BC" w:rsidP="00FC17BC">
      <w:pPr>
        <w:pStyle w:val="Normalindent1stpara"/>
        <w:ind w:left="426"/>
        <w:jc w:val="both"/>
        <w:rPr>
          <w:color w:val="414042" w:themeColor="text1"/>
          <w:szCs w:val="20"/>
          <w:lang w:eastAsia="en-AU"/>
        </w:rPr>
      </w:pPr>
      <w:r w:rsidRPr="00DF3006">
        <w:rPr>
          <w:color w:val="414042" w:themeColor="text1"/>
          <w:lang w:eastAsia="en-AU"/>
        </w:rPr>
        <w:t>Receivables are measured at amortised cost which approximates their fair value and represent amounts owed to the CCC at the end of the reporting period.</w:t>
      </w:r>
      <w:r w:rsidRPr="00DF3006">
        <w:rPr>
          <w:color w:val="414042" w:themeColor="text1"/>
          <w:szCs w:val="20"/>
        </w:rPr>
        <w:t xml:space="preserve"> Any receivable impairment allowance reflects expected credit losses and incorporates reasonable and supportable forward-looking information, including forecast recoverability.</w:t>
      </w:r>
      <w:r w:rsidRPr="00DF3006">
        <w:rPr>
          <w:color w:val="414042" w:themeColor="text1"/>
        </w:rPr>
        <w:t xml:space="preserve"> </w:t>
      </w:r>
      <w:r w:rsidRPr="00DF3006">
        <w:rPr>
          <w:color w:val="414042" w:themeColor="text1"/>
          <w:szCs w:val="20"/>
        </w:rPr>
        <w:t>Where there is no reasonable expectation of recovering an amount owed the debt is written-off by directly reducing the receivable against the loss allowance.</w:t>
      </w:r>
    </w:p>
    <w:p w14:paraId="222E8B81" w14:textId="77777777" w:rsidR="00FC17BC" w:rsidRPr="00DF3006" w:rsidRDefault="00FC17BC" w:rsidP="00FC17BC">
      <w:pPr>
        <w:pStyle w:val="Normalindent1stpara"/>
        <w:ind w:left="426"/>
        <w:jc w:val="both"/>
        <w:rPr>
          <w:rFonts w:cs="Times New Roman"/>
          <w:color w:val="414042" w:themeColor="text1"/>
          <w:szCs w:val="20"/>
        </w:rPr>
      </w:pPr>
    </w:p>
    <w:p w14:paraId="6EAA8D1B" w14:textId="77777777" w:rsidR="00FC17BC" w:rsidRPr="00DF3006" w:rsidRDefault="00FC17BC" w:rsidP="00FC17BC">
      <w:pPr>
        <w:pStyle w:val="Normalindent1stpara"/>
        <w:ind w:left="426"/>
        <w:jc w:val="both"/>
        <w:rPr>
          <w:color w:val="414042" w:themeColor="text1"/>
          <w:szCs w:val="20"/>
          <w:lang w:eastAsia="en-AU"/>
        </w:rPr>
      </w:pPr>
      <w:r w:rsidRPr="00DF3006">
        <w:rPr>
          <w:color w:val="414042" w:themeColor="text1"/>
          <w:szCs w:val="20"/>
        </w:rPr>
        <w:t xml:space="preserve">Sundry debtors are recognised at the amounts due at the </w:t>
      </w:r>
      <w:proofErr w:type="gramStart"/>
      <w:r w:rsidRPr="00DF3006">
        <w:rPr>
          <w:color w:val="414042" w:themeColor="text1"/>
          <w:szCs w:val="20"/>
        </w:rPr>
        <w:t>time of service</w:t>
      </w:r>
      <w:proofErr w:type="gramEnd"/>
      <w:r w:rsidRPr="00DF3006">
        <w:rPr>
          <w:color w:val="414042" w:themeColor="text1"/>
          <w:szCs w:val="20"/>
        </w:rPr>
        <w:t xml:space="preserve"> delivery, that is, the agreed sale/contract price.  Settlement of these amounts is required within 30 days from invoice date. </w:t>
      </w:r>
    </w:p>
    <w:p w14:paraId="1FF43C52" w14:textId="77777777" w:rsidR="00FC17BC" w:rsidRPr="00DF3006" w:rsidRDefault="00FC17BC" w:rsidP="00FC17BC">
      <w:pPr>
        <w:pStyle w:val="Normalindent1stpara"/>
        <w:spacing w:line="240" w:lineRule="auto"/>
        <w:ind w:left="0"/>
        <w:jc w:val="both"/>
        <w:rPr>
          <w:color w:val="414042" w:themeColor="text1"/>
        </w:rPr>
      </w:pPr>
    </w:p>
    <w:p w14:paraId="77BAE4D6" w14:textId="77777777" w:rsidR="00FC17BC" w:rsidRPr="00DF3006" w:rsidRDefault="00FC17BC" w:rsidP="00FC17BC">
      <w:pPr>
        <w:pStyle w:val="Normalhanginglist105pt"/>
        <w:spacing w:line="240" w:lineRule="auto"/>
        <w:jc w:val="both"/>
        <w:rPr>
          <w:color w:val="414042" w:themeColor="text1"/>
          <w:sz w:val="22"/>
          <w:szCs w:val="22"/>
        </w:rPr>
      </w:pPr>
      <w:r w:rsidRPr="00DF3006">
        <w:rPr>
          <w:color w:val="414042" w:themeColor="text1"/>
          <w:sz w:val="22"/>
          <w:szCs w:val="22"/>
        </w:rPr>
        <w:t>(g)</w:t>
      </w:r>
      <w:r w:rsidRPr="00DF3006">
        <w:rPr>
          <w:color w:val="414042" w:themeColor="text1"/>
          <w:sz w:val="22"/>
          <w:szCs w:val="22"/>
        </w:rPr>
        <w:tab/>
        <w:t>Accounting Estimates and Judgements</w:t>
      </w:r>
    </w:p>
    <w:p w14:paraId="57E9D7C8" w14:textId="77777777" w:rsidR="00FC17BC" w:rsidRPr="00DF3006" w:rsidRDefault="00FC17BC" w:rsidP="00FC17BC">
      <w:pPr>
        <w:pStyle w:val="Normalindent1stpara"/>
        <w:spacing w:line="240" w:lineRule="auto"/>
        <w:jc w:val="both"/>
        <w:rPr>
          <w:color w:val="414042" w:themeColor="text1"/>
          <w:szCs w:val="20"/>
          <w:lang w:eastAsia="en-AU"/>
        </w:rPr>
      </w:pPr>
      <w:r w:rsidRPr="00DF3006">
        <w:rPr>
          <w:color w:val="414042" w:themeColor="text1"/>
          <w:szCs w:val="20"/>
          <w:lang w:eastAsia="en-AU"/>
        </w:rPr>
        <w:t>The preparation of financial statements necessarily requires the determination and use of certain critical accounting estimates, assumptions and management judgements that have the potential to cause a material adjustment to the carrying amount of assets and liabilities and associated depreciation and amortisation expenses within the next period. Such estimates, judgements and underlying assumptions are reviewed on an ongoing basis. Revisions to accounting estimates are recognised in the period in which the estimate is revised and in future periods as relevant.</w:t>
      </w:r>
    </w:p>
    <w:p w14:paraId="4107FF2E" w14:textId="77777777" w:rsidR="00FC17BC" w:rsidRPr="00DF3006" w:rsidRDefault="00FC17BC" w:rsidP="00FC17BC">
      <w:pPr>
        <w:pStyle w:val="NormalIndent1"/>
        <w:spacing w:line="240" w:lineRule="auto"/>
        <w:jc w:val="both"/>
        <w:rPr>
          <w:color w:val="414042" w:themeColor="text1"/>
          <w:szCs w:val="20"/>
        </w:rPr>
      </w:pPr>
      <w:r w:rsidRPr="00DF3006">
        <w:rPr>
          <w:color w:val="414042" w:themeColor="text1"/>
          <w:szCs w:val="20"/>
        </w:rPr>
        <w:t xml:space="preserve">Estimates and assumptions that have a potential significant effect are outlined in the following financial </w:t>
      </w:r>
      <w:r w:rsidRPr="00DF3006">
        <w:rPr>
          <w:color w:val="414042" w:themeColor="text1"/>
          <w:szCs w:val="20"/>
        </w:rPr>
        <w:br/>
        <w:t>statement notes:</w:t>
      </w:r>
    </w:p>
    <w:p w14:paraId="6AD55449" w14:textId="77777777" w:rsidR="00FC17BC" w:rsidRPr="00DF3006" w:rsidRDefault="00FC17BC" w:rsidP="00FC17BC">
      <w:pPr>
        <w:pStyle w:val="NormalindentbulletsL1"/>
        <w:spacing w:line="240" w:lineRule="auto"/>
        <w:ind w:left="1040"/>
        <w:jc w:val="both"/>
        <w:rPr>
          <w:color w:val="414042" w:themeColor="text1"/>
          <w:szCs w:val="20"/>
        </w:rPr>
      </w:pPr>
      <w:r w:rsidRPr="00DF3006">
        <w:rPr>
          <w:color w:val="414042" w:themeColor="text1"/>
          <w:szCs w:val="20"/>
        </w:rPr>
        <w:t>Intangible Assets (Note 8)</w:t>
      </w:r>
    </w:p>
    <w:p w14:paraId="150F66CA" w14:textId="77777777" w:rsidR="00FC17BC" w:rsidRPr="00DF3006" w:rsidRDefault="00FC17BC" w:rsidP="00FC17BC">
      <w:pPr>
        <w:pStyle w:val="NormalindentbulletsL1"/>
        <w:ind w:left="1040"/>
        <w:rPr>
          <w:color w:val="414042" w:themeColor="text1"/>
        </w:rPr>
      </w:pPr>
      <w:r w:rsidRPr="00DF3006">
        <w:rPr>
          <w:color w:val="414042" w:themeColor="text1"/>
        </w:rPr>
        <w:t>Valuation, depreciation and impairment of Property, Plant and Equipment (Note 10)</w:t>
      </w:r>
    </w:p>
    <w:p w14:paraId="0AE70703" w14:textId="77777777" w:rsidR="00FC17BC" w:rsidRPr="00DF3006" w:rsidRDefault="00FC17BC" w:rsidP="00FC17BC">
      <w:pPr>
        <w:pStyle w:val="NormalindentbulletsL1"/>
        <w:spacing w:line="240" w:lineRule="auto"/>
        <w:ind w:left="1040"/>
        <w:jc w:val="both"/>
        <w:rPr>
          <w:color w:val="414042" w:themeColor="text1"/>
          <w:szCs w:val="20"/>
        </w:rPr>
      </w:pPr>
      <w:r w:rsidRPr="00DF3006">
        <w:rPr>
          <w:color w:val="414042" w:themeColor="text1"/>
          <w:szCs w:val="20"/>
        </w:rPr>
        <w:t>Right-of-use Assets and Lease Liabilities (Note 11)</w:t>
      </w:r>
    </w:p>
    <w:p w14:paraId="5C04B755" w14:textId="77777777" w:rsidR="00FC17BC" w:rsidRPr="00DF3006" w:rsidRDefault="00FC17BC" w:rsidP="00FC17BC">
      <w:pPr>
        <w:pStyle w:val="NormalindentbulletsL1"/>
        <w:ind w:left="1040"/>
        <w:rPr>
          <w:color w:val="414042" w:themeColor="text1"/>
        </w:rPr>
      </w:pPr>
      <w:r w:rsidRPr="00DF3006">
        <w:rPr>
          <w:color w:val="414042" w:themeColor="text1"/>
        </w:rPr>
        <w:t>Provisions (Note 14)</w:t>
      </w:r>
    </w:p>
    <w:p w14:paraId="3BFA2F64" w14:textId="77777777" w:rsidR="00FC17BC" w:rsidRPr="00DF3006" w:rsidRDefault="00FC17BC" w:rsidP="00FC17BC">
      <w:pPr>
        <w:pStyle w:val="NormalindentbulletsL1"/>
        <w:spacing w:line="240" w:lineRule="auto"/>
        <w:ind w:left="1040"/>
        <w:jc w:val="both"/>
        <w:rPr>
          <w:color w:val="414042" w:themeColor="text1"/>
          <w:szCs w:val="20"/>
        </w:rPr>
      </w:pPr>
      <w:r w:rsidRPr="00DF3006">
        <w:rPr>
          <w:color w:val="414042" w:themeColor="text1"/>
          <w:szCs w:val="20"/>
        </w:rPr>
        <w:t>Contingencies (Note 16)</w:t>
      </w:r>
    </w:p>
    <w:p w14:paraId="07F8DE4E" w14:textId="77777777" w:rsidR="00FC17BC" w:rsidRPr="00DF3006" w:rsidRDefault="00FC17BC" w:rsidP="00FC17BC">
      <w:pPr>
        <w:pStyle w:val="NormalindentbulletsL1"/>
        <w:numPr>
          <w:ilvl w:val="0"/>
          <w:numId w:val="0"/>
        </w:numPr>
        <w:spacing w:line="240" w:lineRule="auto"/>
        <w:ind w:left="1040"/>
        <w:jc w:val="both"/>
        <w:rPr>
          <w:color w:val="414042" w:themeColor="text1"/>
          <w:szCs w:val="20"/>
        </w:rPr>
      </w:pPr>
    </w:p>
    <w:p w14:paraId="71751B0B" w14:textId="77777777" w:rsidR="00FC17BC" w:rsidRPr="00DF3006" w:rsidRDefault="00FC17BC" w:rsidP="00FC17BC">
      <w:pPr>
        <w:pStyle w:val="Normalhanginglist105pt"/>
        <w:spacing w:line="240" w:lineRule="auto"/>
        <w:jc w:val="both"/>
        <w:rPr>
          <w:color w:val="414042" w:themeColor="text1"/>
          <w:sz w:val="22"/>
          <w:szCs w:val="22"/>
        </w:rPr>
      </w:pPr>
      <w:r w:rsidRPr="00DF3006">
        <w:rPr>
          <w:color w:val="414042" w:themeColor="text1"/>
          <w:sz w:val="22"/>
          <w:szCs w:val="22"/>
        </w:rPr>
        <w:t>(h)</w:t>
      </w:r>
      <w:r w:rsidRPr="00DF3006">
        <w:rPr>
          <w:color w:val="414042" w:themeColor="text1"/>
          <w:sz w:val="22"/>
          <w:szCs w:val="22"/>
        </w:rPr>
        <w:tab/>
        <w:t>Future Impact of Accounting Standards Not Yet Effective</w:t>
      </w:r>
    </w:p>
    <w:p w14:paraId="349B647E" w14:textId="77777777" w:rsidR="00FC17BC" w:rsidRPr="00DF3006" w:rsidRDefault="00FC17BC" w:rsidP="00FC17BC">
      <w:pPr>
        <w:autoSpaceDE w:val="0"/>
        <w:autoSpaceDN w:val="0"/>
        <w:adjustRightInd w:val="0"/>
        <w:ind w:left="426"/>
        <w:jc w:val="both"/>
        <w:rPr>
          <w:rFonts w:ascii="Calibri" w:hAnsi="Calibri" w:cs="Calibri"/>
          <w:color w:val="414042" w:themeColor="text1"/>
          <w:szCs w:val="20"/>
        </w:rPr>
      </w:pPr>
      <w:r w:rsidRPr="00DF3006">
        <w:rPr>
          <w:rFonts w:ascii="Calibri" w:hAnsi="Calibri" w:cs="Calibri"/>
          <w:color w:val="414042" w:themeColor="text1"/>
          <w:szCs w:val="20"/>
        </w:rPr>
        <w:t xml:space="preserve">At the date of authorisation of the financial statements, there are no new or amended accounting standards with future effective dates that are applicable and have a material impact on the CCC. </w:t>
      </w:r>
    </w:p>
    <w:p w14:paraId="6B73DE94" w14:textId="77777777" w:rsidR="00C30C9B" w:rsidRPr="00DF3006" w:rsidRDefault="00C30C9B">
      <w:pPr>
        <w:spacing w:before="120" w:after="0" w:line="260" w:lineRule="exact"/>
        <w:rPr>
          <w:rFonts w:asciiTheme="minorHAnsi" w:eastAsia="Times New Roman" w:hAnsiTheme="minorHAnsi" w:cs="Arial"/>
          <w:b/>
          <w:color w:val="414042" w:themeColor="text1"/>
          <w:sz w:val="23"/>
          <w:szCs w:val="23"/>
        </w:rPr>
      </w:pPr>
      <w:r w:rsidRPr="00DF3006">
        <w:rPr>
          <w:color w:val="414042" w:themeColor="text1"/>
          <w:szCs w:val="23"/>
        </w:rPr>
        <w:br w:type="page"/>
      </w:r>
    </w:p>
    <w:p w14:paraId="50A6AD8B" w14:textId="34F66455" w:rsidR="00FC17BC" w:rsidRPr="00DF3006" w:rsidRDefault="00FC17BC" w:rsidP="00FC17BC">
      <w:pPr>
        <w:pStyle w:val="Normal115pttext"/>
        <w:spacing w:after="240" w:line="240" w:lineRule="auto"/>
        <w:rPr>
          <w:color w:val="414042" w:themeColor="text1"/>
          <w:szCs w:val="23"/>
        </w:rPr>
      </w:pPr>
      <w:r w:rsidRPr="00DF3006">
        <w:rPr>
          <w:color w:val="414042" w:themeColor="text1"/>
          <w:szCs w:val="23"/>
        </w:rPr>
        <w:t>Note 2:  Grants and Other Contributions</w:t>
      </w:r>
    </w:p>
    <w:tbl>
      <w:tblPr>
        <w:tblStyle w:val="TableGrid"/>
        <w:tblW w:w="9209" w:type="dxa"/>
        <w:tblCellMar>
          <w:top w:w="113" w:type="dxa"/>
          <w:bottom w:w="113" w:type="dxa"/>
        </w:tblCellMar>
        <w:tblLook w:val="04A0" w:firstRow="1" w:lastRow="0" w:firstColumn="1" w:lastColumn="0" w:noHBand="0" w:noVBand="1"/>
      </w:tblPr>
      <w:tblGrid>
        <w:gridCol w:w="9209"/>
      </w:tblGrid>
      <w:tr w:rsidR="00FC17BC" w:rsidRPr="00DF3006" w14:paraId="18CAFD7C" w14:textId="77777777" w:rsidTr="00025E55">
        <w:tc>
          <w:tcPr>
            <w:tcW w:w="9209" w:type="dxa"/>
          </w:tcPr>
          <w:p w14:paraId="255C9786" w14:textId="77777777" w:rsidR="00FC17BC" w:rsidRPr="00DF3006" w:rsidRDefault="00FC17BC" w:rsidP="00025E55">
            <w:pPr>
              <w:pStyle w:val="Policyheading"/>
              <w:spacing w:line="240" w:lineRule="auto"/>
              <w:rPr>
                <w:color w:val="414042" w:themeColor="text1"/>
                <w:sz w:val="22"/>
                <w:szCs w:val="22"/>
              </w:rPr>
            </w:pPr>
            <w:r w:rsidRPr="00DF3006">
              <w:rPr>
                <w:color w:val="414042" w:themeColor="text1"/>
                <w:sz w:val="22"/>
                <w:szCs w:val="22"/>
              </w:rPr>
              <w:t>Accounting Policy:</w:t>
            </w:r>
          </w:p>
          <w:p w14:paraId="6C2DA3FA" w14:textId="77777777" w:rsidR="00FC17BC" w:rsidRPr="00DF3006" w:rsidRDefault="00FC17BC" w:rsidP="00025E55">
            <w:pPr>
              <w:pStyle w:val="Policy1stpara"/>
              <w:spacing w:line="240" w:lineRule="auto"/>
              <w:rPr>
                <w:color w:val="414042" w:themeColor="text1"/>
              </w:rPr>
            </w:pPr>
            <w:r w:rsidRPr="00DF3006">
              <w:rPr>
                <w:b/>
                <w:i/>
                <w:color w:val="414042" w:themeColor="text1"/>
              </w:rPr>
              <w:t>Government Grants</w:t>
            </w:r>
            <w:r w:rsidRPr="00DF3006">
              <w:rPr>
                <w:i/>
                <w:color w:val="414042" w:themeColor="text1"/>
              </w:rPr>
              <w:t xml:space="preserve"> – </w:t>
            </w:r>
            <w:r w:rsidRPr="00DF3006">
              <w:rPr>
                <w:color w:val="414042" w:themeColor="text1"/>
              </w:rPr>
              <w:t xml:space="preserve">Government grants are non-reciprocal in nature and are recognised as revenue in the year in which the CCC obtains control over them or the right to receive them. Grants are accounted for under </w:t>
            </w:r>
            <w:proofErr w:type="spellStart"/>
            <w:r w:rsidRPr="00DF3006">
              <w:rPr>
                <w:color w:val="414042" w:themeColor="text1"/>
              </w:rPr>
              <w:t>AASB</w:t>
            </w:r>
            <w:proofErr w:type="spellEnd"/>
            <w:r w:rsidRPr="00DF3006">
              <w:rPr>
                <w:color w:val="414042" w:themeColor="text1"/>
              </w:rPr>
              <w:t xml:space="preserve"> 1058 Income of Not-for-Profit Entities, whereby revenue is recognised upon receipt of the grant funding.</w:t>
            </w:r>
          </w:p>
          <w:p w14:paraId="2DF8A5C8" w14:textId="77777777" w:rsidR="00FC17BC" w:rsidRPr="00DF3006" w:rsidRDefault="00FC17BC" w:rsidP="00025E55">
            <w:pPr>
              <w:pStyle w:val="Policy1stpara"/>
              <w:spacing w:line="240" w:lineRule="auto"/>
              <w:rPr>
                <w:color w:val="414042" w:themeColor="text1"/>
              </w:rPr>
            </w:pPr>
            <w:r w:rsidRPr="00DF3006">
              <w:rPr>
                <w:b/>
                <w:i/>
                <w:color w:val="414042" w:themeColor="text1"/>
              </w:rPr>
              <w:t>Other Contributions – Services Received Below Fair Value</w:t>
            </w:r>
            <w:r w:rsidRPr="00DF3006">
              <w:rPr>
                <w:i/>
                <w:color w:val="414042" w:themeColor="text1"/>
              </w:rPr>
              <w:t xml:space="preserve"> – </w:t>
            </w:r>
            <w:r w:rsidRPr="00DF3006">
              <w:rPr>
                <w:color w:val="414042" w:themeColor="text1"/>
              </w:rPr>
              <w:t xml:space="preserve">The CCC recognises contributions of services only if the services would have been purchased had they not been </w:t>
            </w:r>
            <w:proofErr w:type="gramStart"/>
            <w:r w:rsidRPr="00DF3006">
              <w:rPr>
                <w:color w:val="414042" w:themeColor="text1"/>
              </w:rPr>
              <w:t>donated</w:t>
            </w:r>
            <w:proofErr w:type="gramEnd"/>
            <w:r w:rsidRPr="00DF3006">
              <w:rPr>
                <w:color w:val="414042" w:themeColor="text1"/>
              </w:rPr>
              <w:t xml:space="preserve"> and their fair value can be measured reliably. Where this is the case, an equal amount is recognised as revenue and an expense.</w:t>
            </w:r>
          </w:p>
          <w:p w14:paraId="36FCBC27" w14:textId="77777777" w:rsidR="00FC17BC" w:rsidRPr="00DF3006" w:rsidRDefault="00FC17BC" w:rsidP="00025E55">
            <w:pPr>
              <w:pStyle w:val="Policy1stpara"/>
              <w:spacing w:line="240" w:lineRule="auto"/>
              <w:rPr>
                <w:color w:val="414042" w:themeColor="text1"/>
              </w:rPr>
            </w:pPr>
          </w:p>
        </w:tc>
      </w:tr>
    </w:tbl>
    <w:p w14:paraId="3E6B454E" w14:textId="77777777" w:rsidR="00FC17BC" w:rsidRPr="00DF3006" w:rsidRDefault="00FC17BC" w:rsidP="00FC17BC">
      <w:pPr>
        <w:rPr>
          <w:color w:val="414042" w:themeColor="text1"/>
        </w:rPr>
      </w:pPr>
    </w:p>
    <w:tbl>
      <w:tblPr>
        <w:tblW w:w="9214"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492"/>
        <w:gridCol w:w="142"/>
        <w:gridCol w:w="1134"/>
        <w:gridCol w:w="283"/>
        <w:gridCol w:w="1134"/>
      </w:tblGrid>
      <w:tr w:rsidR="00DF3006" w:rsidRPr="00DF3006" w14:paraId="2E2DEB19" w14:textId="77777777" w:rsidTr="00025E55">
        <w:trPr>
          <w:trHeight w:val="20"/>
        </w:trPr>
        <w:tc>
          <w:tcPr>
            <w:tcW w:w="4029" w:type="dxa"/>
            <w:tcBorders>
              <w:top w:val="nil"/>
              <w:left w:val="nil"/>
              <w:bottom w:val="nil"/>
              <w:right w:val="nil"/>
            </w:tcBorders>
          </w:tcPr>
          <w:p w14:paraId="344E9136" w14:textId="77777777" w:rsidR="00FC17BC" w:rsidRPr="00DF3006" w:rsidRDefault="00FC17BC" w:rsidP="00025E55">
            <w:pPr>
              <w:pStyle w:val="Normaltabletextleft"/>
              <w:spacing w:line="240" w:lineRule="auto"/>
              <w:rPr>
                <w:color w:val="414042" w:themeColor="text1"/>
                <w:szCs w:val="20"/>
                <w:lang w:eastAsia="en-AU"/>
              </w:rPr>
            </w:pPr>
            <w:bookmarkStart w:id="1944" w:name="_Hlk132885709"/>
          </w:p>
        </w:tc>
        <w:tc>
          <w:tcPr>
            <w:tcW w:w="2492" w:type="dxa"/>
            <w:tcBorders>
              <w:top w:val="nil"/>
              <w:left w:val="nil"/>
              <w:bottom w:val="nil"/>
            </w:tcBorders>
            <w:vAlign w:val="bottom"/>
          </w:tcPr>
          <w:p w14:paraId="45259038" w14:textId="77777777" w:rsidR="00FC17BC" w:rsidRPr="00DF3006" w:rsidRDefault="00FC17BC" w:rsidP="00025E55">
            <w:pPr>
              <w:pStyle w:val="Normaltabletextleft"/>
              <w:spacing w:line="240" w:lineRule="auto"/>
              <w:rPr>
                <w:color w:val="414042" w:themeColor="text1"/>
                <w:szCs w:val="20"/>
                <w:lang w:eastAsia="en-AU"/>
              </w:rPr>
            </w:pPr>
          </w:p>
        </w:tc>
        <w:tc>
          <w:tcPr>
            <w:tcW w:w="142" w:type="dxa"/>
            <w:tcBorders>
              <w:top w:val="nil"/>
              <w:bottom w:val="nil"/>
            </w:tcBorders>
            <w:noWrap/>
            <w:tcMar>
              <w:left w:w="0" w:type="dxa"/>
              <w:right w:w="0" w:type="dxa"/>
            </w:tcMar>
            <w:vAlign w:val="bottom"/>
          </w:tcPr>
          <w:p w14:paraId="4D1A98BF" w14:textId="77777777" w:rsidR="00FC17BC" w:rsidRPr="00DF3006" w:rsidRDefault="00FC17BC" w:rsidP="00025E55">
            <w:pPr>
              <w:pStyle w:val="Normaltabletextleft"/>
              <w:spacing w:line="240" w:lineRule="auto"/>
              <w:rPr>
                <w:color w:val="414042" w:themeColor="text1"/>
                <w:szCs w:val="20"/>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1062C084" w14:textId="77777777" w:rsidR="00FC17BC" w:rsidRPr="00DF3006" w:rsidRDefault="00FC17BC" w:rsidP="00025E55">
            <w:pPr>
              <w:pStyle w:val="Normaltabletext1stpararight"/>
              <w:spacing w:line="240" w:lineRule="auto"/>
              <w:rPr>
                <w:b/>
                <w:color w:val="414042" w:themeColor="text1"/>
                <w:szCs w:val="20"/>
                <w:lang w:eastAsia="en-AU"/>
              </w:rPr>
            </w:pPr>
          </w:p>
        </w:tc>
        <w:tc>
          <w:tcPr>
            <w:tcW w:w="283" w:type="dxa"/>
            <w:tcBorders>
              <w:top w:val="nil"/>
              <w:bottom w:val="nil"/>
            </w:tcBorders>
            <w:noWrap/>
            <w:tcMar>
              <w:left w:w="0" w:type="dxa"/>
              <w:right w:w="0" w:type="dxa"/>
            </w:tcMar>
            <w:vAlign w:val="bottom"/>
          </w:tcPr>
          <w:p w14:paraId="3780355C"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4C8BE71C" w14:textId="77777777" w:rsidR="00FC17BC" w:rsidRPr="00DF3006" w:rsidRDefault="00FC17BC" w:rsidP="00025E55">
            <w:pPr>
              <w:pStyle w:val="Normaltabletext1stpararight"/>
              <w:spacing w:line="240" w:lineRule="auto"/>
              <w:ind w:left="122" w:firstLine="122"/>
              <w:rPr>
                <w:b/>
                <w:color w:val="414042" w:themeColor="text1"/>
                <w:szCs w:val="20"/>
                <w:lang w:eastAsia="en-AU"/>
              </w:rPr>
            </w:pPr>
          </w:p>
        </w:tc>
      </w:tr>
      <w:tr w:rsidR="00DF3006" w:rsidRPr="00DF3006" w14:paraId="64D92C17" w14:textId="77777777" w:rsidTr="00025E55">
        <w:trPr>
          <w:trHeight w:val="20"/>
        </w:trPr>
        <w:tc>
          <w:tcPr>
            <w:tcW w:w="4029" w:type="dxa"/>
            <w:tcBorders>
              <w:top w:val="nil"/>
              <w:left w:val="nil"/>
              <w:bottom w:val="nil"/>
              <w:right w:val="nil"/>
            </w:tcBorders>
          </w:tcPr>
          <w:p w14:paraId="32A0F453" w14:textId="77777777" w:rsidR="00FC17BC" w:rsidRPr="00DF3006" w:rsidRDefault="00FC17BC" w:rsidP="00025E55">
            <w:pPr>
              <w:pStyle w:val="Normaltabletextleft"/>
              <w:spacing w:line="240" w:lineRule="auto"/>
              <w:rPr>
                <w:color w:val="414042" w:themeColor="text1"/>
                <w:szCs w:val="20"/>
                <w:lang w:eastAsia="en-AU"/>
              </w:rPr>
            </w:pPr>
          </w:p>
          <w:p w14:paraId="63C9F09D" w14:textId="77777777" w:rsidR="00FC17BC" w:rsidRPr="00DF3006" w:rsidRDefault="00FC17BC" w:rsidP="00025E55">
            <w:pPr>
              <w:pStyle w:val="Normaltabletextleft"/>
              <w:spacing w:line="240" w:lineRule="auto"/>
              <w:rPr>
                <w:color w:val="414042" w:themeColor="text1"/>
                <w:szCs w:val="20"/>
                <w:lang w:eastAsia="en-AU"/>
              </w:rPr>
            </w:pPr>
          </w:p>
        </w:tc>
        <w:tc>
          <w:tcPr>
            <w:tcW w:w="2492" w:type="dxa"/>
            <w:tcBorders>
              <w:top w:val="nil"/>
              <w:left w:val="nil"/>
              <w:bottom w:val="nil"/>
            </w:tcBorders>
            <w:vAlign w:val="bottom"/>
          </w:tcPr>
          <w:p w14:paraId="5520966B" w14:textId="77777777" w:rsidR="00FC17BC" w:rsidRPr="00DF3006" w:rsidRDefault="00FC17BC" w:rsidP="00025E55">
            <w:pPr>
              <w:pStyle w:val="Normaltabletextleft"/>
              <w:spacing w:line="240" w:lineRule="auto"/>
              <w:rPr>
                <w:color w:val="414042" w:themeColor="text1"/>
                <w:szCs w:val="20"/>
                <w:lang w:eastAsia="en-AU"/>
              </w:rPr>
            </w:pPr>
          </w:p>
        </w:tc>
        <w:tc>
          <w:tcPr>
            <w:tcW w:w="142" w:type="dxa"/>
            <w:tcBorders>
              <w:top w:val="nil"/>
              <w:bottom w:val="nil"/>
            </w:tcBorders>
            <w:noWrap/>
            <w:tcMar>
              <w:left w:w="0" w:type="dxa"/>
              <w:right w:w="0" w:type="dxa"/>
            </w:tcMar>
            <w:vAlign w:val="bottom"/>
          </w:tcPr>
          <w:p w14:paraId="5E37697A" w14:textId="77777777" w:rsidR="00FC17BC" w:rsidRPr="00DF3006" w:rsidRDefault="00FC17BC" w:rsidP="00025E55">
            <w:pPr>
              <w:pStyle w:val="Normaltabletextleft"/>
              <w:spacing w:line="240" w:lineRule="auto"/>
              <w:rPr>
                <w:color w:val="414042" w:themeColor="text1"/>
                <w:szCs w:val="20"/>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0ED648A9" w14:textId="77777777" w:rsidR="00FC17BC" w:rsidRPr="00DF3006" w:rsidRDefault="00FC17BC" w:rsidP="00025E55">
            <w:pPr>
              <w:pStyle w:val="Normaltabletext1stpararight"/>
              <w:spacing w:line="240" w:lineRule="auto"/>
              <w:rPr>
                <w:b/>
                <w:color w:val="414042" w:themeColor="text1"/>
                <w:szCs w:val="20"/>
                <w:lang w:eastAsia="en-AU"/>
              </w:rPr>
            </w:pPr>
            <w:r w:rsidRPr="00DF3006">
              <w:rPr>
                <w:b/>
                <w:color w:val="414042" w:themeColor="text1"/>
                <w:szCs w:val="20"/>
                <w:lang w:eastAsia="en-AU"/>
              </w:rPr>
              <w:t>2023</w:t>
            </w:r>
          </w:p>
          <w:p w14:paraId="4DAE3EFB" w14:textId="77777777" w:rsidR="00FC17BC" w:rsidRPr="00DF3006" w:rsidRDefault="00FC17BC" w:rsidP="00025E55">
            <w:pPr>
              <w:pStyle w:val="Normaltabletext1stpararight"/>
              <w:spacing w:line="240" w:lineRule="auto"/>
              <w:rPr>
                <w:b/>
                <w:color w:val="414042" w:themeColor="text1"/>
                <w:szCs w:val="20"/>
                <w:lang w:eastAsia="en-AU"/>
              </w:rPr>
            </w:pPr>
            <w:r w:rsidRPr="00DF3006">
              <w:rPr>
                <w:b/>
                <w:color w:val="414042" w:themeColor="text1"/>
                <w:szCs w:val="20"/>
                <w:lang w:eastAsia="en-AU"/>
              </w:rPr>
              <w:t>$’000</w:t>
            </w:r>
          </w:p>
        </w:tc>
        <w:tc>
          <w:tcPr>
            <w:tcW w:w="283" w:type="dxa"/>
            <w:tcBorders>
              <w:top w:val="nil"/>
              <w:bottom w:val="nil"/>
            </w:tcBorders>
            <w:noWrap/>
            <w:tcMar>
              <w:left w:w="0" w:type="dxa"/>
              <w:right w:w="0" w:type="dxa"/>
            </w:tcMar>
            <w:vAlign w:val="bottom"/>
          </w:tcPr>
          <w:p w14:paraId="30B2F6E1"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CB5EB74" w14:textId="77777777" w:rsidR="00FC17BC" w:rsidRPr="00DF3006" w:rsidRDefault="00FC17BC" w:rsidP="00025E55">
            <w:pPr>
              <w:pStyle w:val="Normaltabletext1stpararight"/>
              <w:spacing w:line="240" w:lineRule="auto"/>
              <w:ind w:left="122" w:firstLine="122"/>
              <w:rPr>
                <w:b/>
                <w:color w:val="414042" w:themeColor="text1"/>
                <w:szCs w:val="20"/>
                <w:lang w:eastAsia="en-AU"/>
              </w:rPr>
            </w:pPr>
            <w:r w:rsidRPr="00DF3006">
              <w:rPr>
                <w:b/>
                <w:color w:val="414042" w:themeColor="text1"/>
                <w:szCs w:val="20"/>
                <w:lang w:eastAsia="en-AU"/>
              </w:rPr>
              <w:t>2022</w:t>
            </w:r>
          </w:p>
          <w:p w14:paraId="4A16B98D" w14:textId="77777777" w:rsidR="00FC17BC" w:rsidRPr="00DF3006" w:rsidRDefault="00FC17BC" w:rsidP="00025E55">
            <w:pPr>
              <w:pStyle w:val="Normaltabletext1stpararight"/>
              <w:spacing w:line="240" w:lineRule="auto"/>
              <w:ind w:left="122" w:firstLine="122"/>
              <w:rPr>
                <w:b/>
                <w:color w:val="414042" w:themeColor="text1"/>
                <w:szCs w:val="20"/>
                <w:lang w:eastAsia="en-AU"/>
              </w:rPr>
            </w:pPr>
            <w:r w:rsidRPr="00DF3006">
              <w:rPr>
                <w:b/>
                <w:color w:val="414042" w:themeColor="text1"/>
                <w:szCs w:val="20"/>
                <w:lang w:eastAsia="en-AU"/>
              </w:rPr>
              <w:t>$’000</w:t>
            </w:r>
          </w:p>
        </w:tc>
      </w:tr>
      <w:tr w:rsidR="00DF3006" w:rsidRPr="00DF3006" w14:paraId="335758DF" w14:textId="77777777" w:rsidTr="00025E55">
        <w:trPr>
          <w:trHeight w:val="20"/>
        </w:trPr>
        <w:tc>
          <w:tcPr>
            <w:tcW w:w="4029" w:type="dxa"/>
            <w:tcBorders>
              <w:top w:val="nil"/>
              <w:left w:val="nil"/>
              <w:bottom w:val="nil"/>
              <w:right w:val="nil"/>
            </w:tcBorders>
          </w:tcPr>
          <w:p w14:paraId="7A7D4E56" w14:textId="77777777" w:rsidR="00FC17BC" w:rsidRPr="00DF3006" w:rsidRDefault="00FC17BC" w:rsidP="00025E55">
            <w:pPr>
              <w:pStyle w:val="Normaltabletextleft"/>
              <w:spacing w:line="240" w:lineRule="auto"/>
              <w:rPr>
                <w:b/>
                <w:color w:val="414042" w:themeColor="text1"/>
                <w:szCs w:val="20"/>
                <w:lang w:eastAsia="en-AU"/>
              </w:rPr>
            </w:pPr>
            <w:r w:rsidRPr="00DF3006">
              <w:rPr>
                <w:b/>
                <w:color w:val="414042" w:themeColor="text1"/>
                <w:szCs w:val="20"/>
                <w:lang w:eastAsia="en-AU"/>
              </w:rPr>
              <w:t>Grants</w:t>
            </w:r>
          </w:p>
        </w:tc>
        <w:tc>
          <w:tcPr>
            <w:tcW w:w="2492" w:type="dxa"/>
            <w:tcBorders>
              <w:top w:val="nil"/>
              <w:left w:val="nil"/>
              <w:bottom w:val="nil"/>
            </w:tcBorders>
            <w:vAlign w:val="bottom"/>
          </w:tcPr>
          <w:p w14:paraId="34332D3B" w14:textId="77777777" w:rsidR="00FC17BC" w:rsidRPr="00DF3006" w:rsidRDefault="00FC17BC" w:rsidP="00025E55">
            <w:pPr>
              <w:pStyle w:val="Normaltabletextleft"/>
              <w:spacing w:line="240" w:lineRule="auto"/>
              <w:rPr>
                <w:color w:val="414042" w:themeColor="text1"/>
                <w:szCs w:val="20"/>
                <w:lang w:eastAsia="en-AU"/>
              </w:rPr>
            </w:pPr>
          </w:p>
        </w:tc>
        <w:tc>
          <w:tcPr>
            <w:tcW w:w="142" w:type="dxa"/>
            <w:tcBorders>
              <w:top w:val="nil"/>
              <w:bottom w:val="nil"/>
            </w:tcBorders>
            <w:noWrap/>
            <w:tcMar>
              <w:left w:w="0" w:type="dxa"/>
              <w:right w:w="0" w:type="dxa"/>
            </w:tcMar>
            <w:vAlign w:val="bottom"/>
          </w:tcPr>
          <w:p w14:paraId="2A5B112B" w14:textId="77777777" w:rsidR="00FC17BC" w:rsidRPr="00DF3006" w:rsidRDefault="00FC17BC" w:rsidP="00025E55">
            <w:pPr>
              <w:pStyle w:val="Normaltabletextleft"/>
              <w:spacing w:line="240" w:lineRule="auto"/>
              <w:rPr>
                <w:color w:val="414042" w:themeColor="text1"/>
                <w:szCs w:val="20"/>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02AE6535" w14:textId="77777777" w:rsidR="00FC17BC" w:rsidRPr="00DF3006" w:rsidRDefault="00FC17BC" w:rsidP="00025E55">
            <w:pPr>
              <w:pStyle w:val="Normaltabletext1stpararight"/>
              <w:spacing w:line="240" w:lineRule="auto"/>
              <w:rPr>
                <w:color w:val="414042" w:themeColor="text1"/>
                <w:szCs w:val="20"/>
                <w:lang w:eastAsia="en-AU"/>
              </w:rPr>
            </w:pPr>
          </w:p>
        </w:tc>
        <w:tc>
          <w:tcPr>
            <w:tcW w:w="283" w:type="dxa"/>
            <w:tcBorders>
              <w:top w:val="nil"/>
              <w:bottom w:val="nil"/>
            </w:tcBorders>
            <w:noWrap/>
            <w:tcMar>
              <w:left w:w="0" w:type="dxa"/>
              <w:right w:w="0" w:type="dxa"/>
            </w:tcMar>
            <w:vAlign w:val="bottom"/>
          </w:tcPr>
          <w:p w14:paraId="776D59C6"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919F1A0" w14:textId="77777777" w:rsidR="00FC17BC" w:rsidRPr="00DF3006" w:rsidRDefault="00FC17BC" w:rsidP="00025E55">
            <w:pPr>
              <w:pStyle w:val="Normaltabletext1stpararight"/>
              <w:spacing w:line="240" w:lineRule="auto"/>
              <w:rPr>
                <w:color w:val="414042" w:themeColor="text1"/>
                <w:szCs w:val="20"/>
                <w:lang w:eastAsia="en-AU"/>
              </w:rPr>
            </w:pPr>
          </w:p>
        </w:tc>
      </w:tr>
      <w:tr w:rsidR="00DF3006" w:rsidRPr="00DF3006" w14:paraId="66EA66F8" w14:textId="77777777" w:rsidTr="00025E55">
        <w:trPr>
          <w:trHeight w:val="20"/>
        </w:trPr>
        <w:tc>
          <w:tcPr>
            <w:tcW w:w="4029" w:type="dxa"/>
            <w:tcBorders>
              <w:top w:val="nil"/>
              <w:left w:val="nil"/>
              <w:bottom w:val="nil"/>
              <w:right w:val="nil"/>
            </w:tcBorders>
          </w:tcPr>
          <w:p w14:paraId="38F9435F" w14:textId="77777777" w:rsidR="00FC17BC" w:rsidRPr="00DF3006" w:rsidRDefault="00FC17BC" w:rsidP="00025E55">
            <w:pPr>
              <w:pStyle w:val="Normaltabletextleft"/>
              <w:spacing w:line="240" w:lineRule="auto"/>
              <w:rPr>
                <w:color w:val="414042" w:themeColor="text1"/>
                <w:szCs w:val="20"/>
                <w:lang w:eastAsia="en-AU"/>
              </w:rPr>
            </w:pPr>
            <w:r w:rsidRPr="00DF3006">
              <w:rPr>
                <w:color w:val="414042" w:themeColor="text1"/>
                <w:szCs w:val="20"/>
                <w:lang w:eastAsia="en-AU"/>
              </w:rPr>
              <w:t>Queensland Government grant</w:t>
            </w:r>
            <w:r w:rsidRPr="00DF3006">
              <w:rPr>
                <w:color w:val="414042" w:themeColor="text1"/>
                <w:szCs w:val="20"/>
              </w:rPr>
              <w:t>¹</w:t>
            </w:r>
          </w:p>
        </w:tc>
        <w:tc>
          <w:tcPr>
            <w:tcW w:w="2492" w:type="dxa"/>
            <w:tcBorders>
              <w:top w:val="nil"/>
              <w:left w:val="nil"/>
              <w:bottom w:val="nil"/>
            </w:tcBorders>
            <w:vAlign w:val="bottom"/>
          </w:tcPr>
          <w:p w14:paraId="4D9A5D9E" w14:textId="77777777" w:rsidR="00FC17BC" w:rsidRPr="00DF3006" w:rsidRDefault="00FC17BC" w:rsidP="00025E55">
            <w:pPr>
              <w:pStyle w:val="Normaltabletextleft"/>
              <w:spacing w:line="240" w:lineRule="auto"/>
              <w:rPr>
                <w:color w:val="414042" w:themeColor="text1"/>
                <w:szCs w:val="20"/>
                <w:lang w:eastAsia="en-AU"/>
              </w:rPr>
            </w:pPr>
          </w:p>
        </w:tc>
        <w:tc>
          <w:tcPr>
            <w:tcW w:w="142" w:type="dxa"/>
            <w:tcBorders>
              <w:top w:val="nil"/>
              <w:bottom w:val="nil"/>
            </w:tcBorders>
            <w:noWrap/>
            <w:tcMar>
              <w:left w:w="0" w:type="dxa"/>
              <w:right w:w="0" w:type="dxa"/>
            </w:tcMar>
            <w:vAlign w:val="bottom"/>
          </w:tcPr>
          <w:p w14:paraId="36064287" w14:textId="77777777" w:rsidR="00FC17BC" w:rsidRPr="00DF3006" w:rsidRDefault="00FC17BC" w:rsidP="00025E55">
            <w:pPr>
              <w:pStyle w:val="Normaltabletextleft"/>
              <w:spacing w:line="240" w:lineRule="auto"/>
              <w:rPr>
                <w:color w:val="414042" w:themeColor="text1"/>
                <w:szCs w:val="20"/>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2932FD80"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67,045</w:t>
            </w:r>
          </w:p>
        </w:tc>
        <w:tc>
          <w:tcPr>
            <w:tcW w:w="283" w:type="dxa"/>
            <w:tcBorders>
              <w:top w:val="nil"/>
              <w:bottom w:val="nil"/>
            </w:tcBorders>
            <w:noWrap/>
            <w:tcMar>
              <w:left w:w="0" w:type="dxa"/>
              <w:right w:w="0" w:type="dxa"/>
            </w:tcMar>
            <w:vAlign w:val="bottom"/>
          </w:tcPr>
          <w:p w14:paraId="2433E3C7"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5B61FAF"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63,897</w:t>
            </w:r>
          </w:p>
        </w:tc>
      </w:tr>
      <w:tr w:rsidR="00DF3006" w:rsidRPr="00DF3006" w14:paraId="62178F76" w14:textId="77777777" w:rsidTr="00025E55">
        <w:trPr>
          <w:trHeight w:val="20"/>
        </w:trPr>
        <w:tc>
          <w:tcPr>
            <w:tcW w:w="6663" w:type="dxa"/>
            <w:gridSpan w:val="3"/>
            <w:tcBorders>
              <w:top w:val="nil"/>
              <w:left w:val="nil"/>
              <w:bottom w:val="nil"/>
            </w:tcBorders>
            <w:vAlign w:val="bottom"/>
          </w:tcPr>
          <w:p w14:paraId="497D3599" w14:textId="77777777" w:rsidR="00FC17BC" w:rsidRPr="00DF3006" w:rsidRDefault="00FC17BC" w:rsidP="00025E55">
            <w:pPr>
              <w:pStyle w:val="Normaltabletext1stpararight"/>
              <w:spacing w:line="240" w:lineRule="auto"/>
              <w:jc w:val="left"/>
              <w:rPr>
                <w:color w:val="414042" w:themeColor="text1"/>
                <w:szCs w:val="20"/>
              </w:rPr>
            </w:pPr>
          </w:p>
        </w:tc>
        <w:tc>
          <w:tcPr>
            <w:tcW w:w="1134" w:type="dxa"/>
            <w:tcBorders>
              <w:top w:val="nil"/>
              <w:bottom w:val="nil"/>
            </w:tcBorders>
            <w:shd w:val="clear" w:color="auto" w:fill="D9D9D9" w:themeFill="background1" w:themeFillShade="D9"/>
            <w:noWrap/>
            <w:tcMar>
              <w:left w:w="0" w:type="dxa"/>
              <w:right w:w="113" w:type="dxa"/>
            </w:tcMar>
            <w:vAlign w:val="bottom"/>
          </w:tcPr>
          <w:p w14:paraId="637E11EF" w14:textId="77777777" w:rsidR="00FC17BC" w:rsidRPr="00DF3006" w:rsidRDefault="00FC17BC" w:rsidP="00025E55">
            <w:pPr>
              <w:pStyle w:val="Normaltabletext1stpararight"/>
              <w:spacing w:line="240" w:lineRule="auto"/>
              <w:rPr>
                <w:color w:val="414042" w:themeColor="text1"/>
                <w:szCs w:val="20"/>
                <w:lang w:eastAsia="en-AU"/>
              </w:rPr>
            </w:pPr>
          </w:p>
        </w:tc>
        <w:tc>
          <w:tcPr>
            <w:tcW w:w="283" w:type="dxa"/>
            <w:tcBorders>
              <w:top w:val="nil"/>
              <w:bottom w:val="nil"/>
            </w:tcBorders>
            <w:noWrap/>
            <w:tcMar>
              <w:left w:w="0" w:type="dxa"/>
              <w:right w:w="0" w:type="dxa"/>
            </w:tcMar>
            <w:vAlign w:val="bottom"/>
          </w:tcPr>
          <w:p w14:paraId="7682F87B"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9836DCA" w14:textId="77777777" w:rsidR="00FC17BC" w:rsidRPr="00DF3006" w:rsidRDefault="00FC17BC" w:rsidP="00025E55">
            <w:pPr>
              <w:pStyle w:val="Normaltabletext1stpararight"/>
              <w:spacing w:line="240" w:lineRule="auto"/>
              <w:rPr>
                <w:color w:val="414042" w:themeColor="text1"/>
                <w:szCs w:val="20"/>
                <w:lang w:eastAsia="en-AU"/>
              </w:rPr>
            </w:pPr>
          </w:p>
        </w:tc>
      </w:tr>
      <w:tr w:rsidR="00DF3006" w:rsidRPr="00DF3006" w14:paraId="6F0B30AB" w14:textId="77777777" w:rsidTr="00025E55">
        <w:trPr>
          <w:trHeight w:val="20"/>
        </w:trPr>
        <w:tc>
          <w:tcPr>
            <w:tcW w:w="6663" w:type="dxa"/>
            <w:gridSpan w:val="3"/>
            <w:tcBorders>
              <w:top w:val="nil"/>
              <w:left w:val="nil"/>
              <w:bottom w:val="nil"/>
            </w:tcBorders>
            <w:vAlign w:val="bottom"/>
          </w:tcPr>
          <w:p w14:paraId="3CE77ABC" w14:textId="77777777" w:rsidR="00FC17BC" w:rsidRPr="00DF3006" w:rsidRDefault="00FC17BC" w:rsidP="00025E55">
            <w:pPr>
              <w:pStyle w:val="Normaltabletextleft"/>
              <w:spacing w:line="240" w:lineRule="auto"/>
              <w:rPr>
                <w:color w:val="414042" w:themeColor="text1"/>
                <w:szCs w:val="20"/>
                <w:lang w:eastAsia="en-AU"/>
              </w:rPr>
            </w:pPr>
            <w:r w:rsidRPr="00DF3006">
              <w:rPr>
                <w:b/>
                <w:color w:val="414042" w:themeColor="text1"/>
                <w:szCs w:val="20"/>
                <w:lang w:eastAsia="en-AU"/>
              </w:rPr>
              <w:t>Other Contributions – Services Received Below Fair Value (Note 6)</w:t>
            </w:r>
          </w:p>
        </w:tc>
        <w:tc>
          <w:tcPr>
            <w:tcW w:w="1134" w:type="dxa"/>
            <w:tcBorders>
              <w:top w:val="nil"/>
              <w:bottom w:val="nil"/>
            </w:tcBorders>
            <w:shd w:val="clear" w:color="auto" w:fill="D9D9D9" w:themeFill="background1" w:themeFillShade="D9"/>
            <w:noWrap/>
            <w:tcMar>
              <w:left w:w="0" w:type="dxa"/>
              <w:right w:w="113" w:type="dxa"/>
            </w:tcMar>
            <w:vAlign w:val="bottom"/>
          </w:tcPr>
          <w:p w14:paraId="175C421C" w14:textId="77777777" w:rsidR="00FC17BC" w:rsidRPr="00DF3006" w:rsidRDefault="00FC17BC" w:rsidP="00025E55">
            <w:pPr>
              <w:pStyle w:val="Normaltabletext1stpararight"/>
              <w:spacing w:line="240" w:lineRule="auto"/>
              <w:rPr>
                <w:color w:val="414042" w:themeColor="text1"/>
                <w:szCs w:val="20"/>
                <w:lang w:eastAsia="en-AU"/>
              </w:rPr>
            </w:pPr>
          </w:p>
        </w:tc>
        <w:tc>
          <w:tcPr>
            <w:tcW w:w="283" w:type="dxa"/>
            <w:tcBorders>
              <w:top w:val="nil"/>
              <w:bottom w:val="nil"/>
            </w:tcBorders>
            <w:noWrap/>
            <w:tcMar>
              <w:left w:w="0" w:type="dxa"/>
              <w:right w:w="0" w:type="dxa"/>
            </w:tcMar>
            <w:vAlign w:val="bottom"/>
          </w:tcPr>
          <w:p w14:paraId="4960EE69"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6A6FB80" w14:textId="77777777" w:rsidR="00FC17BC" w:rsidRPr="00DF3006" w:rsidRDefault="00FC17BC" w:rsidP="00025E55">
            <w:pPr>
              <w:pStyle w:val="Normaltabletext1stpararight"/>
              <w:spacing w:line="240" w:lineRule="auto"/>
              <w:rPr>
                <w:color w:val="414042" w:themeColor="text1"/>
                <w:szCs w:val="20"/>
                <w:lang w:eastAsia="en-AU"/>
              </w:rPr>
            </w:pPr>
          </w:p>
        </w:tc>
      </w:tr>
      <w:tr w:rsidR="00DF3006" w:rsidRPr="00DF3006" w14:paraId="73432213" w14:textId="77777777" w:rsidTr="00025E55">
        <w:trPr>
          <w:trHeight w:val="20"/>
        </w:trPr>
        <w:tc>
          <w:tcPr>
            <w:tcW w:w="6663" w:type="dxa"/>
            <w:gridSpan w:val="3"/>
            <w:tcBorders>
              <w:top w:val="nil"/>
              <w:left w:val="nil"/>
              <w:bottom w:val="nil"/>
            </w:tcBorders>
            <w:vAlign w:val="bottom"/>
          </w:tcPr>
          <w:p w14:paraId="1B5701CA" w14:textId="77777777" w:rsidR="00FC17BC" w:rsidRPr="00DF3006" w:rsidRDefault="00FC17BC" w:rsidP="00025E55">
            <w:pPr>
              <w:pStyle w:val="Normaltabletextleft"/>
              <w:spacing w:line="240" w:lineRule="auto"/>
              <w:rPr>
                <w:b/>
                <w:color w:val="414042" w:themeColor="text1"/>
                <w:szCs w:val="20"/>
                <w:lang w:eastAsia="en-AU"/>
              </w:rPr>
            </w:pPr>
            <w:r w:rsidRPr="00DF3006">
              <w:rPr>
                <w:color w:val="414042" w:themeColor="text1"/>
                <w:szCs w:val="20"/>
                <w:lang w:eastAsia="en-AU"/>
              </w:rPr>
              <w:t>Queensland State Archives</w:t>
            </w:r>
          </w:p>
        </w:tc>
        <w:tc>
          <w:tcPr>
            <w:tcW w:w="1134" w:type="dxa"/>
            <w:tcBorders>
              <w:top w:val="nil"/>
              <w:bottom w:val="nil"/>
            </w:tcBorders>
            <w:shd w:val="clear" w:color="auto" w:fill="D9D9D9" w:themeFill="background1" w:themeFillShade="D9"/>
            <w:noWrap/>
            <w:tcMar>
              <w:left w:w="0" w:type="dxa"/>
              <w:right w:w="113" w:type="dxa"/>
            </w:tcMar>
            <w:vAlign w:val="bottom"/>
          </w:tcPr>
          <w:p w14:paraId="73EC6AFC"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142</w:t>
            </w:r>
          </w:p>
        </w:tc>
        <w:tc>
          <w:tcPr>
            <w:tcW w:w="283" w:type="dxa"/>
            <w:tcBorders>
              <w:top w:val="nil"/>
              <w:bottom w:val="nil"/>
            </w:tcBorders>
            <w:noWrap/>
            <w:tcMar>
              <w:left w:w="0" w:type="dxa"/>
              <w:right w:w="0" w:type="dxa"/>
            </w:tcMar>
            <w:vAlign w:val="bottom"/>
          </w:tcPr>
          <w:p w14:paraId="4FD14620"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A7C07C7"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135</w:t>
            </w:r>
          </w:p>
        </w:tc>
      </w:tr>
      <w:tr w:rsidR="00DF3006" w:rsidRPr="00DF3006" w14:paraId="36FF46BC" w14:textId="77777777" w:rsidTr="00025E55">
        <w:trPr>
          <w:trHeight w:val="20"/>
        </w:trPr>
        <w:tc>
          <w:tcPr>
            <w:tcW w:w="6521" w:type="dxa"/>
            <w:gridSpan w:val="2"/>
            <w:tcBorders>
              <w:top w:val="nil"/>
              <w:left w:val="nil"/>
              <w:bottom w:val="nil"/>
            </w:tcBorders>
          </w:tcPr>
          <w:p w14:paraId="717F295C" w14:textId="77777777" w:rsidR="00FC17BC" w:rsidRPr="00DF3006" w:rsidRDefault="00FC17BC" w:rsidP="00025E55">
            <w:pPr>
              <w:pStyle w:val="Normaltabletextleft"/>
              <w:spacing w:line="240" w:lineRule="auto"/>
              <w:rPr>
                <w:color w:val="414042" w:themeColor="text1"/>
                <w:szCs w:val="20"/>
                <w:lang w:eastAsia="en-AU"/>
              </w:rPr>
            </w:pPr>
            <w:r w:rsidRPr="00DF3006">
              <w:rPr>
                <w:color w:val="414042" w:themeColor="text1"/>
                <w:szCs w:val="20"/>
                <w:lang w:eastAsia="en-AU"/>
              </w:rPr>
              <w:t>Employee costs for police secondments from Queensland Police Service (QPS)</w:t>
            </w:r>
            <w:r w:rsidRPr="00DF3006">
              <w:rPr>
                <w:rFonts w:cstheme="minorHAnsi"/>
                <w:color w:val="414042" w:themeColor="text1"/>
                <w:szCs w:val="20"/>
                <w:lang w:eastAsia="en-AU"/>
              </w:rPr>
              <w:t>²</w:t>
            </w:r>
          </w:p>
        </w:tc>
        <w:tc>
          <w:tcPr>
            <w:tcW w:w="142" w:type="dxa"/>
            <w:tcBorders>
              <w:top w:val="nil"/>
              <w:bottom w:val="nil"/>
            </w:tcBorders>
            <w:noWrap/>
            <w:tcMar>
              <w:left w:w="0" w:type="dxa"/>
              <w:right w:w="0" w:type="dxa"/>
            </w:tcMar>
            <w:vAlign w:val="bottom"/>
          </w:tcPr>
          <w:p w14:paraId="3662B55E" w14:textId="77777777" w:rsidR="00FC17BC" w:rsidRPr="00DF3006" w:rsidRDefault="00FC17BC" w:rsidP="00025E55">
            <w:pPr>
              <w:pStyle w:val="Normaltabletextleft"/>
              <w:spacing w:line="240" w:lineRule="auto"/>
              <w:rPr>
                <w:b/>
                <w:color w:val="414042" w:themeColor="text1"/>
                <w:szCs w:val="20"/>
                <w:lang w:eastAsia="en-AU"/>
              </w:rPr>
            </w:pPr>
          </w:p>
        </w:tc>
        <w:tc>
          <w:tcPr>
            <w:tcW w:w="1134" w:type="dxa"/>
            <w:tcBorders>
              <w:top w:val="nil"/>
              <w:bottom w:val="single" w:sz="4" w:space="0" w:color="auto"/>
            </w:tcBorders>
            <w:shd w:val="clear" w:color="auto" w:fill="D9D9D9" w:themeFill="background1" w:themeFillShade="D9"/>
            <w:noWrap/>
            <w:tcMar>
              <w:left w:w="0" w:type="dxa"/>
              <w:right w:w="113" w:type="dxa"/>
            </w:tcMar>
            <w:vAlign w:val="bottom"/>
          </w:tcPr>
          <w:p w14:paraId="03D4B63D"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1,160</w:t>
            </w:r>
          </w:p>
        </w:tc>
        <w:tc>
          <w:tcPr>
            <w:tcW w:w="283" w:type="dxa"/>
            <w:tcBorders>
              <w:top w:val="nil"/>
              <w:bottom w:val="nil"/>
            </w:tcBorders>
            <w:noWrap/>
            <w:tcMar>
              <w:left w:w="0" w:type="dxa"/>
              <w:right w:w="0" w:type="dxa"/>
            </w:tcMar>
            <w:vAlign w:val="bottom"/>
          </w:tcPr>
          <w:p w14:paraId="125FE288"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038240DE"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1,110</w:t>
            </w:r>
          </w:p>
        </w:tc>
      </w:tr>
      <w:tr w:rsidR="00DF3006" w:rsidRPr="00DF3006" w14:paraId="7F6EB03C" w14:textId="77777777" w:rsidTr="00025E55">
        <w:trPr>
          <w:trHeight w:val="20"/>
        </w:trPr>
        <w:tc>
          <w:tcPr>
            <w:tcW w:w="4029" w:type="dxa"/>
            <w:tcBorders>
              <w:top w:val="nil"/>
              <w:left w:val="nil"/>
              <w:bottom w:val="nil"/>
              <w:right w:val="nil"/>
            </w:tcBorders>
          </w:tcPr>
          <w:p w14:paraId="7A497C13" w14:textId="77777777" w:rsidR="00FC17BC" w:rsidRPr="00DF3006" w:rsidRDefault="00FC17BC" w:rsidP="00025E55">
            <w:pPr>
              <w:pStyle w:val="Normaltabletextleft"/>
              <w:spacing w:line="240" w:lineRule="auto"/>
              <w:rPr>
                <w:b/>
                <w:color w:val="414042" w:themeColor="text1"/>
                <w:szCs w:val="20"/>
                <w:lang w:eastAsia="en-AU"/>
              </w:rPr>
            </w:pPr>
          </w:p>
        </w:tc>
        <w:tc>
          <w:tcPr>
            <w:tcW w:w="2492" w:type="dxa"/>
            <w:tcBorders>
              <w:top w:val="nil"/>
              <w:left w:val="nil"/>
              <w:bottom w:val="nil"/>
            </w:tcBorders>
            <w:vAlign w:val="bottom"/>
          </w:tcPr>
          <w:p w14:paraId="7029E6AD" w14:textId="77777777" w:rsidR="00FC17BC" w:rsidRPr="00DF3006" w:rsidRDefault="00FC17BC" w:rsidP="00025E55">
            <w:pPr>
              <w:pStyle w:val="Normaltabletextleft"/>
              <w:spacing w:line="240" w:lineRule="auto"/>
              <w:rPr>
                <w:b/>
                <w:color w:val="414042" w:themeColor="text1"/>
                <w:szCs w:val="20"/>
                <w:lang w:eastAsia="en-AU"/>
              </w:rPr>
            </w:pPr>
          </w:p>
        </w:tc>
        <w:tc>
          <w:tcPr>
            <w:tcW w:w="142" w:type="dxa"/>
            <w:tcBorders>
              <w:top w:val="nil"/>
              <w:bottom w:val="nil"/>
            </w:tcBorders>
            <w:noWrap/>
            <w:tcMar>
              <w:left w:w="0" w:type="dxa"/>
              <w:right w:w="0" w:type="dxa"/>
            </w:tcMar>
            <w:vAlign w:val="bottom"/>
          </w:tcPr>
          <w:p w14:paraId="12836BC5" w14:textId="77777777" w:rsidR="00FC17BC" w:rsidRPr="00DF3006" w:rsidRDefault="00FC17BC" w:rsidP="00025E55">
            <w:pPr>
              <w:pStyle w:val="Normaltabletextleft"/>
              <w:spacing w:line="240" w:lineRule="auto"/>
              <w:rPr>
                <w:b/>
                <w:color w:val="414042" w:themeColor="text1"/>
                <w:szCs w:val="20"/>
                <w:lang w:eastAsia="en-AU"/>
              </w:rPr>
            </w:pPr>
          </w:p>
        </w:tc>
        <w:tc>
          <w:tcPr>
            <w:tcW w:w="1134" w:type="dxa"/>
            <w:tcBorders>
              <w:top w:val="single" w:sz="4" w:space="0" w:color="auto"/>
              <w:bottom w:val="nil"/>
            </w:tcBorders>
            <w:shd w:val="clear" w:color="auto" w:fill="D9D9D9" w:themeFill="background1" w:themeFillShade="D9"/>
            <w:noWrap/>
            <w:tcMar>
              <w:left w:w="0" w:type="dxa"/>
              <w:right w:w="113" w:type="dxa"/>
            </w:tcMar>
            <w:vAlign w:val="bottom"/>
          </w:tcPr>
          <w:p w14:paraId="56CA0DDA"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1,302</w:t>
            </w:r>
          </w:p>
        </w:tc>
        <w:tc>
          <w:tcPr>
            <w:tcW w:w="283" w:type="dxa"/>
            <w:tcBorders>
              <w:top w:val="nil"/>
              <w:bottom w:val="nil"/>
            </w:tcBorders>
            <w:noWrap/>
            <w:tcMar>
              <w:left w:w="0" w:type="dxa"/>
              <w:right w:w="0" w:type="dxa"/>
            </w:tcMar>
            <w:vAlign w:val="bottom"/>
          </w:tcPr>
          <w:p w14:paraId="20824142" w14:textId="77777777" w:rsidR="00FC17BC" w:rsidRPr="00DF3006" w:rsidRDefault="00FC17BC" w:rsidP="00025E55">
            <w:pPr>
              <w:pStyle w:val="Normaltabletextcentred"/>
              <w:spacing w:line="240" w:lineRule="auto"/>
              <w:rPr>
                <w:b/>
                <w:color w:val="414042" w:themeColor="text1"/>
                <w:szCs w:val="20"/>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vAlign w:val="bottom"/>
          </w:tcPr>
          <w:p w14:paraId="400E4B61"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1,245</w:t>
            </w:r>
          </w:p>
        </w:tc>
      </w:tr>
      <w:tr w:rsidR="00DF3006" w:rsidRPr="00DF3006" w14:paraId="6300926B" w14:textId="77777777" w:rsidTr="00025E55">
        <w:trPr>
          <w:trHeight w:val="20"/>
        </w:trPr>
        <w:tc>
          <w:tcPr>
            <w:tcW w:w="4029" w:type="dxa"/>
            <w:tcBorders>
              <w:top w:val="nil"/>
              <w:left w:val="nil"/>
              <w:bottom w:val="nil"/>
              <w:right w:val="nil"/>
            </w:tcBorders>
          </w:tcPr>
          <w:p w14:paraId="546BF27E" w14:textId="77777777" w:rsidR="00FC17BC" w:rsidRPr="00DF3006" w:rsidRDefault="00FC17BC" w:rsidP="00025E55">
            <w:pPr>
              <w:pStyle w:val="Normaltabletextleft"/>
              <w:spacing w:line="240" w:lineRule="auto"/>
              <w:rPr>
                <w:b/>
                <w:color w:val="414042" w:themeColor="text1"/>
                <w:szCs w:val="20"/>
                <w:lang w:eastAsia="en-AU"/>
              </w:rPr>
            </w:pPr>
          </w:p>
        </w:tc>
        <w:tc>
          <w:tcPr>
            <w:tcW w:w="2492" w:type="dxa"/>
            <w:tcBorders>
              <w:top w:val="nil"/>
              <w:left w:val="nil"/>
              <w:bottom w:val="nil"/>
            </w:tcBorders>
            <w:vAlign w:val="bottom"/>
          </w:tcPr>
          <w:p w14:paraId="4C42BFFD" w14:textId="77777777" w:rsidR="00FC17BC" w:rsidRPr="00DF3006" w:rsidRDefault="00FC17BC" w:rsidP="00025E55">
            <w:pPr>
              <w:pStyle w:val="Normaltabletextleft"/>
              <w:spacing w:line="240" w:lineRule="auto"/>
              <w:rPr>
                <w:b/>
                <w:color w:val="414042" w:themeColor="text1"/>
                <w:szCs w:val="20"/>
                <w:lang w:eastAsia="en-AU"/>
              </w:rPr>
            </w:pPr>
          </w:p>
        </w:tc>
        <w:tc>
          <w:tcPr>
            <w:tcW w:w="142" w:type="dxa"/>
            <w:tcBorders>
              <w:top w:val="nil"/>
              <w:bottom w:val="nil"/>
            </w:tcBorders>
            <w:noWrap/>
            <w:tcMar>
              <w:left w:w="0" w:type="dxa"/>
              <w:right w:w="0" w:type="dxa"/>
            </w:tcMar>
            <w:vAlign w:val="bottom"/>
          </w:tcPr>
          <w:p w14:paraId="37CC1C2F" w14:textId="77777777" w:rsidR="00FC17BC" w:rsidRPr="00DF3006" w:rsidRDefault="00FC17BC" w:rsidP="00025E55">
            <w:pPr>
              <w:pStyle w:val="Normaltabletextleft"/>
              <w:spacing w:line="240" w:lineRule="auto"/>
              <w:rPr>
                <w:b/>
                <w:color w:val="414042" w:themeColor="text1"/>
                <w:szCs w:val="20"/>
                <w:lang w:eastAsia="en-AU"/>
              </w:rPr>
            </w:pPr>
          </w:p>
        </w:tc>
        <w:tc>
          <w:tcPr>
            <w:tcW w:w="1134" w:type="dxa"/>
            <w:tcBorders>
              <w:top w:val="nil"/>
              <w:bottom w:val="single" w:sz="4" w:space="0" w:color="auto"/>
            </w:tcBorders>
            <w:shd w:val="clear" w:color="auto" w:fill="D9D9D9" w:themeFill="background1" w:themeFillShade="D9"/>
            <w:noWrap/>
            <w:tcMar>
              <w:left w:w="0" w:type="dxa"/>
              <w:right w:w="113" w:type="dxa"/>
            </w:tcMar>
            <w:vAlign w:val="bottom"/>
          </w:tcPr>
          <w:p w14:paraId="2C6217A9" w14:textId="77777777" w:rsidR="00FC17BC" w:rsidRPr="00DF3006" w:rsidRDefault="00FC17BC" w:rsidP="00025E55">
            <w:pPr>
              <w:pStyle w:val="Normaltabletext1stpararight"/>
              <w:spacing w:line="240" w:lineRule="auto"/>
              <w:jc w:val="center"/>
              <w:rPr>
                <w:b/>
                <w:color w:val="414042" w:themeColor="text1"/>
                <w:szCs w:val="20"/>
                <w:lang w:eastAsia="en-AU"/>
              </w:rPr>
            </w:pPr>
          </w:p>
        </w:tc>
        <w:tc>
          <w:tcPr>
            <w:tcW w:w="283" w:type="dxa"/>
            <w:tcBorders>
              <w:top w:val="nil"/>
              <w:bottom w:val="nil"/>
            </w:tcBorders>
            <w:noWrap/>
            <w:tcMar>
              <w:left w:w="0" w:type="dxa"/>
              <w:right w:w="0" w:type="dxa"/>
            </w:tcMar>
            <w:vAlign w:val="bottom"/>
          </w:tcPr>
          <w:p w14:paraId="4A32670A" w14:textId="77777777" w:rsidR="00FC17BC" w:rsidRPr="00DF3006" w:rsidRDefault="00FC17BC" w:rsidP="00025E55">
            <w:pPr>
              <w:pStyle w:val="Normaltabletextcentred"/>
              <w:spacing w:line="240" w:lineRule="auto"/>
              <w:rPr>
                <w:b/>
                <w:color w:val="414042" w:themeColor="text1"/>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0AA7D0C3" w14:textId="77777777" w:rsidR="00FC17BC" w:rsidRPr="00DF3006" w:rsidRDefault="00FC17BC" w:rsidP="00025E55">
            <w:pPr>
              <w:pStyle w:val="Normaltabletext1stpararight"/>
              <w:spacing w:line="240" w:lineRule="auto"/>
              <w:jc w:val="center"/>
              <w:rPr>
                <w:b/>
                <w:color w:val="414042" w:themeColor="text1"/>
                <w:szCs w:val="20"/>
                <w:lang w:eastAsia="en-AU"/>
              </w:rPr>
            </w:pPr>
          </w:p>
        </w:tc>
      </w:tr>
      <w:tr w:rsidR="00DF3006" w:rsidRPr="00DF3006" w14:paraId="3FE7A35E" w14:textId="77777777" w:rsidTr="00025E55">
        <w:trPr>
          <w:trHeight w:val="20"/>
        </w:trPr>
        <w:tc>
          <w:tcPr>
            <w:tcW w:w="4029" w:type="dxa"/>
            <w:tcBorders>
              <w:top w:val="nil"/>
              <w:left w:val="nil"/>
              <w:bottom w:val="nil"/>
              <w:right w:val="nil"/>
            </w:tcBorders>
          </w:tcPr>
          <w:p w14:paraId="27FDFAF3" w14:textId="77777777" w:rsidR="00FC17BC" w:rsidRPr="00DF3006" w:rsidRDefault="00FC17BC" w:rsidP="00025E55">
            <w:pPr>
              <w:pStyle w:val="Normaltabletextleft"/>
              <w:spacing w:line="240" w:lineRule="auto"/>
              <w:rPr>
                <w:b/>
                <w:color w:val="414042" w:themeColor="text1"/>
                <w:szCs w:val="20"/>
                <w:lang w:eastAsia="en-AU"/>
              </w:rPr>
            </w:pPr>
            <w:r w:rsidRPr="00DF3006">
              <w:rPr>
                <w:b/>
                <w:color w:val="414042" w:themeColor="text1"/>
                <w:szCs w:val="20"/>
                <w:lang w:eastAsia="en-AU"/>
              </w:rPr>
              <w:t>Total</w:t>
            </w:r>
          </w:p>
        </w:tc>
        <w:tc>
          <w:tcPr>
            <w:tcW w:w="2492" w:type="dxa"/>
            <w:tcBorders>
              <w:top w:val="nil"/>
              <w:left w:val="nil"/>
              <w:bottom w:val="nil"/>
            </w:tcBorders>
            <w:vAlign w:val="bottom"/>
          </w:tcPr>
          <w:p w14:paraId="5590FB37" w14:textId="77777777" w:rsidR="00FC17BC" w:rsidRPr="00DF3006" w:rsidRDefault="00FC17BC" w:rsidP="00025E55">
            <w:pPr>
              <w:pStyle w:val="Normaltabletextleft"/>
              <w:spacing w:line="240" w:lineRule="auto"/>
              <w:rPr>
                <w:b/>
                <w:color w:val="414042" w:themeColor="text1"/>
                <w:szCs w:val="20"/>
                <w:lang w:eastAsia="en-AU"/>
              </w:rPr>
            </w:pPr>
          </w:p>
        </w:tc>
        <w:tc>
          <w:tcPr>
            <w:tcW w:w="142" w:type="dxa"/>
            <w:tcBorders>
              <w:top w:val="nil"/>
              <w:bottom w:val="nil"/>
            </w:tcBorders>
            <w:noWrap/>
            <w:tcMar>
              <w:left w:w="0" w:type="dxa"/>
              <w:right w:w="0" w:type="dxa"/>
            </w:tcMar>
            <w:vAlign w:val="bottom"/>
          </w:tcPr>
          <w:p w14:paraId="36025D00" w14:textId="77777777" w:rsidR="00FC17BC" w:rsidRPr="00DF3006" w:rsidRDefault="00FC17BC" w:rsidP="00025E55">
            <w:pPr>
              <w:pStyle w:val="Normaltabletextleft"/>
              <w:spacing w:line="240" w:lineRule="auto"/>
              <w:rPr>
                <w:b/>
                <w:color w:val="414042" w:themeColor="text1"/>
                <w:szCs w:val="20"/>
                <w:lang w:eastAsia="en-AU"/>
              </w:rPr>
            </w:pPr>
          </w:p>
        </w:tc>
        <w:tc>
          <w:tcPr>
            <w:tcW w:w="1134"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13B691AF" w14:textId="77777777" w:rsidR="00FC17BC" w:rsidRPr="00DF3006" w:rsidRDefault="00FC17BC" w:rsidP="00025E55">
            <w:pPr>
              <w:pStyle w:val="Normaltabletext1stpararight"/>
              <w:spacing w:line="240" w:lineRule="auto"/>
              <w:rPr>
                <w:b/>
                <w:color w:val="414042" w:themeColor="text1"/>
                <w:szCs w:val="20"/>
                <w:lang w:eastAsia="en-AU"/>
              </w:rPr>
            </w:pPr>
            <w:r w:rsidRPr="00DF3006">
              <w:rPr>
                <w:b/>
                <w:color w:val="414042" w:themeColor="text1"/>
                <w:szCs w:val="20"/>
                <w:lang w:eastAsia="en-AU"/>
              </w:rPr>
              <w:t>68,347</w:t>
            </w:r>
          </w:p>
        </w:tc>
        <w:tc>
          <w:tcPr>
            <w:tcW w:w="283" w:type="dxa"/>
            <w:tcBorders>
              <w:top w:val="nil"/>
              <w:bottom w:val="nil"/>
            </w:tcBorders>
            <w:noWrap/>
            <w:tcMar>
              <w:left w:w="0" w:type="dxa"/>
              <w:right w:w="0" w:type="dxa"/>
            </w:tcMar>
            <w:vAlign w:val="bottom"/>
          </w:tcPr>
          <w:p w14:paraId="5DFFA164" w14:textId="77777777" w:rsidR="00FC17BC" w:rsidRPr="00DF3006" w:rsidRDefault="00FC17BC" w:rsidP="00025E55">
            <w:pPr>
              <w:pStyle w:val="Normaltabletextcentred"/>
              <w:spacing w:line="240" w:lineRule="auto"/>
              <w:rPr>
                <w:b/>
                <w:color w:val="414042" w:themeColor="text1"/>
                <w:szCs w:val="20"/>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32DF69B9" w14:textId="77777777" w:rsidR="00FC17BC" w:rsidRPr="00DF3006" w:rsidRDefault="00FC17BC" w:rsidP="00025E55">
            <w:pPr>
              <w:pStyle w:val="Normaltabletext1stpararight"/>
              <w:spacing w:line="240" w:lineRule="auto"/>
              <w:rPr>
                <w:b/>
                <w:color w:val="414042" w:themeColor="text1"/>
                <w:szCs w:val="20"/>
                <w:lang w:eastAsia="en-AU"/>
              </w:rPr>
            </w:pPr>
            <w:r w:rsidRPr="00DF3006">
              <w:rPr>
                <w:b/>
                <w:color w:val="414042" w:themeColor="text1"/>
                <w:szCs w:val="20"/>
                <w:lang w:eastAsia="en-AU"/>
              </w:rPr>
              <w:t>65,142</w:t>
            </w:r>
          </w:p>
        </w:tc>
      </w:tr>
      <w:tr w:rsidR="00DF3006" w:rsidRPr="00DF3006" w14:paraId="4E13E3C5" w14:textId="77777777" w:rsidTr="00025E55">
        <w:trPr>
          <w:trHeight w:val="20"/>
        </w:trPr>
        <w:tc>
          <w:tcPr>
            <w:tcW w:w="4029" w:type="dxa"/>
            <w:tcBorders>
              <w:top w:val="nil"/>
              <w:left w:val="nil"/>
              <w:bottom w:val="nil"/>
              <w:right w:val="nil"/>
            </w:tcBorders>
          </w:tcPr>
          <w:p w14:paraId="347319BA" w14:textId="77777777" w:rsidR="00FC17BC" w:rsidRPr="00DF3006" w:rsidRDefault="00FC17BC" w:rsidP="00025E55">
            <w:pPr>
              <w:pStyle w:val="Normaltabletextleft"/>
              <w:spacing w:line="240" w:lineRule="auto"/>
              <w:rPr>
                <w:color w:val="414042" w:themeColor="text1"/>
                <w:szCs w:val="20"/>
                <w:lang w:eastAsia="en-AU"/>
              </w:rPr>
            </w:pPr>
          </w:p>
          <w:p w14:paraId="3EAEC079" w14:textId="77777777" w:rsidR="00FC17BC" w:rsidRPr="00DF3006" w:rsidRDefault="00FC17BC" w:rsidP="00025E55">
            <w:pPr>
              <w:pStyle w:val="Normaltabletextleft"/>
              <w:spacing w:line="240" w:lineRule="auto"/>
              <w:rPr>
                <w:color w:val="414042" w:themeColor="text1"/>
                <w:szCs w:val="20"/>
                <w:lang w:eastAsia="en-AU"/>
              </w:rPr>
            </w:pPr>
          </w:p>
        </w:tc>
        <w:tc>
          <w:tcPr>
            <w:tcW w:w="2492" w:type="dxa"/>
            <w:tcBorders>
              <w:top w:val="nil"/>
              <w:left w:val="nil"/>
              <w:bottom w:val="nil"/>
            </w:tcBorders>
            <w:vAlign w:val="bottom"/>
          </w:tcPr>
          <w:p w14:paraId="511ABBDF" w14:textId="77777777" w:rsidR="00FC17BC" w:rsidRPr="00DF3006" w:rsidRDefault="00FC17BC" w:rsidP="00025E55">
            <w:pPr>
              <w:pStyle w:val="Normaltabletextleft"/>
              <w:spacing w:line="240" w:lineRule="auto"/>
              <w:rPr>
                <w:color w:val="414042" w:themeColor="text1"/>
                <w:szCs w:val="20"/>
                <w:lang w:eastAsia="en-AU"/>
              </w:rPr>
            </w:pPr>
          </w:p>
        </w:tc>
        <w:tc>
          <w:tcPr>
            <w:tcW w:w="142" w:type="dxa"/>
            <w:tcBorders>
              <w:top w:val="nil"/>
              <w:bottom w:val="nil"/>
            </w:tcBorders>
            <w:noWrap/>
            <w:tcMar>
              <w:left w:w="0" w:type="dxa"/>
              <w:right w:w="0" w:type="dxa"/>
            </w:tcMar>
            <w:vAlign w:val="bottom"/>
          </w:tcPr>
          <w:p w14:paraId="09A632A8" w14:textId="77777777" w:rsidR="00FC17BC" w:rsidRPr="00DF3006" w:rsidRDefault="00FC17BC" w:rsidP="00025E55">
            <w:pPr>
              <w:pStyle w:val="Normaltabletextleft"/>
              <w:spacing w:line="240" w:lineRule="auto"/>
              <w:rPr>
                <w:b/>
                <w:color w:val="414042" w:themeColor="text1"/>
                <w:szCs w:val="20"/>
                <w:lang w:eastAsia="en-AU"/>
              </w:rPr>
            </w:pPr>
          </w:p>
        </w:tc>
        <w:tc>
          <w:tcPr>
            <w:tcW w:w="1134" w:type="dxa"/>
            <w:tcBorders>
              <w:top w:val="double" w:sz="4" w:space="0" w:color="auto"/>
              <w:bottom w:val="nil"/>
            </w:tcBorders>
            <w:shd w:val="clear" w:color="auto" w:fill="auto"/>
            <w:noWrap/>
            <w:tcMar>
              <w:left w:w="0" w:type="dxa"/>
              <w:right w:w="113" w:type="dxa"/>
            </w:tcMar>
            <w:vAlign w:val="bottom"/>
          </w:tcPr>
          <w:p w14:paraId="47F205F0" w14:textId="77777777" w:rsidR="00FC17BC" w:rsidRPr="00DF3006" w:rsidRDefault="00FC17BC" w:rsidP="00025E55">
            <w:pPr>
              <w:pStyle w:val="Normaltabletext1stpararight"/>
              <w:spacing w:line="240" w:lineRule="auto"/>
              <w:rPr>
                <w:color w:val="414042" w:themeColor="text1"/>
                <w:szCs w:val="20"/>
                <w:lang w:eastAsia="en-AU"/>
              </w:rPr>
            </w:pPr>
          </w:p>
        </w:tc>
        <w:tc>
          <w:tcPr>
            <w:tcW w:w="283" w:type="dxa"/>
            <w:tcBorders>
              <w:top w:val="nil"/>
              <w:bottom w:val="nil"/>
            </w:tcBorders>
            <w:noWrap/>
            <w:tcMar>
              <w:left w:w="0" w:type="dxa"/>
              <w:right w:w="0" w:type="dxa"/>
            </w:tcMar>
            <w:vAlign w:val="bottom"/>
          </w:tcPr>
          <w:p w14:paraId="2ADA96CA" w14:textId="77777777" w:rsidR="00FC17BC" w:rsidRPr="00DF3006" w:rsidRDefault="00FC17BC" w:rsidP="00025E55">
            <w:pPr>
              <w:pStyle w:val="Normaltabletextcentred"/>
              <w:spacing w:line="240" w:lineRule="auto"/>
              <w:rPr>
                <w:color w:val="414042" w:themeColor="text1"/>
                <w:szCs w:val="20"/>
                <w:lang w:eastAsia="en-AU"/>
              </w:rPr>
            </w:pPr>
          </w:p>
        </w:tc>
        <w:tc>
          <w:tcPr>
            <w:tcW w:w="1134" w:type="dxa"/>
            <w:tcBorders>
              <w:top w:val="double" w:sz="4" w:space="0" w:color="auto"/>
              <w:bottom w:val="nil"/>
              <w:right w:val="nil"/>
            </w:tcBorders>
            <w:noWrap/>
            <w:tcMar>
              <w:left w:w="0" w:type="dxa"/>
              <w:right w:w="113" w:type="dxa"/>
            </w:tcMar>
            <w:vAlign w:val="bottom"/>
          </w:tcPr>
          <w:p w14:paraId="1ED78B9E" w14:textId="77777777" w:rsidR="00FC17BC" w:rsidRPr="00DF3006" w:rsidRDefault="00FC17BC" w:rsidP="00025E55">
            <w:pPr>
              <w:pStyle w:val="Normaltabletext1stpararight"/>
              <w:spacing w:line="240" w:lineRule="auto"/>
              <w:rPr>
                <w:color w:val="414042" w:themeColor="text1"/>
                <w:szCs w:val="20"/>
                <w:lang w:eastAsia="en-AU"/>
              </w:rPr>
            </w:pPr>
          </w:p>
        </w:tc>
      </w:tr>
    </w:tbl>
    <w:bookmarkEnd w:id="1944"/>
    <w:p w14:paraId="6C15DF52" w14:textId="77777777" w:rsidR="00FC17BC" w:rsidRPr="00DF3006" w:rsidRDefault="00FC17BC" w:rsidP="00FC17BC">
      <w:pPr>
        <w:pStyle w:val="Noteswithhangingindent"/>
        <w:spacing w:line="240" w:lineRule="auto"/>
        <w:jc w:val="both"/>
      </w:pPr>
      <w:r w:rsidRPr="00DF3006">
        <w:rPr>
          <w:vertAlign w:val="superscript"/>
        </w:rPr>
        <w:t>1</w:t>
      </w:r>
      <w:r w:rsidRPr="00DF3006">
        <w:tab/>
        <w:t>The CCC is funded by parliamentary appropriations for the provision of its outputs. These appropriations are received by the Department of Justice and Attorney-General (</w:t>
      </w:r>
      <w:proofErr w:type="spellStart"/>
      <w:r w:rsidRPr="00DF3006">
        <w:t>DJAG</w:t>
      </w:r>
      <w:proofErr w:type="spellEnd"/>
      <w:r w:rsidRPr="00DF3006">
        <w:t>) and forwarded to the CCC on a quarterly basis in the form of a grant.</w:t>
      </w:r>
    </w:p>
    <w:p w14:paraId="1E253611" w14:textId="77777777" w:rsidR="00FC17BC" w:rsidRPr="00DF3006" w:rsidRDefault="00FC17BC" w:rsidP="00FC17BC">
      <w:pPr>
        <w:pStyle w:val="Noteswithhangingindent"/>
        <w:spacing w:line="240" w:lineRule="auto"/>
        <w:jc w:val="both"/>
      </w:pPr>
      <w:r w:rsidRPr="00DF3006">
        <w:rPr>
          <w:rFonts w:cstheme="minorHAnsi"/>
        </w:rPr>
        <w:t>²</w:t>
      </w:r>
      <w:r w:rsidRPr="00DF3006">
        <w:tab/>
        <w:t xml:space="preserve">As </w:t>
      </w:r>
      <w:proofErr w:type="gramStart"/>
      <w:r w:rsidRPr="00DF3006">
        <w:t>at</w:t>
      </w:r>
      <w:proofErr w:type="gramEnd"/>
      <w:r w:rsidRPr="00DF3006">
        <w:t xml:space="preserve"> 30 June 2023, 8 police FTEs were seconded to the CCC from the QPS and paid for by the QPS (2022: 8 police FTEs seconded). </w:t>
      </w:r>
    </w:p>
    <w:p w14:paraId="799B3EDE" w14:textId="53C7D411" w:rsidR="00C30C9B" w:rsidRPr="00DF3006" w:rsidRDefault="00C30C9B">
      <w:pPr>
        <w:spacing w:before="120" w:after="0" w:line="260" w:lineRule="exact"/>
        <w:rPr>
          <w:color w:val="414042" w:themeColor="text1"/>
        </w:rPr>
      </w:pPr>
      <w:r w:rsidRPr="00DF3006">
        <w:rPr>
          <w:color w:val="414042" w:themeColor="text1"/>
        </w:rPr>
        <w:br w:type="page"/>
      </w:r>
    </w:p>
    <w:p w14:paraId="692F9EFB" w14:textId="77777777" w:rsidR="00FC17BC" w:rsidRPr="00DF3006" w:rsidRDefault="00FC17BC" w:rsidP="00FC17BC">
      <w:pPr>
        <w:pStyle w:val="Normal115pttext"/>
        <w:spacing w:line="480" w:lineRule="auto"/>
        <w:rPr>
          <w:color w:val="414042" w:themeColor="text1"/>
        </w:rPr>
      </w:pPr>
      <w:r w:rsidRPr="00DF3006">
        <w:rPr>
          <w:color w:val="414042" w:themeColor="text1"/>
        </w:rPr>
        <w:t>Note 3:  Employee Expenses</w:t>
      </w:r>
    </w:p>
    <w:tbl>
      <w:tblPr>
        <w:tblStyle w:val="TableGrid"/>
        <w:tblW w:w="9209" w:type="dxa"/>
        <w:tblCellMar>
          <w:top w:w="113" w:type="dxa"/>
          <w:bottom w:w="113" w:type="dxa"/>
        </w:tblCellMar>
        <w:tblLook w:val="04A0" w:firstRow="1" w:lastRow="0" w:firstColumn="1" w:lastColumn="0" w:noHBand="0" w:noVBand="1"/>
      </w:tblPr>
      <w:tblGrid>
        <w:gridCol w:w="9209"/>
      </w:tblGrid>
      <w:tr w:rsidR="00FC17BC" w:rsidRPr="00DF3006" w14:paraId="114AB68C" w14:textId="77777777" w:rsidTr="00025E55">
        <w:tc>
          <w:tcPr>
            <w:tcW w:w="9209" w:type="dxa"/>
          </w:tcPr>
          <w:p w14:paraId="62F2F8E5" w14:textId="77777777" w:rsidR="00FC17BC" w:rsidRPr="00DF3006" w:rsidRDefault="00FC17BC" w:rsidP="00025E55">
            <w:pPr>
              <w:pStyle w:val="Policyheading"/>
              <w:spacing w:line="240" w:lineRule="auto"/>
              <w:rPr>
                <w:color w:val="414042" w:themeColor="text1"/>
                <w:sz w:val="22"/>
                <w:szCs w:val="22"/>
              </w:rPr>
            </w:pPr>
            <w:r w:rsidRPr="00DF3006">
              <w:rPr>
                <w:color w:val="414042" w:themeColor="text1"/>
                <w:sz w:val="22"/>
                <w:szCs w:val="22"/>
              </w:rPr>
              <w:t>Accounting Policy:</w:t>
            </w:r>
          </w:p>
          <w:p w14:paraId="1E4350BF" w14:textId="77777777" w:rsidR="00FC17BC" w:rsidRPr="00DF3006" w:rsidRDefault="00FC17BC" w:rsidP="00025E55">
            <w:pPr>
              <w:pStyle w:val="Policy1stpara"/>
              <w:spacing w:line="240" w:lineRule="auto"/>
              <w:rPr>
                <w:color w:val="414042" w:themeColor="text1"/>
              </w:rPr>
            </w:pPr>
            <w:r w:rsidRPr="00DF3006">
              <w:rPr>
                <w:b/>
                <w:i/>
                <w:color w:val="414042" w:themeColor="text1"/>
              </w:rPr>
              <w:t>Wages, Salaries and Sick Leave</w:t>
            </w:r>
            <w:r w:rsidRPr="00DF3006">
              <w:rPr>
                <w:i/>
                <w:color w:val="414042" w:themeColor="text1"/>
              </w:rPr>
              <w:t xml:space="preserve"> – </w:t>
            </w:r>
            <w:r w:rsidRPr="00DF3006">
              <w:rPr>
                <w:color w:val="414042" w:themeColor="text1"/>
              </w:rPr>
              <w:t>Salaries and wages due but unpaid at reporting date are recognised as a liability in the Statement of Financial Position. As the CCC expects such liabilities to be wholly settled within 12 months of reporting date, the liabilities are recognised at undiscounted amounts. Refer to Note 13 for balances.</w:t>
            </w:r>
          </w:p>
          <w:p w14:paraId="177D63EA" w14:textId="77777777" w:rsidR="00FC17BC" w:rsidRPr="00DF3006" w:rsidRDefault="00FC17BC" w:rsidP="00025E55">
            <w:pPr>
              <w:pStyle w:val="Policyfollowingparas"/>
              <w:spacing w:line="240" w:lineRule="auto"/>
              <w:rPr>
                <w:color w:val="414042" w:themeColor="text1"/>
              </w:rPr>
            </w:pPr>
            <w:r w:rsidRPr="00DF3006">
              <w:rPr>
                <w:color w:val="414042" w:themeColor="text1"/>
              </w:rPr>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406EC826" w14:textId="77777777" w:rsidR="00FC17BC" w:rsidRPr="00DF3006" w:rsidRDefault="00FC17BC" w:rsidP="00025E55">
            <w:pPr>
              <w:pStyle w:val="Policyfollowingparas"/>
              <w:spacing w:line="240" w:lineRule="auto"/>
              <w:rPr>
                <w:color w:val="414042" w:themeColor="text1"/>
              </w:rPr>
            </w:pPr>
          </w:p>
          <w:p w14:paraId="75011FDC" w14:textId="77777777" w:rsidR="00FC17BC" w:rsidRPr="00DF3006" w:rsidRDefault="00FC17BC" w:rsidP="00025E55">
            <w:pPr>
              <w:pStyle w:val="Policy1stpara"/>
              <w:spacing w:line="240" w:lineRule="auto"/>
              <w:rPr>
                <w:color w:val="414042" w:themeColor="text1"/>
              </w:rPr>
            </w:pPr>
            <w:r w:rsidRPr="00DF3006">
              <w:rPr>
                <w:b/>
                <w:i/>
                <w:color w:val="414042" w:themeColor="text1"/>
                <w:szCs w:val="19"/>
              </w:rPr>
              <w:t>Annual Leave</w:t>
            </w:r>
            <w:r w:rsidRPr="00DF3006">
              <w:rPr>
                <w:b/>
                <w:color w:val="414042" w:themeColor="text1"/>
                <w:szCs w:val="19"/>
              </w:rPr>
              <w:t xml:space="preserve"> – </w:t>
            </w:r>
            <w:r w:rsidRPr="00DF3006">
              <w:rPr>
                <w:color w:val="414042" w:themeColor="text1"/>
                <w:szCs w:val="19"/>
              </w:rPr>
              <w:t xml:space="preserve">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 Amounts paid to employees for annual leave are claimed from the scheme quarterly in arrears. </w:t>
            </w:r>
            <w:r w:rsidRPr="00DF3006">
              <w:rPr>
                <w:color w:val="414042" w:themeColor="text1"/>
              </w:rPr>
              <w:t>Refer to Note 13 for balances.</w:t>
            </w:r>
          </w:p>
          <w:p w14:paraId="473034C1" w14:textId="77777777" w:rsidR="00FC17BC" w:rsidRPr="00DF3006" w:rsidRDefault="00FC17BC" w:rsidP="00025E55">
            <w:pPr>
              <w:pStyle w:val="Policy1stpara"/>
              <w:spacing w:line="240" w:lineRule="auto"/>
              <w:rPr>
                <w:color w:val="414042" w:themeColor="text1"/>
              </w:rPr>
            </w:pPr>
          </w:p>
          <w:p w14:paraId="1F64B771" w14:textId="77777777" w:rsidR="00FC17BC" w:rsidRPr="00DF3006" w:rsidRDefault="00FC17BC" w:rsidP="00025E55">
            <w:pPr>
              <w:pStyle w:val="Policy1stpara"/>
              <w:spacing w:line="240" w:lineRule="auto"/>
              <w:rPr>
                <w:color w:val="414042" w:themeColor="text1"/>
              </w:rPr>
            </w:pPr>
            <w:r w:rsidRPr="00DF3006">
              <w:rPr>
                <w:b/>
                <w:i/>
                <w:color w:val="414042" w:themeColor="text1"/>
              </w:rPr>
              <w:t xml:space="preserve">Long Service Leave – </w:t>
            </w:r>
            <w:r w:rsidRPr="00DF3006">
              <w:rPr>
                <w:color w:val="414042" w:themeColor="text1"/>
              </w:rPr>
              <w:t>Under the Queensland Government’s Long Service Leave Central Scheme, a levy is applied on the CCC to cover the cost of employees’ long service leave. Levies are expensed in the period in which they are payable. Amounts paid to employees for long service leave are claimed from the scheme quarterly in arrears. Refer to Note 13 for balances.</w:t>
            </w:r>
          </w:p>
          <w:p w14:paraId="75DE3008" w14:textId="77777777" w:rsidR="00FC17BC" w:rsidRPr="00DF3006" w:rsidRDefault="00FC17BC" w:rsidP="00025E55">
            <w:pPr>
              <w:pStyle w:val="Policyfollowingparas"/>
              <w:spacing w:line="240" w:lineRule="auto"/>
              <w:rPr>
                <w:i/>
                <w:color w:val="414042" w:themeColor="text1"/>
              </w:rPr>
            </w:pPr>
            <w:r w:rsidRPr="00DF3006">
              <w:rPr>
                <w:color w:val="414042" w:themeColor="text1"/>
              </w:rPr>
              <w:t xml:space="preserve">No provision for long service leave is recognised in the CCC’s financial statements, the liability being held on a whole-of-government basis and reported in those financial statements, pursuant to </w:t>
            </w:r>
            <w:proofErr w:type="spellStart"/>
            <w:r w:rsidRPr="00DF3006">
              <w:rPr>
                <w:color w:val="414042" w:themeColor="text1"/>
              </w:rPr>
              <w:t>AASB</w:t>
            </w:r>
            <w:proofErr w:type="spellEnd"/>
            <w:r w:rsidRPr="00DF3006">
              <w:rPr>
                <w:color w:val="414042" w:themeColor="text1"/>
              </w:rPr>
              <w:t xml:space="preserve"> 1049 </w:t>
            </w:r>
            <w:r w:rsidRPr="00DF3006">
              <w:rPr>
                <w:i/>
                <w:color w:val="414042" w:themeColor="text1"/>
              </w:rPr>
              <w:t>Whole of Government and General Government Sector Financial Reporting.</w:t>
            </w:r>
          </w:p>
          <w:p w14:paraId="67E595C5" w14:textId="77777777" w:rsidR="00FC17BC" w:rsidRPr="00DF3006" w:rsidRDefault="00FC17BC" w:rsidP="00025E55">
            <w:pPr>
              <w:pStyle w:val="Policyfollowingparas"/>
              <w:spacing w:line="240" w:lineRule="auto"/>
              <w:rPr>
                <w:color w:val="414042" w:themeColor="text1"/>
              </w:rPr>
            </w:pPr>
          </w:p>
          <w:p w14:paraId="6DAF91F0" w14:textId="77777777" w:rsidR="00FC17BC" w:rsidRPr="00DF3006" w:rsidRDefault="00FC17BC" w:rsidP="00025E55">
            <w:pPr>
              <w:pStyle w:val="Policy1stpara"/>
              <w:spacing w:line="240" w:lineRule="auto"/>
              <w:rPr>
                <w:color w:val="414042" w:themeColor="text1"/>
              </w:rPr>
            </w:pPr>
            <w:r w:rsidRPr="00DF3006">
              <w:rPr>
                <w:b/>
                <w:i/>
                <w:color w:val="414042" w:themeColor="text1"/>
              </w:rPr>
              <w:t xml:space="preserve">Superannuation – </w:t>
            </w:r>
            <w:r w:rsidRPr="00DF3006">
              <w:rPr>
                <w:color w:val="414042" w:themeColor="text1"/>
              </w:rPr>
              <w:t xml:space="preserve">Post-employment benefits for superannuation are provided through defined contribution (accumulation) plans or the Queensland Government’s QSuper defined benefit plan as determined by the employee’s conditions of employment. </w:t>
            </w:r>
          </w:p>
          <w:p w14:paraId="037E8932" w14:textId="77777777" w:rsidR="00FC17BC" w:rsidRPr="00DF3006" w:rsidRDefault="00FC17BC" w:rsidP="00025E55">
            <w:pPr>
              <w:pStyle w:val="Policy1stpara"/>
              <w:spacing w:line="240" w:lineRule="auto"/>
              <w:rPr>
                <w:i/>
                <w:color w:val="414042" w:themeColor="text1"/>
                <w:u w:val="single"/>
              </w:rPr>
            </w:pPr>
          </w:p>
          <w:p w14:paraId="2861F0F2" w14:textId="77777777" w:rsidR="00FC17BC" w:rsidRPr="00DF3006" w:rsidRDefault="00FC17BC" w:rsidP="00025E55">
            <w:pPr>
              <w:pStyle w:val="Policy1stpara"/>
              <w:spacing w:line="240" w:lineRule="auto"/>
              <w:rPr>
                <w:color w:val="414042" w:themeColor="text1"/>
              </w:rPr>
            </w:pPr>
            <w:r w:rsidRPr="00DF3006">
              <w:rPr>
                <w:i/>
                <w:color w:val="414042" w:themeColor="text1"/>
                <w:u w:val="single"/>
              </w:rPr>
              <w:t>Defined Contribution Plans</w:t>
            </w:r>
            <w:r w:rsidRPr="00DF3006">
              <w:rPr>
                <w:color w:val="414042" w:themeColor="text1"/>
              </w:rPr>
              <w:t xml:space="preserve"> - Contributions are made to eligible complying superannuation funds based on the rates specified in the relevant Enterprise Bargaining Agreement (</w:t>
            </w:r>
            <w:proofErr w:type="spellStart"/>
            <w:r w:rsidRPr="00DF3006">
              <w:rPr>
                <w:color w:val="414042" w:themeColor="text1"/>
              </w:rPr>
              <w:t>EBA</w:t>
            </w:r>
            <w:proofErr w:type="spellEnd"/>
            <w:r w:rsidRPr="00DF3006">
              <w:rPr>
                <w:color w:val="414042" w:themeColor="text1"/>
              </w:rPr>
              <w:t>) or other conditions of employment. Contributions are expensed when they are paid or become payable following completion of the employee’s service each pay period.</w:t>
            </w:r>
          </w:p>
          <w:p w14:paraId="50654D14" w14:textId="77777777" w:rsidR="00FC17BC" w:rsidRPr="00DF3006" w:rsidRDefault="00FC17BC" w:rsidP="00025E55">
            <w:pPr>
              <w:pStyle w:val="Policy1stpara"/>
              <w:spacing w:line="240" w:lineRule="auto"/>
              <w:rPr>
                <w:color w:val="414042" w:themeColor="text1"/>
              </w:rPr>
            </w:pPr>
          </w:p>
          <w:p w14:paraId="594AD7F3" w14:textId="77777777" w:rsidR="00FC17BC" w:rsidRPr="00DF3006" w:rsidRDefault="00FC17BC" w:rsidP="00025E55">
            <w:pPr>
              <w:pStyle w:val="Policyfollowingparas"/>
              <w:spacing w:line="240" w:lineRule="auto"/>
              <w:rPr>
                <w:color w:val="414042" w:themeColor="text1"/>
              </w:rPr>
            </w:pPr>
            <w:r w:rsidRPr="00DF3006">
              <w:rPr>
                <w:i/>
                <w:color w:val="414042" w:themeColor="text1"/>
                <w:u w:val="single"/>
              </w:rPr>
              <w:t>Defined Benefit Plan</w:t>
            </w:r>
            <w:r w:rsidRPr="00DF3006">
              <w:rPr>
                <w:color w:val="414042" w:themeColor="text1"/>
              </w:rPr>
              <w:t xml:space="preserve"> - The liability for defined benefits is held on a whole-of-government basis and reported in those financial statements pursuant to </w:t>
            </w:r>
            <w:proofErr w:type="spellStart"/>
            <w:r w:rsidRPr="00DF3006">
              <w:rPr>
                <w:color w:val="414042" w:themeColor="text1"/>
              </w:rPr>
              <w:t>AASB</w:t>
            </w:r>
            <w:proofErr w:type="spellEnd"/>
            <w:r w:rsidRPr="00DF3006">
              <w:rPr>
                <w:color w:val="414042" w:themeColor="text1"/>
              </w:rPr>
              <w:t xml:space="preserve"> 1049 </w:t>
            </w:r>
            <w:r w:rsidRPr="00DF3006">
              <w:rPr>
                <w:i/>
                <w:color w:val="414042" w:themeColor="text1"/>
              </w:rPr>
              <w:t>Whole of Government and General Government Sector Financial Reporting</w:t>
            </w:r>
            <w:r w:rsidRPr="00DF3006">
              <w:rPr>
                <w:color w:val="414042" w:themeColor="text1"/>
              </w:rPr>
              <w:t xml:space="preserve">. The </w:t>
            </w:r>
            <w:proofErr w:type="gramStart"/>
            <w:r w:rsidRPr="00DF3006">
              <w:rPr>
                <w:color w:val="414042" w:themeColor="text1"/>
              </w:rPr>
              <w:t>amount</w:t>
            </w:r>
            <w:proofErr w:type="gramEnd"/>
            <w:r w:rsidRPr="00DF3006">
              <w:rPr>
                <w:color w:val="414042" w:themeColor="text1"/>
              </w:rPr>
              <w:t xml:space="preserve"> of contributions for defined benefit plan obligations is based upon the rates determined on the advice of the State Actuary. Contributions are paid by the CCC at the specified rate following completion of the employee’s service each pay period. The CCC’s obligations are limited to those contributions paid.</w:t>
            </w:r>
          </w:p>
          <w:p w14:paraId="274B5D65" w14:textId="77777777" w:rsidR="00FC17BC" w:rsidRPr="00DF3006" w:rsidRDefault="00FC17BC" w:rsidP="00025E55">
            <w:pPr>
              <w:pStyle w:val="Policyfollowingparas"/>
              <w:spacing w:line="240" w:lineRule="auto"/>
              <w:rPr>
                <w:color w:val="414042" w:themeColor="text1"/>
              </w:rPr>
            </w:pPr>
          </w:p>
        </w:tc>
      </w:tr>
    </w:tbl>
    <w:p w14:paraId="7A49DDF1" w14:textId="77777777" w:rsidR="00FC17BC" w:rsidRPr="00DF3006" w:rsidRDefault="00FC17BC" w:rsidP="00FC17BC">
      <w:pPr>
        <w:rPr>
          <w:color w:val="414042" w:themeColor="text1"/>
        </w:rPr>
      </w:pPr>
    </w:p>
    <w:p w14:paraId="5B33E8E0" w14:textId="77777777" w:rsidR="00FC17BC" w:rsidRPr="00DF3006" w:rsidRDefault="00FC17BC" w:rsidP="00FC17BC">
      <w:pPr>
        <w:spacing w:line="259" w:lineRule="auto"/>
        <w:rPr>
          <w:color w:val="414042" w:themeColor="text1"/>
        </w:rPr>
      </w:pPr>
      <w:r w:rsidRPr="00DF3006">
        <w:rPr>
          <w:color w:val="414042" w:themeColor="text1"/>
        </w:rPr>
        <w:br w:type="page"/>
      </w:r>
    </w:p>
    <w:p w14:paraId="7179B862" w14:textId="77777777" w:rsidR="00FC17BC" w:rsidRPr="00DF3006" w:rsidRDefault="00FC17BC" w:rsidP="00FC17BC">
      <w:pPr>
        <w:pStyle w:val="Normal115pttext"/>
        <w:spacing w:line="240" w:lineRule="auto"/>
        <w:rPr>
          <w:color w:val="414042" w:themeColor="text1"/>
        </w:rPr>
      </w:pPr>
      <w:r w:rsidRPr="00DF3006">
        <w:rPr>
          <w:color w:val="414042" w:themeColor="text1"/>
        </w:rPr>
        <w:t>Note 3:  Employee Expenses (cont’d)</w:t>
      </w:r>
    </w:p>
    <w:p w14:paraId="65A36DBA" w14:textId="77777777" w:rsidR="00FC17BC" w:rsidRPr="00DF3006" w:rsidRDefault="00FC17BC" w:rsidP="00FC17BC">
      <w:pPr>
        <w:pStyle w:val="Normal1stpara"/>
        <w:spacing w:line="240" w:lineRule="auto"/>
        <w:rPr>
          <w:color w:val="414042" w:themeColor="text1"/>
        </w:rPr>
      </w:pPr>
    </w:p>
    <w:tbl>
      <w:tblPr>
        <w:tblW w:w="935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096"/>
        <w:gridCol w:w="567"/>
        <w:gridCol w:w="1275"/>
        <w:gridCol w:w="283"/>
        <w:gridCol w:w="1134"/>
      </w:tblGrid>
      <w:tr w:rsidR="00DF3006" w:rsidRPr="00DF3006" w14:paraId="2559B885" w14:textId="77777777" w:rsidTr="00025E55">
        <w:trPr>
          <w:trHeight w:val="20"/>
        </w:trPr>
        <w:tc>
          <w:tcPr>
            <w:tcW w:w="6096" w:type="dxa"/>
            <w:tcBorders>
              <w:top w:val="nil"/>
              <w:left w:val="nil"/>
              <w:bottom w:val="nil"/>
            </w:tcBorders>
            <w:noWrap/>
            <w:tcMar>
              <w:left w:w="0" w:type="dxa"/>
              <w:right w:w="0" w:type="dxa"/>
            </w:tcMar>
            <w:vAlign w:val="bottom"/>
          </w:tcPr>
          <w:p w14:paraId="49B56896" w14:textId="77777777" w:rsidR="00FC17BC" w:rsidRPr="00DF3006" w:rsidRDefault="00FC17BC" w:rsidP="00025E55">
            <w:pPr>
              <w:pStyle w:val="Normaltabletextleft"/>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4F7A3189"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1DCB35F4"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Mar>
              <w:left w:w="0" w:type="dxa"/>
              <w:right w:w="0" w:type="dxa"/>
            </w:tcMar>
            <w:vAlign w:val="bottom"/>
          </w:tcPr>
          <w:p w14:paraId="17E19BAC"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451DDAA5"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49D8FD70" w14:textId="77777777" w:rsidTr="00025E55">
        <w:trPr>
          <w:trHeight w:val="20"/>
        </w:trPr>
        <w:tc>
          <w:tcPr>
            <w:tcW w:w="6096" w:type="dxa"/>
            <w:tcBorders>
              <w:top w:val="nil"/>
              <w:left w:val="nil"/>
              <w:bottom w:val="nil"/>
            </w:tcBorders>
            <w:noWrap/>
            <w:tcMar>
              <w:left w:w="0" w:type="dxa"/>
              <w:right w:w="0" w:type="dxa"/>
            </w:tcMar>
            <w:vAlign w:val="bottom"/>
          </w:tcPr>
          <w:p w14:paraId="7E089237" w14:textId="77777777" w:rsidR="00FC17BC" w:rsidRPr="00DF3006" w:rsidRDefault="00FC17BC" w:rsidP="00025E55">
            <w:pPr>
              <w:pStyle w:val="Normaltabletextleft"/>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29DE4842"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4F86E49E"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Mar>
              <w:left w:w="0" w:type="dxa"/>
              <w:right w:w="0" w:type="dxa"/>
            </w:tcMar>
            <w:vAlign w:val="bottom"/>
          </w:tcPr>
          <w:p w14:paraId="04FD56AC"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05F2ACBA" w14:textId="77777777" w:rsidR="00FC17BC" w:rsidRPr="00DF3006" w:rsidRDefault="00FC17BC" w:rsidP="00025E55">
            <w:pPr>
              <w:pStyle w:val="Normaltabletext1stpararight"/>
              <w:spacing w:line="240" w:lineRule="auto"/>
              <w:ind w:left="122" w:firstLine="122"/>
              <w:rPr>
                <w:b/>
                <w:color w:val="414042" w:themeColor="text1"/>
                <w:lang w:eastAsia="en-AU"/>
              </w:rPr>
            </w:pPr>
            <w:r w:rsidRPr="00DF3006">
              <w:rPr>
                <w:b/>
                <w:color w:val="414042" w:themeColor="text1"/>
                <w:lang w:eastAsia="en-AU"/>
              </w:rPr>
              <w:t>$’000</w:t>
            </w:r>
          </w:p>
        </w:tc>
      </w:tr>
      <w:tr w:rsidR="00DF3006" w:rsidRPr="00DF3006" w14:paraId="236EDC1F" w14:textId="77777777" w:rsidTr="00025E55">
        <w:trPr>
          <w:trHeight w:val="20"/>
        </w:trPr>
        <w:tc>
          <w:tcPr>
            <w:tcW w:w="6096" w:type="dxa"/>
            <w:tcBorders>
              <w:top w:val="nil"/>
              <w:left w:val="nil"/>
              <w:bottom w:val="nil"/>
            </w:tcBorders>
            <w:noWrap/>
            <w:tcMar>
              <w:left w:w="0" w:type="dxa"/>
              <w:right w:w="0" w:type="dxa"/>
            </w:tcMar>
            <w:vAlign w:val="bottom"/>
          </w:tcPr>
          <w:p w14:paraId="247F8F6D" w14:textId="77777777" w:rsidR="00FC17BC" w:rsidRPr="00DF3006" w:rsidRDefault="00FC17BC" w:rsidP="00025E55">
            <w:pPr>
              <w:pStyle w:val="Normaltabletextleft"/>
              <w:spacing w:line="240" w:lineRule="auto"/>
              <w:rPr>
                <w:color w:val="414042" w:themeColor="text1"/>
                <w:lang w:eastAsia="en-AU"/>
              </w:rPr>
            </w:pPr>
            <w:r w:rsidRPr="00DF3006">
              <w:rPr>
                <w:b/>
                <w:color w:val="414042" w:themeColor="text1"/>
                <w:lang w:eastAsia="en-AU"/>
              </w:rPr>
              <w:t>Employee Benefits</w:t>
            </w:r>
          </w:p>
        </w:tc>
        <w:tc>
          <w:tcPr>
            <w:tcW w:w="567" w:type="dxa"/>
            <w:tcBorders>
              <w:top w:val="nil"/>
              <w:bottom w:val="nil"/>
            </w:tcBorders>
            <w:noWrap/>
            <w:tcMar>
              <w:left w:w="0" w:type="dxa"/>
              <w:right w:w="0" w:type="dxa"/>
            </w:tcMar>
            <w:vAlign w:val="bottom"/>
          </w:tcPr>
          <w:p w14:paraId="4CAE04FD"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4B02472F"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Mar>
              <w:left w:w="0" w:type="dxa"/>
              <w:right w:w="0" w:type="dxa"/>
            </w:tcMar>
            <w:vAlign w:val="bottom"/>
          </w:tcPr>
          <w:p w14:paraId="3171B7C8"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2A44819"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06D13D95" w14:textId="77777777" w:rsidTr="00025E55">
        <w:trPr>
          <w:trHeight w:val="20"/>
        </w:trPr>
        <w:tc>
          <w:tcPr>
            <w:tcW w:w="6096" w:type="dxa"/>
            <w:tcBorders>
              <w:top w:val="nil"/>
              <w:left w:val="nil"/>
              <w:bottom w:val="nil"/>
            </w:tcBorders>
            <w:noWrap/>
            <w:tcMar>
              <w:left w:w="0" w:type="dxa"/>
              <w:right w:w="0" w:type="dxa"/>
            </w:tcMar>
            <w:vAlign w:val="bottom"/>
          </w:tcPr>
          <w:p w14:paraId="6EFF609C"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Wages and salaries</w:t>
            </w:r>
          </w:p>
        </w:tc>
        <w:tc>
          <w:tcPr>
            <w:tcW w:w="567" w:type="dxa"/>
            <w:tcBorders>
              <w:top w:val="nil"/>
              <w:bottom w:val="nil"/>
            </w:tcBorders>
            <w:noWrap/>
            <w:tcMar>
              <w:left w:w="0" w:type="dxa"/>
              <w:right w:w="0" w:type="dxa"/>
            </w:tcMar>
            <w:vAlign w:val="bottom"/>
          </w:tcPr>
          <w:p w14:paraId="562A2839"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2A55EDB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34,550</w:t>
            </w:r>
          </w:p>
        </w:tc>
        <w:tc>
          <w:tcPr>
            <w:tcW w:w="283" w:type="dxa"/>
            <w:tcBorders>
              <w:top w:val="nil"/>
              <w:bottom w:val="nil"/>
            </w:tcBorders>
            <w:noWrap/>
            <w:tcMar>
              <w:left w:w="0" w:type="dxa"/>
              <w:right w:w="0" w:type="dxa"/>
            </w:tcMar>
            <w:vAlign w:val="bottom"/>
          </w:tcPr>
          <w:p w14:paraId="3D8E8676"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FC9410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35,296</w:t>
            </w:r>
          </w:p>
        </w:tc>
      </w:tr>
      <w:tr w:rsidR="00DF3006" w:rsidRPr="00DF3006" w14:paraId="5EB934F0" w14:textId="77777777" w:rsidTr="00025E55">
        <w:trPr>
          <w:trHeight w:val="20"/>
        </w:trPr>
        <w:tc>
          <w:tcPr>
            <w:tcW w:w="6096" w:type="dxa"/>
            <w:tcBorders>
              <w:top w:val="nil"/>
              <w:left w:val="nil"/>
              <w:bottom w:val="nil"/>
            </w:tcBorders>
            <w:noWrap/>
            <w:tcMar>
              <w:left w:w="0" w:type="dxa"/>
              <w:right w:w="0" w:type="dxa"/>
            </w:tcMar>
            <w:vAlign w:val="bottom"/>
          </w:tcPr>
          <w:p w14:paraId="243436E7"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Annual leave levy/expense</w:t>
            </w:r>
          </w:p>
        </w:tc>
        <w:tc>
          <w:tcPr>
            <w:tcW w:w="567" w:type="dxa"/>
            <w:tcBorders>
              <w:top w:val="nil"/>
              <w:bottom w:val="nil"/>
            </w:tcBorders>
            <w:noWrap/>
            <w:tcMar>
              <w:left w:w="0" w:type="dxa"/>
              <w:right w:w="0" w:type="dxa"/>
            </w:tcMar>
            <w:vAlign w:val="bottom"/>
          </w:tcPr>
          <w:p w14:paraId="022AF11F"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4470E464"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2,444</w:t>
            </w:r>
          </w:p>
        </w:tc>
        <w:tc>
          <w:tcPr>
            <w:tcW w:w="283" w:type="dxa"/>
            <w:tcBorders>
              <w:top w:val="nil"/>
              <w:bottom w:val="nil"/>
            </w:tcBorders>
            <w:noWrap/>
            <w:tcMar>
              <w:left w:w="0" w:type="dxa"/>
              <w:right w:w="0" w:type="dxa"/>
            </w:tcMar>
            <w:vAlign w:val="bottom"/>
          </w:tcPr>
          <w:p w14:paraId="39F697AA"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44251C3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2,549</w:t>
            </w:r>
          </w:p>
        </w:tc>
      </w:tr>
      <w:tr w:rsidR="00DF3006" w:rsidRPr="00DF3006" w14:paraId="204EB54F" w14:textId="77777777" w:rsidTr="00025E55">
        <w:trPr>
          <w:trHeight w:val="20"/>
        </w:trPr>
        <w:tc>
          <w:tcPr>
            <w:tcW w:w="6096" w:type="dxa"/>
            <w:tcBorders>
              <w:top w:val="nil"/>
              <w:left w:val="nil"/>
              <w:bottom w:val="nil"/>
            </w:tcBorders>
            <w:noWrap/>
            <w:tcMar>
              <w:left w:w="0" w:type="dxa"/>
              <w:right w:w="0" w:type="dxa"/>
            </w:tcMar>
            <w:vAlign w:val="bottom"/>
          </w:tcPr>
          <w:p w14:paraId="0230C0CB"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Long service leave levy/expense</w:t>
            </w:r>
          </w:p>
        </w:tc>
        <w:tc>
          <w:tcPr>
            <w:tcW w:w="567" w:type="dxa"/>
            <w:tcBorders>
              <w:top w:val="nil"/>
              <w:bottom w:val="nil"/>
            </w:tcBorders>
            <w:noWrap/>
            <w:tcMar>
              <w:left w:w="0" w:type="dxa"/>
              <w:right w:w="0" w:type="dxa"/>
            </w:tcMar>
            <w:vAlign w:val="bottom"/>
          </w:tcPr>
          <w:p w14:paraId="2360EAEA"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5820CB35"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964</w:t>
            </w:r>
          </w:p>
        </w:tc>
        <w:tc>
          <w:tcPr>
            <w:tcW w:w="283" w:type="dxa"/>
            <w:tcBorders>
              <w:top w:val="nil"/>
              <w:bottom w:val="nil"/>
            </w:tcBorders>
            <w:noWrap/>
            <w:tcMar>
              <w:left w:w="0" w:type="dxa"/>
              <w:right w:w="0" w:type="dxa"/>
            </w:tcMar>
            <w:vAlign w:val="bottom"/>
          </w:tcPr>
          <w:p w14:paraId="7D208392"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36477A4"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911</w:t>
            </w:r>
          </w:p>
        </w:tc>
      </w:tr>
      <w:tr w:rsidR="00DF3006" w:rsidRPr="00DF3006" w14:paraId="31E36522" w14:textId="77777777" w:rsidTr="00025E55">
        <w:trPr>
          <w:trHeight w:val="20"/>
        </w:trPr>
        <w:tc>
          <w:tcPr>
            <w:tcW w:w="6096" w:type="dxa"/>
            <w:tcBorders>
              <w:top w:val="nil"/>
              <w:left w:val="nil"/>
              <w:bottom w:val="nil"/>
            </w:tcBorders>
            <w:noWrap/>
            <w:tcMar>
              <w:left w:w="0" w:type="dxa"/>
              <w:right w:w="0" w:type="dxa"/>
            </w:tcMar>
            <w:vAlign w:val="bottom"/>
          </w:tcPr>
          <w:p w14:paraId="068E4C4D"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Employer superannuation contributions</w:t>
            </w:r>
          </w:p>
        </w:tc>
        <w:tc>
          <w:tcPr>
            <w:tcW w:w="567" w:type="dxa"/>
            <w:tcBorders>
              <w:top w:val="nil"/>
              <w:bottom w:val="nil"/>
            </w:tcBorders>
            <w:noWrap/>
            <w:tcMar>
              <w:left w:w="0" w:type="dxa"/>
              <w:right w:w="0" w:type="dxa"/>
            </w:tcMar>
            <w:vAlign w:val="bottom"/>
          </w:tcPr>
          <w:p w14:paraId="1C11ED15"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76C1009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4,565</w:t>
            </w:r>
          </w:p>
        </w:tc>
        <w:tc>
          <w:tcPr>
            <w:tcW w:w="283" w:type="dxa"/>
            <w:tcBorders>
              <w:top w:val="nil"/>
              <w:bottom w:val="nil"/>
            </w:tcBorders>
            <w:noWrap/>
            <w:tcMar>
              <w:left w:w="0" w:type="dxa"/>
              <w:right w:w="0" w:type="dxa"/>
            </w:tcMar>
            <w:vAlign w:val="bottom"/>
          </w:tcPr>
          <w:p w14:paraId="653F8E85"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24B680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4,580</w:t>
            </w:r>
          </w:p>
        </w:tc>
      </w:tr>
      <w:tr w:rsidR="00DF3006" w:rsidRPr="00DF3006" w14:paraId="0DFBA4BA" w14:textId="77777777" w:rsidTr="00025E55">
        <w:trPr>
          <w:trHeight w:val="20"/>
        </w:trPr>
        <w:tc>
          <w:tcPr>
            <w:tcW w:w="6096" w:type="dxa"/>
            <w:tcBorders>
              <w:top w:val="nil"/>
              <w:left w:val="nil"/>
              <w:bottom w:val="nil"/>
            </w:tcBorders>
            <w:noWrap/>
            <w:tcMar>
              <w:left w:w="0" w:type="dxa"/>
              <w:right w:w="0" w:type="dxa"/>
            </w:tcMar>
            <w:vAlign w:val="bottom"/>
          </w:tcPr>
          <w:p w14:paraId="7BAB9BD8"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Other employee benefits</w:t>
            </w:r>
          </w:p>
        </w:tc>
        <w:tc>
          <w:tcPr>
            <w:tcW w:w="567" w:type="dxa"/>
            <w:tcBorders>
              <w:top w:val="nil"/>
              <w:bottom w:val="nil"/>
            </w:tcBorders>
            <w:noWrap/>
            <w:tcMar>
              <w:left w:w="0" w:type="dxa"/>
              <w:right w:w="0" w:type="dxa"/>
            </w:tcMar>
            <w:vAlign w:val="bottom"/>
          </w:tcPr>
          <w:p w14:paraId="0186AD27"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26AD521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133</w:t>
            </w:r>
          </w:p>
        </w:tc>
        <w:tc>
          <w:tcPr>
            <w:tcW w:w="283" w:type="dxa"/>
            <w:tcBorders>
              <w:top w:val="nil"/>
              <w:bottom w:val="nil"/>
            </w:tcBorders>
            <w:noWrap/>
            <w:tcMar>
              <w:left w:w="0" w:type="dxa"/>
              <w:right w:w="0" w:type="dxa"/>
            </w:tcMar>
            <w:vAlign w:val="bottom"/>
          </w:tcPr>
          <w:p w14:paraId="6231FFAF"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32ADA0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87</w:t>
            </w:r>
          </w:p>
        </w:tc>
      </w:tr>
      <w:tr w:rsidR="00DF3006" w:rsidRPr="00DF3006" w14:paraId="52E3EB30" w14:textId="77777777" w:rsidTr="00025E55">
        <w:trPr>
          <w:trHeight w:val="20"/>
        </w:trPr>
        <w:tc>
          <w:tcPr>
            <w:tcW w:w="6096" w:type="dxa"/>
            <w:tcBorders>
              <w:top w:val="nil"/>
              <w:left w:val="nil"/>
              <w:bottom w:val="nil"/>
            </w:tcBorders>
            <w:noWrap/>
            <w:tcMar>
              <w:left w:w="0" w:type="dxa"/>
              <w:right w:w="0" w:type="dxa"/>
            </w:tcMar>
            <w:vAlign w:val="bottom"/>
          </w:tcPr>
          <w:p w14:paraId="09EB270D" w14:textId="77777777" w:rsidR="00FC17BC" w:rsidRPr="00DF3006" w:rsidRDefault="00FC17BC" w:rsidP="00025E55">
            <w:pPr>
              <w:pStyle w:val="Normaltabletextleft"/>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1D45C909"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193E114C"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Mar>
              <w:left w:w="0" w:type="dxa"/>
              <w:right w:w="0" w:type="dxa"/>
            </w:tcMar>
            <w:vAlign w:val="bottom"/>
          </w:tcPr>
          <w:p w14:paraId="7D2A5ED5"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tcPr>
          <w:p w14:paraId="5D85037E"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19595C3E" w14:textId="77777777" w:rsidTr="00025E55">
        <w:trPr>
          <w:trHeight w:val="20"/>
        </w:trPr>
        <w:tc>
          <w:tcPr>
            <w:tcW w:w="6096" w:type="dxa"/>
            <w:tcBorders>
              <w:top w:val="nil"/>
              <w:left w:val="nil"/>
              <w:bottom w:val="nil"/>
            </w:tcBorders>
            <w:noWrap/>
            <w:tcMar>
              <w:left w:w="0" w:type="dxa"/>
              <w:right w:w="0" w:type="dxa"/>
            </w:tcMar>
            <w:vAlign w:val="bottom"/>
          </w:tcPr>
          <w:p w14:paraId="0CC2784B"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Employee Related Expenses</w:t>
            </w:r>
          </w:p>
        </w:tc>
        <w:tc>
          <w:tcPr>
            <w:tcW w:w="567" w:type="dxa"/>
            <w:tcBorders>
              <w:top w:val="nil"/>
              <w:bottom w:val="nil"/>
            </w:tcBorders>
            <w:noWrap/>
            <w:tcMar>
              <w:left w:w="0" w:type="dxa"/>
              <w:right w:w="0" w:type="dxa"/>
            </w:tcMar>
            <w:vAlign w:val="bottom"/>
          </w:tcPr>
          <w:p w14:paraId="1B8D7F49"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1E58C32D"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Mar>
              <w:left w:w="0" w:type="dxa"/>
              <w:right w:w="0" w:type="dxa"/>
            </w:tcMar>
            <w:vAlign w:val="bottom"/>
          </w:tcPr>
          <w:p w14:paraId="4E445CE7"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tcPr>
          <w:p w14:paraId="2FACF5AB"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240A2AF2" w14:textId="77777777" w:rsidTr="00025E55">
        <w:trPr>
          <w:trHeight w:val="20"/>
        </w:trPr>
        <w:tc>
          <w:tcPr>
            <w:tcW w:w="6096" w:type="dxa"/>
            <w:tcBorders>
              <w:top w:val="nil"/>
              <w:left w:val="nil"/>
              <w:bottom w:val="nil"/>
            </w:tcBorders>
            <w:noWrap/>
            <w:tcMar>
              <w:left w:w="0" w:type="dxa"/>
              <w:right w:w="0" w:type="dxa"/>
            </w:tcMar>
            <w:vAlign w:val="bottom"/>
          </w:tcPr>
          <w:p w14:paraId="14347611"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 xml:space="preserve">Workers’ compensation premium </w:t>
            </w:r>
          </w:p>
        </w:tc>
        <w:tc>
          <w:tcPr>
            <w:tcW w:w="567" w:type="dxa"/>
            <w:tcBorders>
              <w:top w:val="nil"/>
              <w:bottom w:val="nil"/>
            </w:tcBorders>
            <w:noWrap/>
            <w:tcMar>
              <w:left w:w="0" w:type="dxa"/>
              <w:right w:w="0" w:type="dxa"/>
            </w:tcMar>
            <w:vAlign w:val="bottom"/>
          </w:tcPr>
          <w:p w14:paraId="3BA21EDA"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55865F45"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343</w:t>
            </w:r>
          </w:p>
        </w:tc>
        <w:tc>
          <w:tcPr>
            <w:tcW w:w="283" w:type="dxa"/>
            <w:tcBorders>
              <w:top w:val="nil"/>
              <w:bottom w:val="nil"/>
            </w:tcBorders>
            <w:noWrap/>
            <w:tcMar>
              <w:left w:w="0" w:type="dxa"/>
              <w:right w:w="0" w:type="dxa"/>
            </w:tcMar>
            <w:vAlign w:val="bottom"/>
          </w:tcPr>
          <w:p w14:paraId="1F01BE3F"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0EC4B1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303</w:t>
            </w:r>
          </w:p>
        </w:tc>
      </w:tr>
      <w:tr w:rsidR="00DF3006" w:rsidRPr="00DF3006" w14:paraId="23A4896F" w14:textId="77777777" w:rsidTr="00025E55">
        <w:trPr>
          <w:trHeight w:val="20"/>
        </w:trPr>
        <w:tc>
          <w:tcPr>
            <w:tcW w:w="6096" w:type="dxa"/>
            <w:tcBorders>
              <w:top w:val="nil"/>
              <w:left w:val="nil"/>
              <w:bottom w:val="nil"/>
            </w:tcBorders>
            <w:noWrap/>
            <w:tcMar>
              <w:left w:w="0" w:type="dxa"/>
              <w:right w:w="0" w:type="dxa"/>
            </w:tcMar>
            <w:vAlign w:val="bottom"/>
          </w:tcPr>
          <w:p w14:paraId="351E3B1D"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Payroll tax</w:t>
            </w:r>
          </w:p>
        </w:tc>
        <w:tc>
          <w:tcPr>
            <w:tcW w:w="567" w:type="dxa"/>
            <w:tcBorders>
              <w:top w:val="nil"/>
              <w:bottom w:val="nil"/>
            </w:tcBorders>
            <w:noWrap/>
            <w:tcMar>
              <w:left w:w="0" w:type="dxa"/>
              <w:right w:w="0" w:type="dxa"/>
            </w:tcMar>
            <w:vAlign w:val="bottom"/>
          </w:tcPr>
          <w:p w14:paraId="63CEA006"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08DDF3E1"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1,493</w:t>
            </w:r>
          </w:p>
        </w:tc>
        <w:tc>
          <w:tcPr>
            <w:tcW w:w="283" w:type="dxa"/>
            <w:tcBorders>
              <w:top w:val="nil"/>
              <w:bottom w:val="nil"/>
            </w:tcBorders>
            <w:noWrap/>
            <w:tcMar>
              <w:left w:w="0" w:type="dxa"/>
              <w:right w:w="0" w:type="dxa"/>
            </w:tcMar>
            <w:vAlign w:val="bottom"/>
          </w:tcPr>
          <w:p w14:paraId="45E1AF38"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E0BBED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1,527</w:t>
            </w:r>
          </w:p>
        </w:tc>
      </w:tr>
      <w:tr w:rsidR="00DF3006" w:rsidRPr="00DF3006" w14:paraId="55A205E6" w14:textId="77777777" w:rsidTr="00025E55">
        <w:trPr>
          <w:trHeight w:val="20"/>
        </w:trPr>
        <w:tc>
          <w:tcPr>
            <w:tcW w:w="6096" w:type="dxa"/>
            <w:tcBorders>
              <w:top w:val="nil"/>
              <w:left w:val="nil"/>
              <w:bottom w:val="nil"/>
            </w:tcBorders>
            <w:noWrap/>
            <w:tcMar>
              <w:left w:w="0" w:type="dxa"/>
              <w:right w:w="0" w:type="dxa"/>
            </w:tcMar>
            <w:vAlign w:val="bottom"/>
          </w:tcPr>
          <w:p w14:paraId="7A3926A3" w14:textId="77777777" w:rsidR="00FC17BC" w:rsidRPr="00DF3006" w:rsidRDefault="00FC17BC" w:rsidP="00025E55">
            <w:pPr>
              <w:pStyle w:val="Normaltabletextleft"/>
              <w:spacing w:line="240" w:lineRule="auto"/>
              <w:rPr>
                <w:b/>
                <w:color w:val="414042" w:themeColor="text1"/>
                <w:lang w:eastAsia="en-AU"/>
              </w:rPr>
            </w:pPr>
            <w:r w:rsidRPr="00DF3006">
              <w:rPr>
                <w:color w:val="414042" w:themeColor="text1"/>
                <w:lang w:eastAsia="en-AU"/>
              </w:rPr>
              <w:t>Other employee related expenses</w:t>
            </w:r>
          </w:p>
        </w:tc>
        <w:tc>
          <w:tcPr>
            <w:tcW w:w="567" w:type="dxa"/>
            <w:tcBorders>
              <w:top w:val="nil"/>
              <w:bottom w:val="nil"/>
            </w:tcBorders>
            <w:noWrap/>
            <w:tcMar>
              <w:left w:w="0" w:type="dxa"/>
              <w:right w:w="0" w:type="dxa"/>
            </w:tcMar>
            <w:vAlign w:val="bottom"/>
          </w:tcPr>
          <w:p w14:paraId="7D8C27B5" w14:textId="77777777" w:rsidR="00FC17BC" w:rsidRPr="00DF3006" w:rsidRDefault="00FC17BC" w:rsidP="00025E55">
            <w:pPr>
              <w:pStyle w:val="Normaltabletextcentred"/>
              <w:spacing w:line="240" w:lineRule="auto"/>
              <w:rPr>
                <w:b/>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vAlign w:val="bottom"/>
          </w:tcPr>
          <w:p w14:paraId="04DC4B8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645</w:t>
            </w:r>
          </w:p>
        </w:tc>
        <w:tc>
          <w:tcPr>
            <w:tcW w:w="283" w:type="dxa"/>
            <w:tcBorders>
              <w:top w:val="nil"/>
              <w:bottom w:val="nil"/>
            </w:tcBorders>
            <w:noWrap/>
            <w:tcMar>
              <w:left w:w="0" w:type="dxa"/>
              <w:right w:w="0" w:type="dxa"/>
            </w:tcMar>
            <w:vAlign w:val="bottom"/>
          </w:tcPr>
          <w:p w14:paraId="124B69B8"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223773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360</w:t>
            </w:r>
          </w:p>
        </w:tc>
      </w:tr>
      <w:tr w:rsidR="00DF3006" w:rsidRPr="00DF3006" w14:paraId="5718F2D0" w14:textId="77777777" w:rsidTr="00025E55">
        <w:trPr>
          <w:trHeight w:val="20"/>
        </w:trPr>
        <w:tc>
          <w:tcPr>
            <w:tcW w:w="6096" w:type="dxa"/>
            <w:tcBorders>
              <w:top w:val="nil"/>
              <w:left w:val="nil"/>
              <w:bottom w:val="nil"/>
            </w:tcBorders>
            <w:noWrap/>
            <w:tcMar>
              <w:left w:w="0" w:type="dxa"/>
              <w:right w:w="0" w:type="dxa"/>
            </w:tcMar>
            <w:vAlign w:val="bottom"/>
          </w:tcPr>
          <w:p w14:paraId="43C91EF2"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15B51451" w14:textId="77777777" w:rsidR="00FC17BC" w:rsidRPr="00DF3006" w:rsidRDefault="00FC17BC" w:rsidP="00025E55">
            <w:pPr>
              <w:pStyle w:val="Normaltabletextcentred"/>
              <w:spacing w:line="240" w:lineRule="auto"/>
              <w:rPr>
                <w:b/>
                <w:color w:val="414042" w:themeColor="text1"/>
                <w:lang w:eastAsia="en-AU"/>
              </w:rPr>
            </w:pPr>
          </w:p>
        </w:tc>
        <w:tc>
          <w:tcPr>
            <w:tcW w:w="1275"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5ED91834"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45,137</w:t>
            </w:r>
          </w:p>
        </w:tc>
        <w:tc>
          <w:tcPr>
            <w:tcW w:w="283" w:type="dxa"/>
            <w:tcBorders>
              <w:top w:val="nil"/>
              <w:bottom w:val="nil"/>
            </w:tcBorders>
            <w:noWrap/>
            <w:tcMar>
              <w:left w:w="0" w:type="dxa"/>
              <w:right w:w="0" w:type="dxa"/>
            </w:tcMar>
            <w:vAlign w:val="bottom"/>
          </w:tcPr>
          <w:p w14:paraId="4982663F"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tcPr>
          <w:p w14:paraId="2A99532F" w14:textId="77777777" w:rsidR="00FC17BC" w:rsidRPr="00DF3006" w:rsidRDefault="00FC17BC" w:rsidP="00025E55">
            <w:pPr>
              <w:pStyle w:val="Normaltabletext1stpararight"/>
              <w:spacing w:line="240" w:lineRule="auto"/>
              <w:rPr>
                <w:b/>
                <w:bCs w:val="0"/>
                <w:color w:val="414042" w:themeColor="text1"/>
                <w:lang w:eastAsia="en-AU"/>
              </w:rPr>
            </w:pPr>
            <w:r w:rsidRPr="00DF3006">
              <w:rPr>
                <w:b/>
                <w:color w:val="414042" w:themeColor="text1"/>
                <w:lang w:eastAsia="en-AU"/>
              </w:rPr>
              <w:t>45,613</w:t>
            </w:r>
          </w:p>
        </w:tc>
      </w:tr>
      <w:tr w:rsidR="00DF3006" w:rsidRPr="00DF3006" w14:paraId="5DBC183A" w14:textId="77777777" w:rsidTr="00025E55">
        <w:trPr>
          <w:trHeight w:val="20"/>
        </w:trPr>
        <w:tc>
          <w:tcPr>
            <w:tcW w:w="9355" w:type="dxa"/>
            <w:gridSpan w:val="5"/>
            <w:tcBorders>
              <w:top w:val="nil"/>
              <w:left w:val="nil"/>
              <w:bottom w:val="nil"/>
              <w:right w:val="nil"/>
            </w:tcBorders>
            <w:noWrap/>
            <w:tcMar>
              <w:left w:w="0" w:type="dxa"/>
              <w:right w:w="0" w:type="dxa"/>
            </w:tcMar>
          </w:tcPr>
          <w:p w14:paraId="7327ED00" w14:textId="77777777" w:rsidR="00FC17BC" w:rsidRPr="00DF3006" w:rsidRDefault="00FC17BC" w:rsidP="00025E55">
            <w:pPr>
              <w:pStyle w:val="Normaltabletextleft"/>
              <w:spacing w:line="240" w:lineRule="auto"/>
              <w:rPr>
                <w:color w:val="414042" w:themeColor="text1"/>
              </w:rPr>
            </w:pPr>
          </w:p>
        </w:tc>
      </w:tr>
      <w:tr w:rsidR="00DF3006" w:rsidRPr="00DF3006" w14:paraId="055E19DE" w14:textId="77777777" w:rsidTr="00025E55">
        <w:trPr>
          <w:trHeight w:val="20"/>
        </w:trPr>
        <w:tc>
          <w:tcPr>
            <w:tcW w:w="9355" w:type="dxa"/>
            <w:gridSpan w:val="5"/>
            <w:tcBorders>
              <w:top w:val="nil"/>
              <w:left w:val="nil"/>
              <w:bottom w:val="nil"/>
              <w:right w:val="nil"/>
            </w:tcBorders>
            <w:noWrap/>
            <w:tcMar>
              <w:left w:w="0" w:type="dxa"/>
              <w:right w:w="0" w:type="dxa"/>
            </w:tcMar>
          </w:tcPr>
          <w:p w14:paraId="13FA5366" w14:textId="77777777" w:rsidR="00FC17BC" w:rsidRPr="00DF3006" w:rsidRDefault="00FC17BC" w:rsidP="00025E55">
            <w:pPr>
              <w:pStyle w:val="Normaltabletextleft"/>
              <w:spacing w:line="240" w:lineRule="auto"/>
              <w:ind w:left="284" w:hanging="284"/>
              <w:rPr>
                <w:color w:val="414042" w:themeColor="text1"/>
                <w:sz w:val="17"/>
                <w:szCs w:val="17"/>
              </w:rPr>
            </w:pPr>
          </w:p>
        </w:tc>
      </w:tr>
      <w:tr w:rsidR="00DF3006" w:rsidRPr="00DF3006" w14:paraId="5003EDB4" w14:textId="77777777" w:rsidTr="00025E55">
        <w:trPr>
          <w:trHeight w:val="20"/>
        </w:trPr>
        <w:tc>
          <w:tcPr>
            <w:tcW w:w="6096" w:type="dxa"/>
            <w:tcBorders>
              <w:top w:val="nil"/>
              <w:left w:val="nil"/>
              <w:bottom w:val="nil"/>
              <w:right w:val="nil"/>
            </w:tcBorders>
            <w:noWrap/>
            <w:tcMar>
              <w:left w:w="0" w:type="dxa"/>
              <w:right w:w="0" w:type="dxa"/>
            </w:tcMar>
          </w:tcPr>
          <w:p w14:paraId="06131AC4" w14:textId="77777777" w:rsidR="00FC17BC" w:rsidRPr="00DF3006" w:rsidRDefault="00FC17BC" w:rsidP="00025E55">
            <w:pPr>
              <w:pStyle w:val="Normaltabletextleft"/>
              <w:spacing w:line="240" w:lineRule="auto"/>
              <w:rPr>
                <w:color w:val="414042" w:themeColor="text1"/>
                <w:sz w:val="17"/>
                <w:szCs w:val="17"/>
              </w:rPr>
            </w:pPr>
          </w:p>
        </w:tc>
        <w:tc>
          <w:tcPr>
            <w:tcW w:w="567" w:type="dxa"/>
            <w:tcBorders>
              <w:top w:val="nil"/>
              <w:left w:val="nil"/>
              <w:bottom w:val="nil"/>
              <w:right w:val="nil"/>
            </w:tcBorders>
          </w:tcPr>
          <w:p w14:paraId="25F67EC3" w14:textId="77777777" w:rsidR="00FC17BC" w:rsidRPr="00DF3006" w:rsidRDefault="00FC17BC" w:rsidP="00025E55">
            <w:pPr>
              <w:pStyle w:val="Normaltabletextleft"/>
              <w:spacing w:line="240" w:lineRule="auto"/>
              <w:rPr>
                <w:color w:val="414042" w:themeColor="text1"/>
              </w:rPr>
            </w:pPr>
          </w:p>
        </w:tc>
        <w:tc>
          <w:tcPr>
            <w:tcW w:w="1275" w:type="dxa"/>
            <w:tcBorders>
              <w:top w:val="nil"/>
              <w:left w:val="nil"/>
              <w:bottom w:val="nil"/>
              <w:right w:val="nil"/>
            </w:tcBorders>
          </w:tcPr>
          <w:p w14:paraId="7C69C319" w14:textId="77777777" w:rsidR="00FC17BC" w:rsidRPr="00DF3006" w:rsidRDefault="00FC17BC" w:rsidP="00025E55">
            <w:pPr>
              <w:pStyle w:val="Normaltabletextleft"/>
              <w:spacing w:line="240" w:lineRule="auto"/>
              <w:rPr>
                <w:color w:val="414042" w:themeColor="text1"/>
              </w:rPr>
            </w:pPr>
          </w:p>
          <w:p w14:paraId="006E8222" w14:textId="77777777" w:rsidR="00FC17BC" w:rsidRPr="00DF3006" w:rsidRDefault="00FC17BC" w:rsidP="00025E55">
            <w:pPr>
              <w:pStyle w:val="Normaltabletextleft"/>
              <w:spacing w:line="240" w:lineRule="auto"/>
              <w:rPr>
                <w:color w:val="414042" w:themeColor="text1"/>
              </w:rPr>
            </w:pPr>
          </w:p>
          <w:p w14:paraId="2A830322" w14:textId="77777777" w:rsidR="00FC17BC" w:rsidRPr="00DF3006" w:rsidRDefault="00FC17BC" w:rsidP="00025E55">
            <w:pPr>
              <w:pStyle w:val="Normaltabletextleft"/>
              <w:spacing w:line="240" w:lineRule="auto"/>
              <w:rPr>
                <w:color w:val="414042" w:themeColor="text1"/>
              </w:rPr>
            </w:pPr>
          </w:p>
        </w:tc>
        <w:tc>
          <w:tcPr>
            <w:tcW w:w="283" w:type="dxa"/>
            <w:tcBorders>
              <w:top w:val="nil"/>
              <w:left w:val="nil"/>
              <w:bottom w:val="nil"/>
              <w:right w:val="nil"/>
            </w:tcBorders>
          </w:tcPr>
          <w:p w14:paraId="7F1BEC57" w14:textId="77777777" w:rsidR="00FC17BC" w:rsidRPr="00DF3006" w:rsidRDefault="00FC17BC" w:rsidP="00025E55">
            <w:pPr>
              <w:pStyle w:val="Normaltabletextleft"/>
              <w:spacing w:line="240" w:lineRule="auto"/>
              <w:rPr>
                <w:color w:val="414042" w:themeColor="text1"/>
              </w:rPr>
            </w:pPr>
          </w:p>
        </w:tc>
        <w:tc>
          <w:tcPr>
            <w:tcW w:w="1134" w:type="dxa"/>
            <w:tcBorders>
              <w:top w:val="nil"/>
              <w:left w:val="nil"/>
              <w:bottom w:val="nil"/>
              <w:right w:val="nil"/>
            </w:tcBorders>
          </w:tcPr>
          <w:p w14:paraId="6D46CBC3" w14:textId="77777777" w:rsidR="00FC17BC" w:rsidRPr="00DF3006" w:rsidRDefault="00FC17BC" w:rsidP="00025E55">
            <w:pPr>
              <w:pStyle w:val="Normaltabletextleft"/>
              <w:spacing w:line="240" w:lineRule="auto"/>
              <w:rPr>
                <w:color w:val="414042" w:themeColor="text1"/>
              </w:rPr>
            </w:pPr>
          </w:p>
        </w:tc>
      </w:tr>
      <w:tr w:rsidR="00DF3006" w:rsidRPr="00DF3006" w14:paraId="34F348CE" w14:textId="77777777" w:rsidTr="00025E55">
        <w:trPr>
          <w:trHeight w:val="20"/>
        </w:trPr>
        <w:tc>
          <w:tcPr>
            <w:tcW w:w="6096" w:type="dxa"/>
            <w:tcBorders>
              <w:top w:val="nil"/>
              <w:left w:val="nil"/>
              <w:bottom w:val="nil"/>
            </w:tcBorders>
            <w:noWrap/>
            <w:tcMar>
              <w:left w:w="0" w:type="dxa"/>
              <w:right w:w="0" w:type="dxa"/>
            </w:tcMar>
            <w:vAlign w:val="bottom"/>
          </w:tcPr>
          <w:p w14:paraId="41C2E197" w14:textId="77777777" w:rsidR="00FC17BC" w:rsidRPr="00DF3006" w:rsidRDefault="00FC17BC" w:rsidP="00025E55">
            <w:pPr>
              <w:pStyle w:val="Normaltabletextleft"/>
              <w:spacing w:before="240" w:line="240" w:lineRule="auto"/>
              <w:rPr>
                <w:color w:val="414042" w:themeColor="text1"/>
                <w:lang w:eastAsia="en-AU"/>
              </w:rPr>
            </w:pPr>
            <w:bookmarkStart w:id="1945" w:name="OLE_LINK1"/>
            <w:bookmarkStart w:id="1946" w:name="OLE_LINK2"/>
            <w:r w:rsidRPr="00DF3006">
              <w:rPr>
                <w:color w:val="414042" w:themeColor="text1"/>
                <w:lang w:eastAsia="en-AU"/>
              </w:rPr>
              <w:t xml:space="preserve">The number of employees including both full-time employees and </w:t>
            </w:r>
            <w:r w:rsidRPr="00DF3006">
              <w:rPr>
                <w:color w:val="414042" w:themeColor="text1"/>
                <w:lang w:eastAsia="en-AU"/>
              </w:rPr>
              <w:br/>
              <w:t>part-time employees, measured on a full-time equivalent (FTE) basis is</w:t>
            </w:r>
            <w:bookmarkEnd w:id="1945"/>
            <w:bookmarkEnd w:id="1946"/>
            <w:r w:rsidRPr="00DF3006">
              <w:rPr>
                <w:color w:val="414042" w:themeColor="text1"/>
                <w:lang w:eastAsia="en-AU"/>
              </w:rPr>
              <w:t>:</w:t>
            </w:r>
          </w:p>
        </w:tc>
        <w:tc>
          <w:tcPr>
            <w:tcW w:w="567" w:type="dxa"/>
            <w:tcBorders>
              <w:top w:val="nil"/>
              <w:bottom w:val="nil"/>
            </w:tcBorders>
            <w:noWrap/>
            <w:tcMar>
              <w:left w:w="0" w:type="dxa"/>
              <w:right w:w="0" w:type="dxa"/>
            </w:tcMar>
            <w:vAlign w:val="bottom"/>
          </w:tcPr>
          <w:p w14:paraId="6C553778"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nil"/>
            </w:tcBorders>
            <w:shd w:val="clear" w:color="auto" w:fill="D9D9D9" w:themeFill="background1" w:themeFillShade="D9"/>
            <w:noWrap/>
            <w:tcMar>
              <w:left w:w="0" w:type="dxa"/>
              <w:right w:w="113" w:type="dxa"/>
            </w:tcMar>
          </w:tcPr>
          <w:p w14:paraId="1C3DD9B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Mar>
              <w:left w:w="0" w:type="dxa"/>
              <w:right w:w="0" w:type="dxa"/>
            </w:tcMar>
            <w:vAlign w:val="bottom"/>
          </w:tcPr>
          <w:p w14:paraId="0BD6740A"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shd w:val="clear" w:color="auto" w:fill="FFFFFF" w:themeFill="background1"/>
            <w:noWrap/>
            <w:tcMar>
              <w:left w:w="0" w:type="dxa"/>
              <w:right w:w="113" w:type="dxa"/>
            </w:tcMar>
          </w:tcPr>
          <w:p w14:paraId="3D2E5157"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253443D4" w14:textId="77777777" w:rsidTr="00025E55">
        <w:trPr>
          <w:trHeight w:val="20"/>
        </w:trPr>
        <w:tc>
          <w:tcPr>
            <w:tcW w:w="6096" w:type="dxa"/>
            <w:tcBorders>
              <w:top w:val="nil"/>
              <w:left w:val="nil"/>
              <w:bottom w:val="nil"/>
            </w:tcBorders>
            <w:noWrap/>
            <w:tcMar>
              <w:left w:w="0" w:type="dxa"/>
              <w:right w:w="0" w:type="dxa"/>
            </w:tcMar>
            <w:vAlign w:val="bottom"/>
          </w:tcPr>
          <w:p w14:paraId="743CC446" w14:textId="77777777" w:rsidR="00FC17BC" w:rsidRPr="00DF3006" w:rsidRDefault="00FC17BC" w:rsidP="00025E55">
            <w:pPr>
              <w:pStyle w:val="Normaltabletextleft"/>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5A42AF88"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nil"/>
              <w:bottom w:val="single" w:sz="4" w:space="0" w:color="auto"/>
            </w:tcBorders>
            <w:shd w:val="clear" w:color="auto" w:fill="D9D9D9" w:themeFill="background1" w:themeFillShade="D9"/>
            <w:noWrap/>
            <w:tcMar>
              <w:left w:w="0" w:type="dxa"/>
              <w:right w:w="113" w:type="dxa"/>
            </w:tcMar>
            <w:vAlign w:val="bottom"/>
          </w:tcPr>
          <w:p w14:paraId="4B54E938"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Mar>
              <w:left w:w="0" w:type="dxa"/>
              <w:right w:w="0" w:type="dxa"/>
            </w:tcMar>
            <w:vAlign w:val="bottom"/>
          </w:tcPr>
          <w:p w14:paraId="1383EA01"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46B4E7FA"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5108FCA9" w14:textId="77777777" w:rsidTr="00025E55">
        <w:trPr>
          <w:trHeight w:val="20"/>
        </w:trPr>
        <w:tc>
          <w:tcPr>
            <w:tcW w:w="6096" w:type="dxa"/>
            <w:tcBorders>
              <w:top w:val="nil"/>
              <w:left w:val="nil"/>
              <w:bottom w:val="nil"/>
            </w:tcBorders>
            <w:noWrap/>
            <w:tcMar>
              <w:left w:w="0" w:type="dxa"/>
              <w:right w:w="0" w:type="dxa"/>
            </w:tcMar>
            <w:vAlign w:val="bottom"/>
          </w:tcPr>
          <w:p w14:paraId="611AE5F8"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Number of employees</w:t>
            </w:r>
            <w:r w:rsidRPr="00DF3006">
              <w:rPr>
                <w:rFonts w:cstheme="minorHAnsi"/>
                <w:color w:val="414042" w:themeColor="text1"/>
                <w:lang w:eastAsia="en-AU"/>
              </w:rPr>
              <w:t>¹</w:t>
            </w:r>
          </w:p>
        </w:tc>
        <w:tc>
          <w:tcPr>
            <w:tcW w:w="567" w:type="dxa"/>
            <w:tcBorders>
              <w:top w:val="nil"/>
              <w:bottom w:val="nil"/>
            </w:tcBorders>
            <w:noWrap/>
            <w:tcMar>
              <w:left w:w="0" w:type="dxa"/>
              <w:right w:w="0" w:type="dxa"/>
            </w:tcMar>
            <w:vAlign w:val="bottom"/>
          </w:tcPr>
          <w:p w14:paraId="5FF53FA5" w14:textId="77777777" w:rsidR="00FC17BC" w:rsidRPr="00DF3006" w:rsidRDefault="00FC17BC" w:rsidP="00025E55">
            <w:pPr>
              <w:pStyle w:val="Normaltabletextcentred"/>
              <w:spacing w:line="240" w:lineRule="auto"/>
              <w:rPr>
                <w:color w:val="414042" w:themeColor="text1"/>
                <w:lang w:eastAsia="en-AU"/>
              </w:rPr>
            </w:pPr>
          </w:p>
        </w:tc>
        <w:tc>
          <w:tcPr>
            <w:tcW w:w="1275" w:type="dxa"/>
            <w:tcBorders>
              <w:top w:val="single" w:sz="4" w:space="0" w:color="auto"/>
              <w:bottom w:val="single" w:sz="4" w:space="0" w:color="auto"/>
            </w:tcBorders>
            <w:shd w:val="clear" w:color="auto" w:fill="D9D9D9" w:themeFill="background1" w:themeFillShade="D9"/>
            <w:noWrap/>
            <w:tcMar>
              <w:left w:w="0" w:type="dxa"/>
              <w:right w:w="113" w:type="dxa"/>
            </w:tcMar>
            <w:vAlign w:val="bottom"/>
          </w:tcPr>
          <w:p w14:paraId="5E979400" w14:textId="61FAA889"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31</w:t>
            </w:r>
            <w:r w:rsidR="00464118" w:rsidRPr="00DF3006">
              <w:rPr>
                <w:color w:val="414042" w:themeColor="text1"/>
                <w:lang w:eastAsia="en-AU"/>
              </w:rPr>
              <w:t>3</w:t>
            </w:r>
          </w:p>
        </w:tc>
        <w:tc>
          <w:tcPr>
            <w:tcW w:w="283" w:type="dxa"/>
            <w:tcBorders>
              <w:top w:val="nil"/>
              <w:bottom w:val="nil"/>
            </w:tcBorders>
            <w:noWrap/>
            <w:tcMar>
              <w:left w:w="0" w:type="dxa"/>
              <w:right w:w="0" w:type="dxa"/>
            </w:tcMar>
            <w:vAlign w:val="bottom"/>
          </w:tcPr>
          <w:p w14:paraId="7815B5E3"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73EFC94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311</w:t>
            </w:r>
          </w:p>
        </w:tc>
      </w:tr>
    </w:tbl>
    <w:p w14:paraId="60D1B9D5" w14:textId="77777777" w:rsidR="00FC17BC" w:rsidRPr="00DF3006" w:rsidRDefault="00FC17BC" w:rsidP="00FC17BC">
      <w:pPr>
        <w:pStyle w:val="Noteswithhangingindent"/>
        <w:spacing w:line="240" w:lineRule="auto"/>
        <w:rPr>
          <w:vertAlign w:val="superscript"/>
        </w:rPr>
      </w:pPr>
    </w:p>
    <w:p w14:paraId="68D3036F" w14:textId="77777777" w:rsidR="00FC17BC" w:rsidRPr="00DF3006" w:rsidRDefault="00FC17BC" w:rsidP="00FC17BC">
      <w:pPr>
        <w:pStyle w:val="Noteswithhangingindent"/>
        <w:spacing w:line="240" w:lineRule="auto"/>
        <w:rPr>
          <w:vertAlign w:val="superscript"/>
        </w:rPr>
      </w:pPr>
    </w:p>
    <w:p w14:paraId="0237981D" w14:textId="77777777" w:rsidR="00FC17BC" w:rsidRPr="00DF3006" w:rsidRDefault="00FC17BC" w:rsidP="00FC17BC">
      <w:pPr>
        <w:pStyle w:val="Noteswithhangingindent"/>
        <w:spacing w:line="240" w:lineRule="auto"/>
        <w:ind w:right="-286"/>
      </w:pPr>
      <w:r w:rsidRPr="00DF3006">
        <w:rPr>
          <w:rFonts w:cstheme="minorHAnsi"/>
        </w:rPr>
        <w:t>¹</w:t>
      </w:r>
      <w:r w:rsidRPr="00DF3006">
        <w:t xml:space="preserve"> </w:t>
      </w:r>
      <w:r w:rsidRPr="00DF3006">
        <w:tab/>
        <w:t xml:space="preserve">As </w:t>
      </w:r>
      <w:proofErr w:type="gramStart"/>
      <w:r w:rsidRPr="00DF3006">
        <w:t>at</w:t>
      </w:r>
      <w:proofErr w:type="gramEnd"/>
      <w:r w:rsidRPr="00DF3006">
        <w:t xml:space="preserve"> 30 June 2023 it includes 72 (2022: 74) police FTE positions seconded from the QPS and paid for by the CCC.</w:t>
      </w:r>
    </w:p>
    <w:p w14:paraId="29D33B65" w14:textId="572EBB77" w:rsidR="00C30C9B" w:rsidRPr="00DF3006" w:rsidRDefault="00C30C9B">
      <w:pPr>
        <w:spacing w:before="120" w:after="0" w:line="260" w:lineRule="exact"/>
        <w:rPr>
          <w:color w:val="414042" w:themeColor="text1"/>
        </w:rPr>
      </w:pPr>
      <w:r w:rsidRPr="00DF3006">
        <w:rPr>
          <w:color w:val="414042" w:themeColor="text1"/>
        </w:rPr>
        <w:br w:type="page"/>
      </w:r>
    </w:p>
    <w:p w14:paraId="274F349C" w14:textId="77777777" w:rsidR="00FC17BC" w:rsidRPr="00DF3006" w:rsidRDefault="00FC17BC" w:rsidP="00FC17BC">
      <w:pPr>
        <w:pStyle w:val="Normal115pttext"/>
        <w:spacing w:line="240" w:lineRule="auto"/>
        <w:rPr>
          <w:color w:val="414042" w:themeColor="text1"/>
        </w:rPr>
      </w:pPr>
      <w:r w:rsidRPr="00DF3006">
        <w:rPr>
          <w:color w:val="414042" w:themeColor="text1"/>
        </w:rPr>
        <w:t>Note 4:  The Commission, Senior Executive Personnel, Remuneration Expenses and Related Party Transactions</w:t>
      </w:r>
    </w:p>
    <w:p w14:paraId="24A211ED" w14:textId="77777777" w:rsidR="00FC17BC" w:rsidRPr="00DF3006" w:rsidRDefault="00FC17BC" w:rsidP="005268F0">
      <w:pPr>
        <w:rPr>
          <w:color w:val="414042" w:themeColor="text1"/>
        </w:rPr>
      </w:pPr>
    </w:p>
    <w:p w14:paraId="78966EFC" w14:textId="77777777" w:rsidR="00FC17BC" w:rsidRPr="00DF3006" w:rsidRDefault="00FC17BC" w:rsidP="00FC17BC">
      <w:pPr>
        <w:pStyle w:val="Normalhanginglist105pt"/>
        <w:spacing w:line="240" w:lineRule="auto"/>
        <w:jc w:val="both"/>
        <w:rPr>
          <w:rFonts w:cstheme="minorHAnsi"/>
          <w:color w:val="414042" w:themeColor="text1"/>
          <w:szCs w:val="21"/>
        </w:rPr>
      </w:pPr>
      <w:r w:rsidRPr="00DF3006">
        <w:rPr>
          <w:rFonts w:cstheme="minorHAnsi"/>
          <w:color w:val="414042" w:themeColor="text1"/>
          <w:szCs w:val="21"/>
        </w:rPr>
        <w:t>(a)</w:t>
      </w:r>
      <w:r w:rsidRPr="00DF3006">
        <w:rPr>
          <w:rFonts w:cstheme="minorHAnsi"/>
          <w:color w:val="414042" w:themeColor="text1"/>
          <w:szCs w:val="21"/>
        </w:rPr>
        <w:tab/>
        <w:t>The Commission</w:t>
      </w:r>
    </w:p>
    <w:p w14:paraId="3E2CBB19" w14:textId="77777777" w:rsidR="00FC17BC" w:rsidRPr="00DF3006" w:rsidRDefault="00FC17BC" w:rsidP="00FC17BC">
      <w:pPr>
        <w:pStyle w:val="Normalindent1stpara"/>
        <w:spacing w:line="240" w:lineRule="auto"/>
        <w:jc w:val="both"/>
        <w:rPr>
          <w:rFonts w:cstheme="minorHAnsi"/>
          <w:color w:val="414042" w:themeColor="text1"/>
          <w:szCs w:val="20"/>
        </w:rPr>
      </w:pPr>
      <w:r w:rsidRPr="00DF3006">
        <w:rPr>
          <w:rFonts w:cstheme="minorHAnsi"/>
          <w:color w:val="414042" w:themeColor="text1"/>
          <w:szCs w:val="20"/>
        </w:rPr>
        <w:t>The Commission is the governing body and comprises a full time Commissioner who is the Chairperson, one (1) part-time Commissioner who is the Deputy Chairperson, and three (3) part-time Ordinary Commissioners. The Commission is responsible for providing strategic leadership and direction for the performance of the CCC’s functions. The Chairperson has specific responsibilities relating to the proper performance of the CCC’s functions.</w:t>
      </w:r>
    </w:p>
    <w:p w14:paraId="55128A2B" w14:textId="77777777" w:rsidR="00FC17BC" w:rsidRPr="00DF3006" w:rsidRDefault="00FC17BC" w:rsidP="00FC17BC">
      <w:pPr>
        <w:pStyle w:val="Normalindent1stpara"/>
        <w:spacing w:line="240" w:lineRule="auto"/>
        <w:jc w:val="both"/>
        <w:rPr>
          <w:rFonts w:cstheme="minorHAnsi"/>
          <w:color w:val="414042" w:themeColor="text1"/>
          <w:szCs w:val="20"/>
        </w:rPr>
      </w:pPr>
    </w:p>
    <w:p w14:paraId="434B7687" w14:textId="77777777" w:rsidR="00FC17BC" w:rsidRPr="00DF3006" w:rsidRDefault="00FC17BC" w:rsidP="00FC17BC">
      <w:pPr>
        <w:pStyle w:val="Normalhanginglist105pt"/>
        <w:spacing w:line="240" w:lineRule="auto"/>
        <w:jc w:val="both"/>
        <w:rPr>
          <w:rFonts w:cstheme="minorHAnsi"/>
          <w:color w:val="414042" w:themeColor="text1"/>
          <w:szCs w:val="21"/>
        </w:rPr>
      </w:pPr>
      <w:r w:rsidRPr="00DF3006">
        <w:rPr>
          <w:rFonts w:cstheme="minorHAnsi"/>
          <w:color w:val="414042" w:themeColor="text1"/>
          <w:szCs w:val="21"/>
        </w:rPr>
        <w:t>(b)</w:t>
      </w:r>
      <w:r w:rsidRPr="00DF3006">
        <w:rPr>
          <w:rFonts w:cstheme="minorHAnsi"/>
          <w:color w:val="414042" w:themeColor="text1"/>
          <w:szCs w:val="21"/>
        </w:rPr>
        <w:tab/>
        <w:t>Chief Executive Officer (CEO)</w:t>
      </w:r>
    </w:p>
    <w:p w14:paraId="410EE9E4" w14:textId="77777777" w:rsidR="00FC17BC" w:rsidRPr="00DF3006" w:rsidRDefault="00FC17BC" w:rsidP="00FC17BC">
      <w:pPr>
        <w:pStyle w:val="Normalindent1stpara"/>
        <w:spacing w:line="240" w:lineRule="auto"/>
        <w:jc w:val="both"/>
        <w:rPr>
          <w:rFonts w:cstheme="minorHAnsi"/>
          <w:color w:val="414042" w:themeColor="text1"/>
          <w:szCs w:val="20"/>
        </w:rPr>
      </w:pPr>
      <w:r w:rsidRPr="00DF3006">
        <w:rPr>
          <w:rFonts w:cstheme="minorHAnsi"/>
          <w:color w:val="414042" w:themeColor="text1"/>
          <w:szCs w:val="20"/>
        </w:rPr>
        <w:t xml:space="preserve">The CEO is responsible for the efficient, </w:t>
      </w:r>
      <w:proofErr w:type="gramStart"/>
      <w:r w:rsidRPr="00DF3006">
        <w:rPr>
          <w:rFonts w:cstheme="minorHAnsi"/>
          <w:color w:val="414042" w:themeColor="text1"/>
          <w:szCs w:val="20"/>
        </w:rPr>
        <w:t>effective</w:t>
      </w:r>
      <w:proofErr w:type="gramEnd"/>
      <w:r w:rsidRPr="00DF3006">
        <w:rPr>
          <w:rFonts w:cstheme="minorHAnsi"/>
          <w:color w:val="414042" w:themeColor="text1"/>
          <w:szCs w:val="20"/>
        </w:rPr>
        <w:t xml:space="preserve"> and economic administration of the CCC. The CCC’s financial functions are also delegated to the CEO. The CEO reports to the Commission.</w:t>
      </w:r>
    </w:p>
    <w:p w14:paraId="742FA94A" w14:textId="77777777" w:rsidR="00FC17BC" w:rsidRPr="00DF3006" w:rsidRDefault="00FC17BC" w:rsidP="00FC17BC">
      <w:pPr>
        <w:pStyle w:val="Normalindent1stpara"/>
        <w:spacing w:line="240" w:lineRule="auto"/>
        <w:jc w:val="both"/>
        <w:rPr>
          <w:rFonts w:cstheme="minorHAnsi"/>
          <w:color w:val="414042" w:themeColor="text1"/>
          <w:szCs w:val="20"/>
        </w:rPr>
      </w:pPr>
    </w:p>
    <w:p w14:paraId="637E7770" w14:textId="77777777" w:rsidR="00FC17BC" w:rsidRPr="00DF3006" w:rsidRDefault="00FC17BC" w:rsidP="00FC17BC">
      <w:pPr>
        <w:pStyle w:val="Normalhanginglist105pt"/>
        <w:spacing w:line="240" w:lineRule="auto"/>
        <w:jc w:val="both"/>
        <w:rPr>
          <w:rFonts w:cstheme="minorHAnsi"/>
          <w:color w:val="414042" w:themeColor="text1"/>
          <w:szCs w:val="21"/>
        </w:rPr>
      </w:pPr>
      <w:r w:rsidRPr="00DF3006">
        <w:rPr>
          <w:rFonts w:cstheme="minorHAnsi"/>
          <w:color w:val="414042" w:themeColor="text1"/>
          <w:szCs w:val="21"/>
        </w:rPr>
        <w:t>(c)</w:t>
      </w:r>
      <w:r w:rsidRPr="00DF3006">
        <w:rPr>
          <w:rFonts w:cstheme="minorHAnsi"/>
          <w:color w:val="414042" w:themeColor="text1"/>
          <w:szCs w:val="21"/>
        </w:rPr>
        <w:tab/>
        <w:t>Key Management Personnel (</w:t>
      </w:r>
      <w:proofErr w:type="spellStart"/>
      <w:r w:rsidRPr="00DF3006">
        <w:rPr>
          <w:rFonts w:cstheme="minorHAnsi"/>
          <w:color w:val="414042" w:themeColor="text1"/>
          <w:szCs w:val="21"/>
        </w:rPr>
        <w:t>KMP</w:t>
      </w:r>
      <w:proofErr w:type="spellEnd"/>
      <w:r w:rsidRPr="00DF3006">
        <w:rPr>
          <w:rFonts w:cstheme="minorHAnsi"/>
          <w:color w:val="414042" w:themeColor="text1"/>
          <w:szCs w:val="21"/>
        </w:rPr>
        <w:t>)</w:t>
      </w:r>
    </w:p>
    <w:p w14:paraId="05B8F1C3" w14:textId="77777777" w:rsidR="00FC17BC" w:rsidRPr="00DF3006" w:rsidRDefault="00FC17BC" w:rsidP="00FC17BC">
      <w:pPr>
        <w:pStyle w:val="Normalindent1stpara"/>
        <w:spacing w:line="240" w:lineRule="auto"/>
        <w:ind w:right="-143"/>
        <w:jc w:val="both"/>
        <w:rPr>
          <w:rFonts w:cstheme="minorHAnsi"/>
          <w:color w:val="414042" w:themeColor="text1"/>
          <w:szCs w:val="20"/>
        </w:rPr>
      </w:pPr>
      <w:r w:rsidRPr="00DF3006">
        <w:rPr>
          <w:rFonts w:cstheme="minorHAnsi"/>
          <w:color w:val="414042" w:themeColor="text1"/>
          <w:szCs w:val="20"/>
        </w:rPr>
        <w:t xml:space="preserve">The CCC’s responsible Minister is identified as part of the CCC’s </w:t>
      </w:r>
      <w:proofErr w:type="spellStart"/>
      <w:r w:rsidRPr="00DF3006">
        <w:rPr>
          <w:rFonts w:cstheme="minorHAnsi"/>
          <w:color w:val="414042" w:themeColor="text1"/>
          <w:szCs w:val="20"/>
        </w:rPr>
        <w:t>KMP</w:t>
      </w:r>
      <w:proofErr w:type="spellEnd"/>
      <w:r w:rsidRPr="00DF3006">
        <w:rPr>
          <w:rFonts w:cstheme="minorHAnsi"/>
          <w:color w:val="414042" w:themeColor="text1"/>
          <w:szCs w:val="20"/>
        </w:rPr>
        <w:t xml:space="preserve">, consistent with additional guidance included in the revised version of </w:t>
      </w:r>
      <w:proofErr w:type="spellStart"/>
      <w:r w:rsidRPr="00DF3006">
        <w:rPr>
          <w:rFonts w:cstheme="minorHAnsi"/>
          <w:color w:val="414042" w:themeColor="text1"/>
          <w:szCs w:val="20"/>
        </w:rPr>
        <w:t>AASB</w:t>
      </w:r>
      <w:proofErr w:type="spellEnd"/>
      <w:r w:rsidRPr="00DF3006">
        <w:rPr>
          <w:rFonts w:cstheme="minorHAnsi"/>
          <w:color w:val="414042" w:themeColor="text1"/>
          <w:szCs w:val="20"/>
        </w:rPr>
        <w:t xml:space="preserve"> 124 </w:t>
      </w:r>
      <w:r w:rsidRPr="00DF3006">
        <w:rPr>
          <w:rFonts w:cstheme="minorHAnsi"/>
          <w:i/>
          <w:color w:val="414042" w:themeColor="text1"/>
          <w:szCs w:val="20"/>
        </w:rPr>
        <w:t>Related Party Disclosures</w:t>
      </w:r>
      <w:r w:rsidRPr="00DF3006">
        <w:rPr>
          <w:rFonts w:cstheme="minorHAnsi"/>
          <w:color w:val="414042" w:themeColor="text1"/>
          <w:szCs w:val="20"/>
        </w:rPr>
        <w:t xml:space="preserve">. That Minister is the Attorney-General and Minister for Justice and Minister for the Prevention of Domestic and Family Violence.  Ministerial remuneration entitlements are outlined in the Legislative Assembly of Queensland’s Member’s Remuneration Handbook. The CCC does not bear any cost of remuneration of Ministers. </w:t>
      </w:r>
      <w:proofErr w:type="gramStart"/>
      <w:r w:rsidRPr="00DF3006">
        <w:rPr>
          <w:rFonts w:cstheme="minorHAnsi"/>
          <w:color w:val="414042" w:themeColor="text1"/>
          <w:szCs w:val="20"/>
        </w:rPr>
        <w:t>The majority of</w:t>
      </w:r>
      <w:proofErr w:type="gramEnd"/>
      <w:r w:rsidRPr="00DF3006">
        <w:rPr>
          <w:rFonts w:cstheme="minorHAnsi"/>
          <w:color w:val="414042" w:themeColor="text1"/>
          <w:szCs w:val="20"/>
        </w:rPr>
        <w:t xml:space="preserve"> Ministerial entitlements are paid by the Legislative Assembly, with the remaining entitlements being provided by Ministerial Services Branch within the Department of Premier and Cabinet.  As all Ministers are reported as </w:t>
      </w:r>
      <w:proofErr w:type="spellStart"/>
      <w:r w:rsidRPr="00DF3006">
        <w:rPr>
          <w:rFonts w:cstheme="minorHAnsi"/>
          <w:color w:val="414042" w:themeColor="text1"/>
          <w:szCs w:val="20"/>
        </w:rPr>
        <w:t>KMP</w:t>
      </w:r>
      <w:proofErr w:type="spellEnd"/>
      <w:r w:rsidRPr="00DF3006">
        <w:rPr>
          <w:rFonts w:cstheme="minorHAnsi"/>
          <w:color w:val="414042" w:themeColor="text1"/>
          <w:szCs w:val="20"/>
        </w:rPr>
        <w:t xml:space="preserve"> of the Queensland Government, aggregate remuneration expenses for all Ministers </w:t>
      </w:r>
      <w:proofErr w:type="gramStart"/>
      <w:r w:rsidRPr="00DF3006">
        <w:rPr>
          <w:rFonts w:cstheme="minorHAnsi"/>
          <w:color w:val="414042" w:themeColor="text1"/>
          <w:szCs w:val="20"/>
        </w:rPr>
        <w:t>is</w:t>
      </w:r>
      <w:proofErr w:type="gramEnd"/>
      <w:r w:rsidRPr="00DF3006">
        <w:rPr>
          <w:rFonts w:cstheme="minorHAnsi"/>
          <w:color w:val="414042" w:themeColor="text1"/>
          <w:szCs w:val="20"/>
        </w:rPr>
        <w:t xml:space="preserve"> disclosed in the Queensland General Government and Whole of Government Consolidated Financial Statements, which are published as part of Queensland Treasury’s Report on State Finances. </w:t>
      </w:r>
    </w:p>
    <w:p w14:paraId="231F72CD" w14:textId="77777777" w:rsidR="00FC17BC" w:rsidRPr="00DF3006" w:rsidRDefault="00FC17BC" w:rsidP="00FC17BC">
      <w:pPr>
        <w:pStyle w:val="Normalindent1stpara"/>
        <w:spacing w:line="240" w:lineRule="auto"/>
        <w:ind w:right="-143"/>
        <w:jc w:val="both"/>
        <w:rPr>
          <w:rFonts w:cstheme="minorHAnsi"/>
          <w:color w:val="414042" w:themeColor="text1"/>
          <w:szCs w:val="20"/>
        </w:rPr>
      </w:pPr>
    </w:p>
    <w:p w14:paraId="0883D55A" w14:textId="77777777" w:rsidR="00FC17BC" w:rsidRPr="00DF3006" w:rsidRDefault="00FC17BC" w:rsidP="00FC17BC">
      <w:pPr>
        <w:pStyle w:val="Normalindent1stpara"/>
        <w:spacing w:line="240" w:lineRule="auto"/>
        <w:ind w:right="-143"/>
        <w:jc w:val="both"/>
        <w:rPr>
          <w:rFonts w:cstheme="minorHAnsi"/>
          <w:color w:val="414042" w:themeColor="text1"/>
          <w:szCs w:val="20"/>
        </w:rPr>
      </w:pPr>
      <w:r w:rsidRPr="00DF3006">
        <w:rPr>
          <w:rFonts w:cstheme="minorHAnsi"/>
          <w:color w:val="414042" w:themeColor="text1"/>
          <w:szCs w:val="20"/>
        </w:rPr>
        <w:t xml:space="preserve">The details for non-ministerial </w:t>
      </w:r>
      <w:proofErr w:type="spellStart"/>
      <w:r w:rsidRPr="00DF3006">
        <w:rPr>
          <w:rFonts w:cstheme="minorHAnsi"/>
          <w:color w:val="414042" w:themeColor="text1"/>
          <w:szCs w:val="20"/>
        </w:rPr>
        <w:t>KMP</w:t>
      </w:r>
      <w:proofErr w:type="spellEnd"/>
      <w:r w:rsidRPr="00DF3006">
        <w:rPr>
          <w:rFonts w:cstheme="minorHAnsi"/>
          <w:color w:val="414042" w:themeColor="text1"/>
          <w:szCs w:val="20"/>
        </w:rPr>
        <w:t xml:space="preserve"> reflect those CCC positions that had authority and responsibility for planning, </w:t>
      </w:r>
      <w:proofErr w:type="gramStart"/>
      <w:r w:rsidRPr="00DF3006">
        <w:rPr>
          <w:rFonts w:cstheme="minorHAnsi"/>
          <w:color w:val="414042" w:themeColor="text1"/>
          <w:szCs w:val="20"/>
        </w:rPr>
        <w:t>directing</w:t>
      </w:r>
      <w:proofErr w:type="gramEnd"/>
      <w:r w:rsidRPr="00DF3006">
        <w:rPr>
          <w:rFonts w:cstheme="minorHAnsi"/>
          <w:color w:val="414042" w:themeColor="text1"/>
          <w:szCs w:val="20"/>
        </w:rPr>
        <w:t xml:space="preserve"> and controlling activities of the CCC during 2022-23 and 2021-22. Further information about these positions can be found in the body of the Annual Report under the section relating to Governance and people.  </w:t>
      </w:r>
    </w:p>
    <w:p w14:paraId="449C9DFC" w14:textId="77777777" w:rsidR="00FC17BC" w:rsidRPr="00DF3006" w:rsidRDefault="00FC17BC" w:rsidP="00FC17BC">
      <w:pPr>
        <w:pStyle w:val="Normalindent1stpara"/>
        <w:spacing w:line="240" w:lineRule="auto"/>
        <w:ind w:right="-143"/>
        <w:jc w:val="both"/>
        <w:rPr>
          <w:rFonts w:cstheme="minorHAnsi"/>
          <w:color w:val="414042" w:themeColor="text1"/>
          <w:szCs w:val="20"/>
        </w:rPr>
      </w:pPr>
      <w:bookmarkStart w:id="1947" w:name="_Hlk104363583"/>
    </w:p>
    <w:p w14:paraId="4765A08B" w14:textId="77777777" w:rsidR="00FC17BC" w:rsidRPr="00DF3006" w:rsidRDefault="00FC17BC" w:rsidP="00FC17BC">
      <w:pPr>
        <w:pStyle w:val="Normalhanginglist105pt"/>
        <w:spacing w:line="240" w:lineRule="auto"/>
        <w:jc w:val="both"/>
        <w:rPr>
          <w:rFonts w:cstheme="minorHAnsi"/>
          <w:color w:val="414042" w:themeColor="text1"/>
          <w:szCs w:val="21"/>
        </w:rPr>
      </w:pPr>
      <w:r w:rsidRPr="00DF3006">
        <w:rPr>
          <w:rFonts w:cstheme="minorHAnsi"/>
          <w:color w:val="414042" w:themeColor="text1"/>
          <w:szCs w:val="21"/>
        </w:rPr>
        <w:t xml:space="preserve"> (d)</w:t>
      </w:r>
      <w:r w:rsidRPr="00DF3006">
        <w:rPr>
          <w:rFonts w:cstheme="minorHAnsi"/>
          <w:color w:val="414042" w:themeColor="text1"/>
          <w:szCs w:val="21"/>
        </w:rPr>
        <w:tab/>
        <w:t>Remuneration Expenses</w:t>
      </w:r>
    </w:p>
    <w:p w14:paraId="20CCBFBA" w14:textId="77777777" w:rsidR="00FC17BC" w:rsidRPr="00DF3006" w:rsidRDefault="00FC17BC" w:rsidP="00FC17BC">
      <w:pPr>
        <w:pStyle w:val="NormalhangingllistL2"/>
        <w:spacing w:line="240" w:lineRule="auto"/>
        <w:jc w:val="both"/>
        <w:rPr>
          <w:color w:val="414042" w:themeColor="text1"/>
          <w:szCs w:val="20"/>
        </w:rPr>
      </w:pPr>
      <w:bookmarkStart w:id="1948" w:name="_Toc443037420"/>
      <w:bookmarkStart w:id="1949" w:name="_Toc45705579"/>
      <w:r w:rsidRPr="00DF3006">
        <w:rPr>
          <w:color w:val="414042" w:themeColor="text1"/>
          <w:szCs w:val="20"/>
        </w:rPr>
        <w:t>Chairperson Remuneration</w:t>
      </w:r>
    </w:p>
    <w:p w14:paraId="69E40421" w14:textId="77777777" w:rsidR="00FC17BC" w:rsidRPr="00DF3006" w:rsidRDefault="00FC17BC" w:rsidP="00FC17BC">
      <w:pPr>
        <w:pStyle w:val="Normalindent1stpara"/>
        <w:spacing w:line="240" w:lineRule="auto"/>
        <w:jc w:val="both"/>
        <w:rPr>
          <w:color w:val="414042" w:themeColor="text1"/>
          <w:szCs w:val="20"/>
        </w:rPr>
      </w:pPr>
      <w:r w:rsidRPr="00DF3006">
        <w:rPr>
          <w:color w:val="414042" w:themeColor="text1"/>
          <w:szCs w:val="20"/>
        </w:rPr>
        <w:t xml:space="preserve">The remuneration paid to the Chairperson is </w:t>
      </w:r>
      <w:bookmarkStart w:id="1950" w:name="_Hlk102478361"/>
      <w:r w:rsidRPr="00DF3006">
        <w:rPr>
          <w:color w:val="414042" w:themeColor="text1"/>
          <w:szCs w:val="20"/>
        </w:rPr>
        <w:t xml:space="preserve">determined by the Governor-in-Council and is equivalent to the superannuable salary of a Supreme Court judge, other than the Chief Justice or the President of the Court of Appeal, as provided for under the </w:t>
      </w:r>
      <w:r w:rsidRPr="00DF3006">
        <w:rPr>
          <w:i/>
          <w:color w:val="414042" w:themeColor="text1"/>
          <w:szCs w:val="20"/>
        </w:rPr>
        <w:t>Judicial Remuneration Act 2007</w:t>
      </w:r>
      <w:r w:rsidRPr="00DF3006">
        <w:rPr>
          <w:color w:val="414042" w:themeColor="text1"/>
          <w:szCs w:val="20"/>
        </w:rPr>
        <w:t xml:space="preserve">. </w:t>
      </w:r>
    </w:p>
    <w:p w14:paraId="6B7F63B7" w14:textId="77777777" w:rsidR="00FC17BC" w:rsidRPr="00DF3006" w:rsidRDefault="00FC17BC" w:rsidP="00FC17BC">
      <w:pPr>
        <w:pStyle w:val="NormalIndent1"/>
        <w:spacing w:line="240" w:lineRule="auto"/>
        <w:jc w:val="both"/>
        <w:rPr>
          <w:color w:val="414042" w:themeColor="text1"/>
          <w:szCs w:val="20"/>
        </w:rPr>
      </w:pPr>
      <w:r w:rsidRPr="00DF3006">
        <w:rPr>
          <w:color w:val="414042" w:themeColor="text1"/>
          <w:szCs w:val="20"/>
        </w:rPr>
        <w:t xml:space="preserve">The Chairperson’s conditions of employment </w:t>
      </w:r>
      <w:proofErr w:type="gramStart"/>
      <w:r w:rsidRPr="00DF3006">
        <w:rPr>
          <w:color w:val="414042" w:themeColor="text1"/>
          <w:szCs w:val="20"/>
        </w:rPr>
        <w:t>includes</w:t>
      </w:r>
      <w:proofErr w:type="gramEnd"/>
      <w:r w:rsidRPr="00DF3006">
        <w:rPr>
          <w:color w:val="414042" w:themeColor="text1"/>
          <w:szCs w:val="20"/>
        </w:rPr>
        <w:t xml:space="preserve"> a jurisprudential allowance, an expense of office allowance, vehicle allowance, leave equivalent to the public service and a pension in accordance with the provisions of the </w:t>
      </w:r>
      <w:r w:rsidRPr="00DF3006">
        <w:rPr>
          <w:i/>
          <w:color w:val="414042" w:themeColor="text1"/>
          <w:szCs w:val="20"/>
        </w:rPr>
        <w:t>Crime and Corruption Act 2001</w:t>
      </w:r>
      <w:r w:rsidRPr="00DF3006">
        <w:rPr>
          <w:color w:val="414042" w:themeColor="text1"/>
          <w:szCs w:val="20"/>
        </w:rPr>
        <w:t>. The Chairperson is not eligible for a performance bonus.</w:t>
      </w:r>
    </w:p>
    <w:p w14:paraId="11215BBE" w14:textId="77777777" w:rsidR="00FC17BC" w:rsidRPr="00DF3006" w:rsidRDefault="00FC17BC" w:rsidP="00FC17BC">
      <w:pPr>
        <w:pStyle w:val="NormalIndent1"/>
        <w:spacing w:line="240" w:lineRule="auto"/>
        <w:jc w:val="both"/>
        <w:rPr>
          <w:color w:val="414042" w:themeColor="text1"/>
          <w:szCs w:val="20"/>
        </w:rPr>
      </w:pPr>
    </w:p>
    <w:p w14:paraId="47C95008" w14:textId="77777777" w:rsidR="00FC17BC" w:rsidRPr="00DF3006" w:rsidRDefault="00FC17BC" w:rsidP="00FC17BC">
      <w:pPr>
        <w:pStyle w:val="NormalhangingllistL2"/>
        <w:spacing w:line="240" w:lineRule="auto"/>
        <w:jc w:val="both"/>
        <w:rPr>
          <w:color w:val="414042" w:themeColor="text1"/>
          <w:szCs w:val="20"/>
        </w:rPr>
      </w:pPr>
      <w:r w:rsidRPr="00DF3006">
        <w:rPr>
          <w:color w:val="414042" w:themeColor="text1"/>
          <w:szCs w:val="20"/>
        </w:rPr>
        <w:t>Acting Chairperson Remuneration</w:t>
      </w:r>
    </w:p>
    <w:p w14:paraId="05C53CA9" w14:textId="12A24822" w:rsidR="00FC17BC" w:rsidRPr="00DF3006" w:rsidRDefault="00FC17BC" w:rsidP="00C30C9B">
      <w:pPr>
        <w:pStyle w:val="Normalindent1stpara"/>
        <w:spacing w:line="240" w:lineRule="auto"/>
        <w:jc w:val="both"/>
        <w:rPr>
          <w:color w:val="414042" w:themeColor="text1"/>
          <w:szCs w:val="20"/>
        </w:rPr>
      </w:pPr>
      <w:r w:rsidRPr="00DF3006">
        <w:rPr>
          <w:color w:val="414042" w:themeColor="text1"/>
          <w:szCs w:val="20"/>
        </w:rPr>
        <w:t xml:space="preserve">The remuneration paid to the acting Chairperson is determined by the Governor-in-Council. When acting as the Chairperson, the appointees will continue to receive their substantive superannuable salary, plus will receive the pro-rata difference between their substantive superannuable salary and the salary paid to the Chairperson which is equivalent to the salary paid to a Supreme Court Judge. </w:t>
      </w:r>
    </w:p>
    <w:p w14:paraId="76B5FED7" w14:textId="306734FF" w:rsidR="00C30C9B" w:rsidRPr="00DF3006" w:rsidRDefault="00C30C9B">
      <w:pPr>
        <w:spacing w:before="120" w:after="0" w:line="260" w:lineRule="exact"/>
        <w:rPr>
          <w:rFonts w:asciiTheme="minorHAnsi" w:eastAsia="Times New Roman" w:hAnsiTheme="minorHAnsi" w:cs="Arial"/>
          <w:color w:val="414042" w:themeColor="text1"/>
          <w:szCs w:val="20"/>
        </w:rPr>
      </w:pPr>
      <w:r w:rsidRPr="00DF3006">
        <w:rPr>
          <w:color w:val="414042" w:themeColor="text1"/>
          <w:szCs w:val="20"/>
        </w:rPr>
        <w:br w:type="page"/>
      </w:r>
    </w:p>
    <w:bookmarkEnd w:id="1947"/>
    <w:bookmarkEnd w:id="1950"/>
    <w:p w14:paraId="7AB4E54D" w14:textId="77777777" w:rsidR="00FC17BC" w:rsidRPr="00DF3006" w:rsidRDefault="00FC17BC" w:rsidP="00FC17BC">
      <w:pPr>
        <w:pStyle w:val="Normal115pttext"/>
        <w:spacing w:line="240" w:lineRule="auto"/>
        <w:rPr>
          <w:color w:val="414042" w:themeColor="text1"/>
        </w:rPr>
      </w:pPr>
      <w:r w:rsidRPr="00DF3006">
        <w:rPr>
          <w:color w:val="414042" w:themeColor="text1"/>
        </w:rPr>
        <w:t>Note 4:  The Commission, Senior Executive Personnel, Remuneration Expenses and Related Party Transactions (cont’d)</w:t>
      </w:r>
    </w:p>
    <w:p w14:paraId="08CDA6E0" w14:textId="77777777" w:rsidR="00FC17BC" w:rsidRPr="00DF3006" w:rsidRDefault="00FC17BC" w:rsidP="00FC17BC">
      <w:pPr>
        <w:pStyle w:val="Normalhanginglist105pt"/>
        <w:spacing w:line="240" w:lineRule="auto"/>
        <w:rPr>
          <w:rFonts w:cstheme="minorHAnsi"/>
          <w:color w:val="414042" w:themeColor="text1"/>
          <w:szCs w:val="21"/>
        </w:rPr>
      </w:pPr>
      <w:r w:rsidRPr="00DF3006">
        <w:rPr>
          <w:rFonts w:cstheme="minorHAnsi"/>
          <w:color w:val="414042" w:themeColor="text1"/>
          <w:szCs w:val="21"/>
        </w:rPr>
        <w:t>(d)</w:t>
      </w:r>
      <w:r w:rsidRPr="00DF3006">
        <w:rPr>
          <w:rFonts w:cstheme="minorHAnsi"/>
          <w:color w:val="414042" w:themeColor="text1"/>
          <w:szCs w:val="21"/>
        </w:rPr>
        <w:tab/>
        <w:t>Remuneration Expenses (cont’d)</w:t>
      </w:r>
    </w:p>
    <w:p w14:paraId="54878211" w14:textId="77777777" w:rsidR="00FC17BC" w:rsidRPr="00DF3006" w:rsidRDefault="00FC17BC" w:rsidP="00FC17BC">
      <w:pPr>
        <w:pStyle w:val="NormalhangingllistL2"/>
        <w:spacing w:line="240" w:lineRule="auto"/>
        <w:jc w:val="both"/>
        <w:rPr>
          <w:color w:val="414042" w:themeColor="text1"/>
          <w:szCs w:val="20"/>
        </w:rPr>
      </w:pPr>
      <w:r w:rsidRPr="00DF3006">
        <w:rPr>
          <w:color w:val="414042" w:themeColor="text1"/>
          <w:szCs w:val="20"/>
        </w:rPr>
        <w:t>Chief Executive Officer (CEO) and Senior Executive Remuneration (Cont’d)</w:t>
      </w:r>
    </w:p>
    <w:p w14:paraId="6D95A3D5" w14:textId="77777777" w:rsidR="00FC17BC" w:rsidRPr="00DF3006" w:rsidRDefault="00FC17BC" w:rsidP="00FC17BC">
      <w:pPr>
        <w:pStyle w:val="Normalindent1stpara"/>
        <w:spacing w:line="240" w:lineRule="auto"/>
        <w:jc w:val="both"/>
        <w:rPr>
          <w:color w:val="414042" w:themeColor="text1"/>
          <w:szCs w:val="20"/>
        </w:rPr>
      </w:pPr>
      <w:r w:rsidRPr="00DF3006">
        <w:rPr>
          <w:color w:val="414042" w:themeColor="text1"/>
          <w:szCs w:val="20"/>
        </w:rPr>
        <w:t xml:space="preserve">The remuneration paid to the CEO is determined by the Governor-in-Council; however, remuneration policy for both the CCC’s CEO and senior executive personnel is based on rates set by the Queensland Public Sector Commission as provided for under the </w:t>
      </w:r>
      <w:r w:rsidRPr="00DF3006">
        <w:rPr>
          <w:i/>
          <w:color w:val="414042" w:themeColor="text1"/>
          <w:szCs w:val="20"/>
        </w:rPr>
        <w:t xml:space="preserve">Public Sector Act </w:t>
      </w:r>
      <w:proofErr w:type="gramStart"/>
      <w:r w:rsidRPr="00DF3006">
        <w:rPr>
          <w:i/>
          <w:color w:val="414042" w:themeColor="text1"/>
          <w:szCs w:val="20"/>
        </w:rPr>
        <w:t>2022</w:t>
      </w:r>
      <w:r w:rsidRPr="00DF3006">
        <w:rPr>
          <w:color w:val="414042" w:themeColor="text1"/>
          <w:szCs w:val="20"/>
        </w:rPr>
        <w:t>, and</w:t>
      </w:r>
      <w:proofErr w:type="gramEnd"/>
      <w:r w:rsidRPr="00DF3006">
        <w:rPr>
          <w:color w:val="414042" w:themeColor="text1"/>
          <w:szCs w:val="20"/>
        </w:rPr>
        <w:t xml:space="preserve"> approved by the Minister. </w:t>
      </w:r>
    </w:p>
    <w:p w14:paraId="20BB2488" w14:textId="77777777" w:rsidR="00FC17BC" w:rsidRPr="00DF3006" w:rsidRDefault="00FC17BC" w:rsidP="00FC17BC">
      <w:pPr>
        <w:pStyle w:val="NormalIndent1"/>
        <w:spacing w:line="240" w:lineRule="auto"/>
        <w:jc w:val="both"/>
        <w:rPr>
          <w:color w:val="414042" w:themeColor="text1"/>
          <w:szCs w:val="20"/>
        </w:rPr>
      </w:pPr>
      <w:r w:rsidRPr="00DF3006">
        <w:rPr>
          <w:color w:val="414042" w:themeColor="text1"/>
          <w:szCs w:val="20"/>
        </w:rPr>
        <w:t xml:space="preserve">For the 2022-23 year, in accordance with government policy, the remuneration for the CEO increased by 2.5% on 1 July 2022 and a further 2.5% on 1 September 2022. Senior executive personnel remuneration increased by 2.5% on 1 September 2022. There were two 2.5% increments for both CEO and Senior executive personnel in financial year 2021-22. </w:t>
      </w:r>
    </w:p>
    <w:tbl>
      <w:tblPr>
        <w:tblW w:w="9072"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9072"/>
      </w:tblGrid>
      <w:tr w:rsidR="00DF3006" w:rsidRPr="00DF3006" w14:paraId="2A3DD30D" w14:textId="77777777" w:rsidTr="00025E55">
        <w:trPr>
          <w:trHeight w:val="20"/>
        </w:trPr>
        <w:tc>
          <w:tcPr>
            <w:tcW w:w="9072" w:type="dxa"/>
            <w:tcBorders>
              <w:top w:val="nil"/>
              <w:left w:val="nil"/>
              <w:bottom w:val="nil"/>
              <w:right w:val="nil"/>
            </w:tcBorders>
            <w:noWrap/>
            <w:vAlign w:val="bottom"/>
          </w:tcPr>
          <w:p w14:paraId="46753C83" w14:textId="0AF33418" w:rsidR="00FC17BC" w:rsidRPr="00DF3006" w:rsidRDefault="00FC17BC" w:rsidP="00025E55">
            <w:pPr>
              <w:pStyle w:val="NormalIndent1"/>
              <w:spacing w:line="240" w:lineRule="auto"/>
              <w:jc w:val="both"/>
              <w:rPr>
                <w:color w:val="414042" w:themeColor="text1"/>
                <w:szCs w:val="20"/>
              </w:rPr>
            </w:pPr>
            <w:r w:rsidRPr="00DF3006">
              <w:rPr>
                <w:color w:val="414042" w:themeColor="text1"/>
                <w:szCs w:val="20"/>
              </w:rPr>
              <w:t>Remuneration expenses for key management personnel comprise the following components:</w:t>
            </w:r>
          </w:p>
          <w:p w14:paraId="1A9F55E5" w14:textId="77777777" w:rsidR="00FC17BC" w:rsidRPr="00DF3006" w:rsidRDefault="00FC17BC" w:rsidP="00FC17BC">
            <w:pPr>
              <w:pStyle w:val="NormalindentbulletsL1"/>
              <w:ind w:left="1040"/>
              <w:rPr>
                <w:color w:val="414042" w:themeColor="text1"/>
              </w:rPr>
            </w:pPr>
            <w:r w:rsidRPr="00DF3006">
              <w:rPr>
                <w:color w:val="414042" w:themeColor="text1"/>
              </w:rPr>
              <w:t>Short-term employee expenses which include:</w:t>
            </w:r>
          </w:p>
          <w:p w14:paraId="6DAEDFAC" w14:textId="77777777" w:rsidR="00FC17BC" w:rsidRPr="00DF3006" w:rsidRDefault="00FC17BC">
            <w:pPr>
              <w:pStyle w:val="NormalindentbulletsL2"/>
              <w:numPr>
                <w:ilvl w:val="1"/>
                <w:numId w:val="63"/>
              </w:numPr>
              <w:spacing w:line="240" w:lineRule="auto"/>
              <w:jc w:val="both"/>
              <w:rPr>
                <w:color w:val="414042" w:themeColor="text1"/>
                <w:szCs w:val="20"/>
              </w:rPr>
            </w:pPr>
            <w:r w:rsidRPr="00DF3006">
              <w:rPr>
                <w:color w:val="414042" w:themeColor="text1"/>
                <w:szCs w:val="20"/>
              </w:rPr>
              <w:t xml:space="preserve">salaries, allowances and leave entitlements earned and expensed for the entire year or for that part of the year during which the employee occupied the senior executive </w:t>
            </w:r>
            <w:proofErr w:type="gramStart"/>
            <w:r w:rsidRPr="00DF3006">
              <w:rPr>
                <w:color w:val="414042" w:themeColor="text1"/>
                <w:szCs w:val="20"/>
              </w:rPr>
              <w:t>position</w:t>
            </w:r>
            <w:proofErr w:type="gramEnd"/>
          </w:p>
          <w:p w14:paraId="68C7AD23" w14:textId="77777777" w:rsidR="00FC17BC" w:rsidRPr="00DF3006" w:rsidRDefault="00FC17BC">
            <w:pPr>
              <w:pStyle w:val="NormalindentbulletsL2"/>
              <w:numPr>
                <w:ilvl w:val="1"/>
                <w:numId w:val="63"/>
              </w:numPr>
              <w:spacing w:line="240" w:lineRule="auto"/>
              <w:jc w:val="both"/>
              <w:rPr>
                <w:color w:val="414042" w:themeColor="text1"/>
                <w:szCs w:val="20"/>
              </w:rPr>
            </w:pPr>
            <w:r w:rsidRPr="00DF3006">
              <w:rPr>
                <w:color w:val="414042" w:themeColor="text1"/>
                <w:szCs w:val="20"/>
              </w:rPr>
              <w:t xml:space="preserve">non-monetary benefits — consisting of car parking </w:t>
            </w:r>
            <w:proofErr w:type="gramStart"/>
            <w:r w:rsidRPr="00DF3006">
              <w:rPr>
                <w:color w:val="414042" w:themeColor="text1"/>
                <w:szCs w:val="20"/>
              </w:rPr>
              <w:t>benefits</w:t>
            </w:r>
            <w:proofErr w:type="gramEnd"/>
          </w:p>
          <w:p w14:paraId="4F4A0808" w14:textId="77777777" w:rsidR="00FC17BC" w:rsidRPr="00DF3006" w:rsidRDefault="00FC17BC" w:rsidP="00FC17BC">
            <w:pPr>
              <w:pStyle w:val="NormalindentbulletsL1"/>
              <w:ind w:left="1040"/>
              <w:rPr>
                <w:color w:val="414042" w:themeColor="text1"/>
              </w:rPr>
            </w:pPr>
            <w:r w:rsidRPr="00DF3006">
              <w:rPr>
                <w:color w:val="414042" w:themeColor="text1"/>
              </w:rPr>
              <w:t xml:space="preserve">Long-term employee expenses include amounts expensed in respect of long service leave entitlements </w:t>
            </w:r>
            <w:proofErr w:type="gramStart"/>
            <w:r w:rsidRPr="00DF3006">
              <w:rPr>
                <w:color w:val="414042" w:themeColor="text1"/>
              </w:rPr>
              <w:t>earned</w:t>
            </w:r>
            <w:proofErr w:type="gramEnd"/>
          </w:p>
          <w:p w14:paraId="6622FF75" w14:textId="77777777" w:rsidR="00FC17BC" w:rsidRPr="00DF3006" w:rsidRDefault="00FC17BC" w:rsidP="00FC17BC">
            <w:pPr>
              <w:pStyle w:val="NormalindentbulletsL1"/>
              <w:ind w:left="1040"/>
              <w:rPr>
                <w:color w:val="414042" w:themeColor="text1"/>
              </w:rPr>
            </w:pPr>
            <w:r w:rsidRPr="00DF3006">
              <w:rPr>
                <w:color w:val="414042" w:themeColor="text1"/>
              </w:rPr>
              <w:t xml:space="preserve">Post-employment expenses include amounts expensed in respect of employer superannuation </w:t>
            </w:r>
            <w:proofErr w:type="gramStart"/>
            <w:r w:rsidRPr="00DF3006">
              <w:rPr>
                <w:color w:val="414042" w:themeColor="text1"/>
              </w:rPr>
              <w:t>obligations</w:t>
            </w:r>
            <w:proofErr w:type="gramEnd"/>
          </w:p>
          <w:p w14:paraId="67AF2290" w14:textId="77777777" w:rsidR="00FC17BC" w:rsidRPr="00DF3006" w:rsidRDefault="00FC17BC" w:rsidP="00FC17BC">
            <w:pPr>
              <w:pStyle w:val="NormalindentbulletsL1"/>
              <w:ind w:left="1040"/>
              <w:rPr>
                <w:color w:val="414042" w:themeColor="text1"/>
              </w:rPr>
            </w:pPr>
            <w:r w:rsidRPr="00DF3006">
              <w:rPr>
                <w:color w:val="414042" w:themeColor="text1"/>
              </w:rPr>
              <w:t xml:space="preserve">Termination benefits are provided for within individual contracts of employment for senior executive personnel only. Contracts of employment provide only for notice periods or payment in lieu of notice on termination, regardless of the reason for the </w:t>
            </w:r>
            <w:proofErr w:type="gramStart"/>
            <w:r w:rsidRPr="00DF3006">
              <w:rPr>
                <w:color w:val="414042" w:themeColor="text1"/>
              </w:rPr>
              <w:t>termination</w:t>
            </w:r>
            <w:proofErr w:type="gramEnd"/>
          </w:p>
          <w:p w14:paraId="44CDE034" w14:textId="77777777" w:rsidR="00FC17BC" w:rsidRPr="00DF3006" w:rsidRDefault="00FC17BC" w:rsidP="00FC17BC">
            <w:pPr>
              <w:pStyle w:val="NormalindentbulletsL1"/>
              <w:ind w:left="1040"/>
              <w:rPr>
                <w:color w:val="414042" w:themeColor="text1"/>
              </w:rPr>
            </w:pPr>
            <w:r w:rsidRPr="00DF3006">
              <w:rPr>
                <w:color w:val="414042" w:themeColor="text1"/>
              </w:rPr>
              <w:t>The CEO and senior executive personnel contracts do not provide for performance bonuses.</w:t>
            </w:r>
          </w:p>
          <w:p w14:paraId="291F0854" w14:textId="77777777" w:rsidR="00FC17BC" w:rsidRPr="00DF3006" w:rsidRDefault="00FC17BC" w:rsidP="00025E55">
            <w:pPr>
              <w:pStyle w:val="NormalIndent1"/>
              <w:spacing w:line="240" w:lineRule="auto"/>
              <w:jc w:val="both"/>
              <w:rPr>
                <w:color w:val="414042" w:themeColor="text1"/>
                <w:szCs w:val="20"/>
              </w:rPr>
            </w:pPr>
            <w:r w:rsidRPr="00DF3006">
              <w:rPr>
                <w:color w:val="414042" w:themeColor="text1"/>
                <w:szCs w:val="20"/>
              </w:rPr>
              <w:t xml:space="preserve">The remuneration and other terms of employment for the senior executive personnel are specified </w:t>
            </w:r>
            <w:r w:rsidRPr="00DF3006">
              <w:rPr>
                <w:color w:val="414042" w:themeColor="text1"/>
                <w:szCs w:val="20"/>
              </w:rPr>
              <w:br/>
              <w:t>in employment contracts.</w:t>
            </w:r>
          </w:p>
          <w:p w14:paraId="268F4566" w14:textId="77777777" w:rsidR="00FC17BC" w:rsidRPr="00DF3006" w:rsidRDefault="00FC17BC" w:rsidP="00025E55">
            <w:pPr>
              <w:pStyle w:val="NormalIndent1"/>
              <w:spacing w:line="240" w:lineRule="auto"/>
              <w:jc w:val="both"/>
              <w:rPr>
                <w:color w:val="414042" w:themeColor="text1"/>
                <w:szCs w:val="20"/>
              </w:rPr>
            </w:pPr>
          </w:p>
          <w:p w14:paraId="61662D73" w14:textId="77777777" w:rsidR="00FC17BC" w:rsidRPr="00DF3006" w:rsidRDefault="00FC17BC" w:rsidP="00025E55">
            <w:pPr>
              <w:pStyle w:val="NormalhangingllistL2"/>
              <w:spacing w:line="240" w:lineRule="auto"/>
              <w:jc w:val="both"/>
              <w:rPr>
                <w:rFonts w:cstheme="minorHAnsi"/>
                <w:color w:val="414042" w:themeColor="text1"/>
                <w:szCs w:val="20"/>
              </w:rPr>
            </w:pPr>
            <w:r w:rsidRPr="00DF3006">
              <w:rPr>
                <w:rFonts w:cstheme="minorHAnsi"/>
                <w:color w:val="414042" w:themeColor="text1"/>
                <w:szCs w:val="20"/>
              </w:rPr>
              <w:t>Part-time Ordinary Commissioners’ Remuneration</w:t>
            </w:r>
          </w:p>
          <w:p w14:paraId="27EA74FD" w14:textId="77777777" w:rsidR="00FC17BC" w:rsidRPr="00DF3006" w:rsidRDefault="00FC17BC" w:rsidP="00025E55">
            <w:pPr>
              <w:pStyle w:val="Normalindent1stpara"/>
              <w:spacing w:line="240" w:lineRule="auto"/>
              <w:jc w:val="both"/>
              <w:rPr>
                <w:rFonts w:cstheme="minorHAnsi"/>
                <w:color w:val="414042" w:themeColor="text1"/>
                <w:szCs w:val="20"/>
              </w:rPr>
            </w:pPr>
            <w:r w:rsidRPr="00DF3006">
              <w:rPr>
                <w:rFonts w:cstheme="minorHAnsi"/>
                <w:color w:val="414042" w:themeColor="text1"/>
                <w:szCs w:val="20"/>
              </w:rPr>
              <w:t>The remuneration paid to part-time Commissioners is determined by the Governor-in-Council and based on rates specified in the guidelines for Remuneration of Part-time Chairs and Members of Government Boards, Committees and Statutory Authorities: Remuneration Procedures. The remuneration amounts shown include superannuation.</w:t>
            </w:r>
          </w:p>
          <w:p w14:paraId="6896CA13" w14:textId="77777777" w:rsidR="00FC17BC" w:rsidRPr="00DF3006" w:rsidRDefault="00FC17BC" w:rsidP="00025E55">
            <w:pPr>
              <w:pStyle w:val="Normalindent1stpara"/>
              <w:spacing w:line="240" w:lineRule="auto"/>
              <w:jc w:val="both"/>
              <w:rPr>
                <w:rFonts w:cstheme="minorHAnsi"/>
                <w:color w:val="414042" w:themeColor="text1"/>
                <w:szCs w:val="20"/>
              </w:rPr>
            </w:pPr>
          </w:p>
          <w:tbl>
            <w:tblPr>
              <w:tblStyle w:val="TableGrid"/>
              <w:tblW w:w="97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275"/>
              <w:gridCol w:w="1417"/>
              <w:gridCol w:w="3686"/>
              <w:gridCol w:w="1134"/>
              <w:gridCol w:w="1134"/>
              <w:gridCol w:w="1134"/>
            </w:tblGrid>
            <w:tr w:rsidR="00DF3006" w:rsidRPr="00DF3006" w14:paraId="799026A8" w14:textId="77777777" w:rsidTr="00025E55">
              <w:tc>
                <w:tcPr>
                  <w:tcW w:w="1275" w:type="dxa"/>
                  <w:vMerge w:val="restart"/>
                  <w:tcBorders>
                    <w:top w:val="single" w:sz="4" w:space="0" w:color="auto"/>
                    <w:bottom w:val="single" w:sz="4" w:space="0" w:color="auto"/>
                    <w:right w:val="single" w:sz="4" w:space="0" w:color="auto"/>
                  </w:tcBorders>
                  <w:shd w:val="clear" w:color="auto" w:fill="auto"/>
                  <w:vAlign w:val="center"/>
                </w:tcPr>
                <w:p w14:paraId="7BD335A2" w14:textId="77777777" w:rsidR="00FC17BC" w:rsidRPr="00DF3006" w:rsidRDefault="00FC17BC" w:rsidP="00025E55">
                  <w:pPr>
                    <w:pStyle w:val="Normaltabletextcentred"/>
                    <w:spacing w:line="240" w:lineRule="auto"/>
                    <w:jc w:val="left"/>
                    <w:rPr>
                      <w:rFonts w:cstheme="minorHAnsi"/>
                      <w:b/>
                      <w:color w:val="414042" w:themeColor="text1"/>
                      <w:sz w:val="18"/>
                    </w:rPr>
                  </w:pPr>
                  <w:r w:rsidRPr="00DF3006">
                    <w:rPr>
                      <w:rFonts w:cstheme="minorHAnsi"/>
                      <w:b/>
                      <w:color w:val="414042" w:themeColor="text1"/>
                      <w:sz w:val="18"/>
                    </w:rPr>
                    <w:t xml:space="preserve">Name of </w:t>
                  </w:r>
                  <w:r w:rsidRPr="00DF3006">
                    <w:rPr>
                      <w:rFonts w:cstheme="minorHAnsi"/>
                      <w:b/>
                      <w:color w:val="414042" w:themeColor="text1"/>
                      <w:sz w:val="18"/>
                    </w:rPr>
                    <w:br/>
                    <w:t>Commissioner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70BD75EB" w14:textId="77777777" w:rsidR="00FC17BC" w:rsidRPr="00DF3006" w:rsidRDefault="00FC17BC" w:rsidP="00025E55">
                  <w:pPr>
                    <w:pStyle w:val="Normaltabletextcentred"/>
                    <w:spacing w:line="240" w:lineRule="auto"/>
                    <w:jc w:val="left"/>
                    <w:rPr>
                      <w:rFonts w:cstheme="minorHAnsi"/>
                      <w:b/>
                      <w:color w:val="414042" w:themeColor="text1"/>
                      <w:sz w:val="18"/>
                    </w:rPr>
                  </w:pPr>
                  <w:r w:rsidRPr="00DF3006">
                    <w:rPr>
                      <w:rFonts w:cstheme="minorHAnsi"/>
                      <w:b/>
                      <w:color w:val="414042" w:themeColor="text1"/>
                      <w:sz w:val="18"/>
                    </w:rPr>
                    <w:t>Position</w:t>
                  </w:r>
                </w:p>
                <w:p w14:paraId="2F61B222" w14:textId="77777777" w:rsidR="00FC17BC" w:rsidRPr="00DF3006" w:rsidRDefault="00FC17BC" w:rsidP="00025E55">
                  <w:pPr>
                    <w:pStyle w:val="Normaltabletextcentred"/>
                    <w:spacing w:line="240" w:lineRule="auto"/>
                    <w:jc w:val="left"/>
                    <w:rPr>
                      <w:rFonts w:cstheme="minorHAnsi"/>
                      <w:b/>
                      <w:color w:val="414042" w:themeColor="text1"/>
                      <w:sz w:val="18"/>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51FB7C45" w14:textId="77777777" w:rsidR="00FC17BC" w:rsidRPr="00DF3006" w:rsidRDefault="00FC17BC" w:rsidP="00025E55">
                  <w:pPr>
                    <w:pStyle w:val="Normaltabletextcentred"/>
                    <w:spacing w:line="240" w:lineRule="auto"/>
                    <w:jc w:val="left"/>
                    <w:rPr>
                      <w:rFonts w:cstheme="minorHAnsi"/>
                      <w:b/>
                      <w:color w:val="414042" w:themeColor="text1"/>
                      <w:sz w:val="18"/>
                    </w:rPr>
                  </w:pPr>
                  <w:r w:rsidRPr="00DF3006">
                    <w:rPr>
                      <w:rFonts w:cstheme="minorHAnsi"/>
                      <w:b/>
                      <w:color w:val="414042" w:themeColor="text1"/>
                      <w:sz w:val="18"/>
                    </w:rPr>
                    <w:t>Date of term commencement</w:t>
                  </w:r>
                  <w:r w:rsidRPr="00DF3006">
                    <w:rPr>
                      <w:rFonts w:cstheme="minorHAnsi"/>
                      <w:b/>
                      <w:color w:val="414042" w:themeColor="text1"/>
                      <w:sz w:val="18"/>
                    </w:rPr>
                    <w:br/>
                  </w:r>
                </w:p>
              </w:tc>
              <w:tc>
                <w:tcPr>
                  <w:tcW w:w="1134" w:type="dxa"/>
                  <w:tcBorders>
                    <w:top w:val="single" w:sz="4" w:space="0" w:color="auto"/>
                    <w:left w:val="single" w:sz="4" w:space="0" w:color="auto"/>
                    <w:right w:val="single" w:sz="4" w:space="0" w:color="auto"/>
                  </w:tcBorders>
                  <w:shd w:val="clear" w:color="auto" w:fill="D9D9D9" w:themeFill="background1" w:themeFillShade="D9"/>
                  <w:tcMar>
                    <w:right w:w="113" w:type="dxa"/>
                  </w:tcMar>
                  <w:vAlign w:val="center"/>
                </w:tcPr>
                <w:p w14:paraId="37DB4C91"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2023</w:t>
                  </w:r>
                </w:p>
              </w:tc>
              <w:tc>
                <w:tcPr>
                  <w:tcW w:w="1134" w:type="dxa"/>
                  <w:tcBorders>
                    <w:top w:val="single" w:sz="4" w:space="0" w:color="auto"/>
                    <w:left w:val="single" w:sz="4" w:space="0" w:color="auto"/>
                  </w:tcBorders>
                  <w:shd w:val="clear" w:color="auto" w:fill="FFFFFF" w:themeFill="background1"/>
                  <w:tcMar>
                    <w:right w:w="113" w:type="dxa"/>
                  </w:tcMar>
                  <w:vAlign w:val="center"/>
                </w:tcPr>
                <w:p w14:paraId="731526EC"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2022</w:t>
                  </w:r>
                </w:p>
              </w:tc>
              <w:tc>
                <w:tcPr>
                  <w:tcW w:w="1134" w:type="dxa"/>
                  <w:tcBorders>
                    <w:top w:val="single" w:sz="4" w:space="0" w:color="auto"/>
                    <w:left w:val="nil"/>
                  </w:tcBorders>
                  <w:shd w:val="clear" w:color="auto" w:fill="FFFFFF" w:themeFill="background1"/>
                </w:tcPr>
                <w:p w14:paraId="0D831A2F" w14:textId="77777777" w:rsidR="00FC17BC" w:rsidRPr="00DF3006" w:rsidRDefault="00FC17BC" w:rsidP="00025E55">
                  <w:pPr>
                    <w:pStyle w:val="Normaltabletext1stpararight"/>
                    <w:spacing w:line="240" w:lineRule="auto"/>
                    <w:rPr>
                      <w:rFonts w:cstheme="minorHAnsi"/>
                      <w:b/>
                      <w:color w:val="414042" w:themeColor="text1"/>
                      <w:sz w:val="18"/>
                    </w:rPr>
                  </w:pPr>
                </w:p>
              </w:tc>
            </w:tr>
            <w:tr w:rsidR="00DF3006" w:rsidRPr="00DF3006" w14:paraId="09F707F0" w14:textId="77777777" w:rsidTr="00025E55">
              <w:tc>
                <w:tcPr>
                  <w:tcW w:w="1275" w:type="dxa"/>
                  <w:vMerge/>
                  <w:tcBorders>
                    <w:top w:val="single" w:sz="4" w:space="0" w:color="auto"/>
                    <w:bottom w:val="single" w:sz="4" w:space="0" w:color="auto"/>
                    <w:right w:val="single" w:sz="4" w:space="0" w:color="auto"/>
                  </w:tcBorders>
                  <w:shd w:val="clear" w:color="auto" w:fill="auto"/>
                  <w:vAlign w:val="center"/>
                </w:tcPr>
                <w:p w14:paraId="2A27F3F8" w14:textId="77777777" w:rsidR="00FC17BC" w:rsidRPr="00DF3006" w:rsidRDefault="00FC17BC" w:rsidP="00025E55">
                  <w:pPr>
                    <w:pStyle w:val="Normaltabletextleft"/>
                    <w:spacing w:line="240" w:lineRule="auto"/>
                    <w:rPr>
                      <w:rFonts w:cstheme="minorHAnsi"/>
                      <w:color w:val="414042" w:themeColor="text1"/>
                      <w:sz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59C72B29" w14:textId="77777777" w:rsidR="00FC17BC" w:rsidRPr="00DF3006" w:rsidRDefault="00FC17BC" w:rsidP="00025E55">
                  <w:pPr>
                    <w:pStyle w:val="Normaltabletextleft"/>
                    <w:spacing w:line="240" w:lineRule="auto"/>
                    <w:rPr>
                      <w:rFonts w:cstheme="minorHAnsi"/>
                      <w:color w:val="414042" w:themeColor="text1"/>
                      <w:sz w:val="18"/>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48CFBB54" w14:textId="77777777" w:rsidR="00FC17BC" w:rsidRPr="00DF3006" w:rsidRDefault="00FC17BC" w:rsidP="00025E55">
                  <w:pPr>
                    <w:pStyle w:val="Normaltabletextleft"/>
                    <w:spacing w:line="240" w:lineRule="auto"/>
                    <w:rPr>
                      <w:rFonts w:cstheme="minorHAnsi"/>
                      <w:color w:val="414042" w:themeColor="text1"/>
                      <w:sz w:val="18"/>
                    </w:rPr>
                  </w:pPr>
                </w:p>
              </w:tc>
              <w:tc>
                <w:tcPr>
                  <w:tcW w:w="1134" w:type="dxa"/>
                  <w:tcBorders>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645273E2"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$’000</w:t>
                  </w:r>
                </w:p>
              </w:tc>
              <w:tc>
                <w:tcPr>
                  <w:tcW w:w="1134" w:type="dxa"/>
                  <w:tcBorders>
                    <w:left w:val="single" w:sz="4" w:space="0" w:color="auto"/>
                    <w:bottom w:val="single" w:sz="4" w:space="0" w:color="auto"/>
                  </w:tcBorders>
                  <w:shd w:val="clear" w:color="auto" w:fill="FFFFFF" w:themeFill="background1"/>
                  <w:tcMar>
                    <w:right w:w="113" w:type="dxa"/>
                  </w:tcMar>
                  <w:vAlign w:val="center"/>
                </w:tcPr>
                <w:p w14:paraId="4A34944B"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$’000</w:t>
                  </w:r>
                </w:p>
              </w:tc>
              <w:tc>
                <w:tcPr>
                  <w:tcW w:w="1134" w:type="dxa"/>
                  <w:tcBorders>
                    <w:left w:val="nil"/>
                    <w:bottom w:val="single" w:sz="4" w:space="0" w:color="auto"/>
                  </w:tcBorders>
                  <w:shd w:val="clear" w:color="auto" w:fill="FFFFFF" w:themeFill="background1"/>
                </w:tcPr>
                <w:p w14:paraId="5E29F05D" w14:textId="77777777" w:rsidR="00FC17BC" w:rsidRPr="00DF3006" w:rsidRDefault="00FC17BC" w:rsidP="00025E55">
                  <w:pPr>
                    <w:pStyle w:val="Normaltabletext1stpararight"/>
                    <w:spacing w:line="240" w:lineRule="auto"/>
                    <w:rPr>
                      <w:rFonts w:cstheme="minorHAnsi"/>
                      <w:b/>
                      <w:color w:val="414042" w:themeColor="text1"/>
                      <w:sz w:val="18"/>
                    </w:rPr>
                  </w:pPr>
                </w:p>
              </w:tc>
            </w:tr>
            <w:tr w:rsidR="00DF3006" w:rsidRPr="00DF3006" w14:paraId="6AEC356F" w14:textId="77777777" w:rsidTr="00025E55">
              <w:trPr>
                <w:trHeight w:hRule="exact" w:val="419"/>
              </w:trPr>
              <w:tc>
                <w:tcPr>
                  <w:tcW w:w="1275" w:type="dxa"/>
                  <w:tcBorders>
                    <w:top w:val="single" w:sz="4" w:space="0" w:color="auto"/>
                    <w:bottom w:val="single" w:sz="4" w:space="0" w:color="auto"/>
                    <w:right w:val="single" w:sz="4" w:space="0" w:color="auto"/>
                  </w:tcBorders>
                  <w:shd w:val="clear" w:color="auto" w:fill="auto"/>
                  <w:vAlign w:val="center"/>
                </w:tcPr>
                <w:p w14:paraId="64F84818"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Kathryn McMillan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23F2AC9E"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Deputy </w:t>
                  </w:r>
                </w:p>
                <w:p w14:paraId="2FD4F274"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Chairperson</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176629CE" w14:textId="4EC1CE1C" w:rsidR="00FC17BC" w:rsidRPr="00DF3006" w:rsidRDefault="006D01B7"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16 </w:t>
                  </w:r>
                  <w:r w:rsidR="00FC17BC" w:rsidRPr="00DF3006">
                    <w:rPr>
                      <w:rFonts w:cstheme="minorHAnsi"/>
                      <w:color w:val="414042" w:themeColor="text1"/>
                      <w:sz w:val="18"/>
                    </w:rPr>
                    <w:t>December 2022 to current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455E794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25</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545EC65F"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w:t>
                  </w:r>
                </w:p>
              </w:tc>
              <w:tc>
                <w:tcPr>
                  <w:tcW w:w="1134" w:type="dxa"/>
                  <w:tcBorders>
                    <w:top w:val="single" w:sz="4" w:space="0" w:color="auto"/>
                    <w:left w:val="nil"/>
                    <w:bottom w:val="single" w:sz="4" w:space="0" w:color="auto"/>
                  </w:tcBorders>
                  <w:shd w:val="clear" w:color="auto" w:fill="FFFFFF" w:themeFill="background1"/>
                </w:tcPr>
                <w:p w14:paraId="52ED0BD8" w14:textId="77777777" w:rsidR="00FC17BC" w:rsidRPr="00DF3006" w:rsidRDefault="00FC17BC" w:rsidP="00025E55">
                  <w:pPr>
                    <w:pStyle w:val="Normaltabletext1stpararight"/>
                    <w:spacing w:line="240" w:lineRule="auto"/>
                    <w:rPr>
                      <w:rFonts w:cstheme="minorHAnsi"/>
                      <w:color w:val="414042" w:themeColor="text1"/>
                      <w:sz w:val="18"/>
                    </w:rPr>
                  </w:pPr>
                </w:p>
              </w:tc>
            </w:tr>
            <w:tr w:rsidR="00DF3006" w:rsidRPr="00DF3006" w14:paraId="5A3E2AD2" w14:textId="77777777" w:rsidTr="00025E5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02CAC69C"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Sydney    Williams</w:t>
                  </w:r>
                </w:p>
              </w:tc>
              <w:tc>
                <w:tcPr>
                  <w:tcW w:w="1417" w:type="dxa"/>
                  <w:tcBorders>
                    <w:top w:val="single" w:sz="4" w:space="0" w:color="auto"/>
                    <w:bottom w:val="single" w:sz="4" w:space="0" w:color="auto"/>
                    <w:right w:val="single" w:sz="4" w:space="0" w:color="auto"/>
                  </w:tcBorders>
                  <w:shd w:val="clear" w:color="auto" w:fill="auto"/>
                  <w:tcMar>
                    <w:left w:w="113" w:type="dxa"/>
                  </w:tcMar>
                  <w:vAlign w:val="center"/>
                </w:tcPr>
                <w:p w14:paraId="3831F5B6"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Deputy </w:t>
                  </w:r>
                </w:p>
                <w:p w14:paraId="6FAC12F2"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Chairperson</w:t>
                  </w:r>
                </w:p>
              </w:tc>
              <w:tc>
                <w:tcPr>
                  <w:tcW w:w="3686" w:type="dxa"/>
                  <w:tcBorders>
                    <w:top w:val="single" w:sz="4" w:space="0" w:color="auto"/>
                    <w:bottom w:val="single" w:sz="4" w:space="0" w:color="auto"/>
                    <w:right w:val="single" w:sz="4" w:space="0" w:color="auto"/>
                  </w:tcBorders>
                  <w:shd w:val="clear" w:color="auto" w:fill="auto"/>
                  <w:tcMar>
                    <w:left w:w="113" w:type="dxa"/>
                  </w:tcMar>
                  <w:vAlign w:val="center"/>
                </w:tcPr>
                <w:p w14:paraId="375FB7DD"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1 November 2014 to 31 October 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6E1D6D2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14</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79F06EA4"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46</w:t>
                  </w:r>
                </w:p>
              </w:tc>
              <w:tc>
                <w:tcPr>
                  <w:tcW w:w="1134" w:type="dxa"/>
                  <w:tcBorders>
                    <w:top w:val="single" w:sz="4" w:space="0" w:color="auto"/>
                    <w:left w:val="nil"/>
                    <w:bottom w:val="single" w:sz="4" w:space="0" w:color="auto"/>
                  </w:tcBorders>
                  <w:shd w:val="clear" w:color="auto" w:fill="FFFFFF" w:themeFill="background1"/>
                </w:tcPr>
                <w:p w14:paraId="17D179E6" w14:textId="77777777" w:rsidR="00FC17BC" w:rsidRPr="00DF3006" w:rsidRDefault="00FC17BC" w:rsidP="00025E55">
                  <w:pPr>
                    <w:pStyle w:val="Normaltabletext1stpararight"/>
                    <w:spacing w:line="240" w:lineRule="auto"/>
                    <w:rPr>
                      <w:rFonts w:cstheme="minorHAnsi"/>
                      <w:color w:val="414042" w:themeColor="text1"/>
                      <w:sz w:val="18"/>
                    </w:rPr>
                  </w:pPr>
                </w:p>
              </w:tc>
            </w:tr>
            <w:tr w:rsidR="00DF3006" w:rsidRPr="00DF3006" w14:paraId="71BC8AFC" w14:textId="77777777" w:rsidTr="00025E5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1DFD91F5"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Helen               Darch</w:t>
                  </w:r>
                </w:p>
              </w:tc>
              <w:tc>
                <w:tcPr>
                  <w:tcW w:w="1417" w:type="dxa"/>
                  <w:tcBorders>
                    <w:top w:val="single" w:sz="4" w:space="0" w:color="auto"/>
                    <w:bottom w:val="single" w:sz="4" w:space="0" w:color="auto"/>
                    <w:right w:val="single" w:sz="4" w:space="0" w:color="auto"/>
                  </w:tcBorders>
                  <w:shd w:val="clear" w:color="auto" w:fill="auto"/>
                  <w:tcMar>
                    <w:left w:w="113" w:type="dxa"/>
                  </w:tcMar>
                  <w:vAlign w:val="center"/>
                </w:tcPr>
                <w:p w14:paraId="23D52B6A"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center"/>
                </w:tcPr>
                <w:p w14:paraId="43EF38F4"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14 May 2021 to current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4B68D25D"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46</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0F5B1EF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46</w:t>
                  </w:r>
                </w:p>
              </w:tc>
              <w:tc>
                <w:tcPr>
                  <w:tcW w:w="1134" w:type="dxa"/>
                  <w:tcBorders>
                    <w:top w:val="single" w:sz="4" w:space="0" w:color="auto"/>
                    <w:left w:val="nil"/>
                    <w:bottom w:val="single" w:sz="4" w:space="0" w:color="auto"/>
                  </w:tcBorders>
                  <w:shd w:val="clear" w:color="auto" w:fill="FFFFFF" w:themeFill="background1"/>
                </w:tcPr>
                <w:p w14:paraId="35BEBF45" w14:textId="77777777" w:rsidR="00FC17BC" w:rsidRPr="00DF3006" w:rsidRDefault="00FC17BC" w:rsidP="00025E55">
                  <w:pPr>
                    <w:pStyle w:val="Normaltabletext1stpararight"/>
                    <w:spacing w:line="240" w:lineRule="auto"/>
                    <w:rPr>
                      <w:rFonts w:cstheme="minorHAnsi"/>
                      <w:color w:val="414042" w:themeColor="text1"/>
                      <w:sz w:val="18"/>
                    </w:rPr>
                  </w:pPr>
                </w:p>
              </w:tc>
            </w:tr>
            <w:tr w:rsidR="00DF3006" w:rsidRPr="00DF3006" w14:paraId="66C268F9" w14:textId="77777777" w:rsidTr="00025E5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692CEC57"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Peter             Dowling</w:t>
                  </w:r>
                </w:p>
              </w:tc>
              <w:tc>
                <w:tcPr>
                  <w:tcW w:w="1417" w:type="dxa"/>
                  <w:tcBorders>
                    <w:top w:val="single" w:sz="4" w:space="0" w:color="auto"/>
                    <w:bottom w:val="single" w:sz="4" w:space="0" w:color="auto"/>
                    <w:right w:val="single" w:sz="4" w:space="0" w:color="auto"/>
                  </w:tcBorders>
                  <w:shd w:val="clear" w:color="auto" w:fill="auto"/>
                  <w:tcMar>
                    <w:left w:w="113" w:type="dxa"/>
                  </w:tcMar>
                  <w:vAlign w:val="center"/>
                </w:tcPr>
                <w:p w14:paraId="7B73BD1D"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center"/>
                </w:tcPr>
                <w:p w14:paraId="222AF6E0" w14:textId="1F710B0E" w:rsidR="00FC17BC" w:rsidRPr="00DF3006" w:rsidRDefault="006D01B7"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4 </w:t>
                  </w:r>
                  <w:r w:rsidR="00FC17BC" w:rsidRPr="00DF3006">
                    <w:rPr>
                      <w:rFonts w:cstheme="minorHAnsi"/>
                      <w:color w:val="414042" w:themeColor="text1"/>
                      <w:sz w:val="18"/>
                    </w:rPr>
                    <w:t>November 2022 to current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654DB43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31</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710838DC"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w:t>
                  </w:r>
                </w:p>
              </w:tc>
              <w:tc>
                <w:tcPr>
                  <w:tcW w:w="1134" w:type="dxa"/>
                  <w:tcBorders>
                    <w:top w:val="single" w:sz="4" w:space="0" w:color="auto"/>
                    <w:left w:val="nil"/>
                    <w:bottom w:val="single" w:sz="4" w:space="0" w:color="auto"/>
                  </w:tcBorders>
                  <w:shd w:val="clear" w:color="auto" w:fill="FFFFFF" w:themeFill="background1"/>
                </w:tcPr>
                <w:p w14:paraId="637A52AB" w14:textId="77777777" w:rsidR="00FC17BC" w:rsidRPr="00DF3006" w:rsidRDefault="00FC17BC" w:rsidP="00025E55">
                  <w:pPr>
                    <w:pStyle w:val="Normaltabletext1stpararight"/>
                    <w:spacing w:line="240" w:lineRule="auto"/>
                    <w:rPr>
                      <w:rFonts w:cstheme="minorHAnsi"/>
                      <w:color w:val="414042" w:themeColor="text1"/>
                      <w:sz w:val="18"/>
                    </w:rPr>
                  </w:pPr>
                </w:p>
              </w:tc>
            </w:tr>
            <w:tr w:rsidR="00DF3006" w:rsidRPr="00DF3006" w14:paraId="68CA9E8C" w14:textId="77777777" w:rsidTr="00025E5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4B420627"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Deborah  Holliday</w:t>
                  </w:r>
                </w:p>
              </w:tc>
              <w:tc>
                <w:tcPr>
                  <w:tcW w:w="1417" w:type="dxa"/>
                  <w:tcBorders>
                    <w:top w:val="single" w:sz="4" w:space="0" w:color="auto"/>
                    <w:bottom w:val="single" w:sz="4" w:space="0" w:color="auto"/>
                    <w:right w:val="single" w:sz="4" w:space="0" w:color="auto"/>
                  </w:tcBorders>
                  <w:shd w:val="clear" w:color="auto" w:fill="auto"/>
                  <w:tcMar>
                    <w:left w:w="113" w:type="dxa"/>
                  </w:tcMar>
                  <w:vAlign w:val="center"/>
                </w:tcPr>
                <w:p w14:paraId="3EF2DD03"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center"/>
                </w:tcPr>
                <w:p w14:paraId="06158393"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Acting 11 November 2016 to 10 February 2017</w:t>
                  </w:r>
                </w:p>
                <w:p w14:paraId="02655CD2"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10 March 2017 to 15 October 2021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05A6A388"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64DC5792"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14</w:t>
                  </w:r>
                </w:p>
              </w:tc>
              <w:tc>
                <w:tcPr>
                  <w:tcW w:w="1134" w:type="dxa"/>
                  <w:tcBorders>
                    <w:top w:val="single" w:sz="4" w:space="0" w:color="auto"/>
                    <w:left w:val="nil"/>
                    <w:bottom w:val="single" w:sz="4" w:space="0" w:color="auto"/>
                  </w:tcBorders>
                  <w:shd w:val="clear" w:color="auto" w:fill="FFFFFF" w:themeFill="background1"/>
                </w:tcPr>
                <w:p w14:paraId="74187197" w14:textId="77777777" w:rsidR="00FC17BC" w:rsidRPr="00DF3006" w:rsidRDefault="00FC17BC" w:rsidP="00025E55">
                  <w:pPr>
                    <w:pStyle w:val="Normaltabletext1stpararight"/>
                    <w:spacing w:line="240" w:lineRule="auto"/>
                    <w:rPr>
                      <w:rFonts w:cstheme="minorHAnsi"/>
                      <w:color w:val="414042" w:themeColor="text1"/>
                      <w:sz w:val="18"/>
                    </w:rPr>
                  </w:pPr>
                </w:p>
              </w:tc>
            </w:tr>
            <w:tr w:rsidR="00DF3006" w:rsidRPr="00DF3006" w14:paraId="3B1A428E" w14:textId="77777777" w:rsidTr="00025E5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403141E4"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Bruce       Barbour*</w:t>
                  </w:r>
                </w:p>
              </w:tc>
              <w:tc>
                <w:tcPr>
                  <w:tcW w:w="1417" w:type="dxa"/>
                  <w:tcBorders>
                    <w:top w:val="single" w:sz="4" w:space="0" w:color="auto"/>
                    <w:bottom w:val="single" w:sz="4" w:space="0" w:color="auto"/>
                    <w:right w:val="single" w:sz="4" w:space="0" w:color="auto"/>
                  </w:tcBorders>
                  <w:shd w:val="clear" w:color="auto" w:fill="auto"/>
                  <w:tcMar>
                    <w:left w:w="113" w:type="dxa"/>
                  </w:tcMar>
                  <w:vAlign w:val="center"/>
                </w:tcPr>
                <w:p w14:paraId="3CB9AA49"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center"/>
                </w:tcPr>
                <w:p w14:paraId="39C67FEC"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14 May 2021 to 28 January 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13" w:type="dxa"/>
                  </w:tcMar>
                  <w:vAlign w:val="center"/>
                </w:tcPr>
                <w:p w14:paraId="0F264C9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4B540342"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27</w:t>
                  </w:r>
                </w:p>
              </w:tc>
              <w:tc>
                <w:tcPr>
                  <w:tcW w:w="1134" w:type="dxa"/>
                  <w:tcBorders>
                    <w:top w:val="single" w:sz="4" w:space="0" w:color="auto"/>
                    <w:left w:val="nil"/>
                    <w:bottom w:val="single" w:sz="4" w:space="0" w:color="auto"/>
                  </w:tcBorders>
                  <w:shd w:val="clear" w:color="auto" w:fill="FFFFFF" w:themeFill="background1"/>
                </w:tcPr>
                <w:p w14:paraId="710DD7BC" w14:textId="77777777" w:rsidR="00FC17BC" w:rsidRPr="00DF3006" w:rsidRDefault="00FC17BC" w:rsidP="00025E55">
                  <w:pPr>
                    <w:pStyle w:val="Normaltabletext1stpararight"/>
                    <w:spacing w:line="240" w:lineRule="auto"/>
                    <w:rPr>
                      <w:rFonts w:cstheme="minorHAnsi"/>
                      <w:color w:val="414042" w:themeColor="text1"/>
                      <w:sz w:val="18"/>
                    </w:rPr>
                  </w:pPr>
                </w:p>
              </w:tc>
            </w:tr>
            <w:tr w:rsidR="00DF3006" w:rsidRPr="00DF3006" w14:paraId="30359602" w14:textId="77777777" w:rsidTr="00025E55">
              <w:trPr>
                <w:trHeight w:val="300"/>
              </w:trPr>
              <w:tc>
                <w:tcPr>
                  <w:tcW w:w="1275" w:type="dxa"/>
                  <w:tcBorders>
                    <w:top w:val="single" w:sz="4" w:space="0" w:color="auto"/>
                    <w:bottom w:val="double" w:sz="4" w:space="0" w:color="auto"/>
                    <w:right w:val="single" w:sz="4" w:space="0" w:color="auto"/>
                  </w:tcBorders>
                  <w:vAlign w:val="center"/>
                </w:tcPr>
                <w:p w14:paraId="797813C7" w14:textId="77777777" w:rsidR="00FC17BC" w:rsidRPr="00DF3006" w:rsidRDefault="00FC17BC" w:rsidP="00025E55">
                  <w:pPr>
                    <w:pStyle w:val="Normaltabletextleft"/>
                    <w:spacing w:line="240" w:lineRule="auto"/>
                    <w:rPr>
                      <w:rFonts w:cstheme="minorHAnsi"/>
                      <w:b/>
                      <w:color w:val="414042" w:themeColor="text1"/>
                      <w:sz w:val="18"/>
                    </w:rPr>
                  </w:pPr>
                  <w:r w:rsidRPr="00DF3006">
                    <w:rPr>
                      <w:rFonts w:cstheme="minorHAnsi"/>
                      <w:b/>
                      <w:color w:val="414042" w:themeColor="text1"/>
                      <w:sz w:val="18"/>
                    </w:rPr>
                    <w:t>Total</w:t>
                  </w:r>
                </w:p>
              </w:tc>
              <w:tc>
                <w:tcPr>
                  <w:tcW w:w="1417" w:type="dxa"/>
                  <w:tcBorders>
                    <w:top w:val="single" w:sz="4" w:space="0" w:color="auto"/>
                    <w:bottom w:val="double" w:sz="4" w:space="0" w:color="auto"/>
                    <w:right w:val="single" w:sz="4" w:space="0" w:color="auto"/>
                  </w:tcBorders>
                  <w:vAlign w:val="center"/>
                </w:tcPr>
                <w:p w14:paraId="0E9BC377" w14:textId="77777777" w:rsidR="00FC17BC" w:rsidRPr="00DF3006" w:rsidRDefault="00FC17BC" w:rsidP="00025E55">
                  <w:pPr>
                    <w:pStyle w:val="Normaltabletextleft"/>
                    <w:spacing w:line="240" w:lineRule="auto"/>
                    <w:rPr>
                      <w:rFonts w:cstheme="minorHAnsi"/>
                      <w:b/>
                      <w:color w:val="414042" w:themeColor="text1"/>
                      <w:sz w:val="18"/>
                    </w:rPr>
                  </w:pPr>
                </w:p>
              </w:tc>
              <w:tc>
                <w:tcPr>
                  <w:tcW w:w="3686" w:type="dxa"/>
                  <w:tcBorders>
                    <w:top w:val="single" w:sz="4" w:space="0" w:color="auto"/>
                    <w:bottom w:val="double" w:sz="4" w:space="0" w:color="auto"/>
                    <w:right w:val="single" w:sz="4" w:space="0" w:color="auto"/>
                  </w:tcBorders>
                  <w:vAlign w:val="center"/>
                </w:tcPr>
                <w:p w14:paraId="08A65D9D" w14:textId="77777777" w:rsidR="00FC17BC" w:rsidRPr="00DF3006" w:rsidRDefault="00FC17BC" w:rsidP="00025E55">
                  <w:pPr>
                    <w:pStyle w:val="Normaltabletextleft"/>
                    <w:spacing w:line="240" w:lineRule="auto"/>
                    <w:rPr>
                      <w:rFonts w:cstheme="minorHAnsi"/>
                      <w:b/>
                      <w:color w:val="414042" w:themeColor="text1"/>
                      <w:sz w:val="18"/>
                    </w:rPr>
                  </w:pP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tcMar>
                    <w:right w:w="113" w:type="dxa"/>
                  </w:tcMar>
                  <w:vAlign w:val="center"/>
                </w:tcPr>
                <w:p w14:paraId="7161F80B"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116</w:t>
                  </w:r>
                </w:p>
              </w:tc>
              <w:tc>
                <w:tcPr>
                  <w:tcW w:w="1134" w:type="dxa"/>
                  <w:tcBorders>
                    <w:top w:val="single" w:sz="4" w:space="0" w:color="auto"/>
                    <w:left w:val="single" w:sz="4" w:space="0" w:color="auto"/>
                    <w:bottom w:val="double" w:sz="4" w:space="0" w:color="auto"/>
                  </w:tcBorders>
                  <w:shd w:val="clear" w:color="auto" w:fill="FFFFFF" w:themeFill="background1"/>
                  <w:tcMar>
                    <w:right w:w="113" w:type="dxa"/>
                  </w:tcMar>
                  <w:vAlign w:val="center"/>
                </w:tcPr>
                <w:p w14:paraId="5675BE0C"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133</w:t>
                  </w:r>
                </w:p>
              </w:tc>
              <w:tc>
                <w:tcPr>
                  <w:tcW w:w="1134" w:type="dxa"/>
                  <w:tcBorders>
                    <w:top w:val="single" w:sz="4" w:space="0" w:color="auto"/>
                    <w:left w:val="nil"/>
                    <w:bottom w:val="double" w:sz="4" w:space="0" w:color="auto"/>
                  </w:tcBorders>
                  <w:shd w:val="clear" w:color="auto" w:fill="FFFFFF" w:themeFill="background1"/>
                </w:tcPr>
                <w:p w14:paraId="7E08BC88" w14:textId="77777777" w:rsidR="00FC17BC" w:rsidRPr="00DF3006" w:rsidRDefault="00FC17BC" w:rsidP="00025E55">
                  <w:pPr>
                    <w:pStyle w:val="Normaltabletext1stpararight"/>
                    <w:spacing w:line="240" w:lineRule="auto"/>
                    <w:rPr>
                      <w:rFonts w:cstheme="minorHAnsi"/>
                      <w:b/>
                      <w:color w:val="414042" w:themeColor="text1"/>
                      <w:sz w:val="18"/>
                    </w:rPr>
                  </w:pPr>
                </w:p>
              </w:tc>
            </w:tr>
          </w:tbl>
          <w:p w14:paraId="12C89416" w14:textId="76185B3C" w:rsidR="00FC17BC" w:rsidRPr="00DF3006" w:rsidRDefault="00FC17BC" w:rsidP="00025E55">
            <w:pPr>
              <w:pStyle w:val="Noteswithhangingindent"/>
              <w:spacing w:line="240" w:lineRule="auto"/>
              <w:ind w:left="426" w:firstLine="0"/>
              <w:jc w:val="both"/>
              <w:rPr>
                <w:szCs w:val="20"/>
              </w:rPr>
            </w:pPr>
            <w:r w:rsidRPr="00DF3006">
              <w:t xml:space="preserve">*Appointed as CCC acting Chairperson on the </w:t>
            </w:r>
            <w:r w:rsidR="006D01B7" w:rsidRPr="00DF3006">
              <w:t xml:space="preserve">28 </w:t>
            </w:r>
            <w:r w:rsidRPr="00DF3006">
              <w:t>January 2022. Refer to acting Chairperson remuneration.</w:t>
            </w:r>
          </w:p>
          <w:p w14:paraId="33E5BCCD" w14:textId="572E9E9D" w:rsidR="00FC17BC" w:rsidRPr="00DF3006" w:rsidRDefault="00FC17BC" w:rsidP="005268F0">
            <w:pPr>
              <w:pStyle w:val="Normal115pttext"/>
              <w:spacing w:line="240" w:lineRule="auto"/>
              <w:rPr>
                <w:color w:val="414042" w:themeColor="text1"/>
              </w:rPr>
            </w:pPr>
            <w:r w:rsidRPr="00DF3006">
              <w:rPr>
                <w:color w:val="414042" w:themeColor="text1"/>
              </w:rPr>
              <w:t>Note 4:  The Commission, Senior Executive Personnel, Remuneration Expenses and Related Party Transactions (cont’d)</w:t>
            </w:r>
          </w:p>
          <w:p w14:paraId="0F88CFC7" w14:textId="77777777" w:rsidR="00FC17BC" w:rsidRPr="00DF3006" w:rsidRDefault="00FC17BC" w:rsidP="00025E55">
            <w:pPr>
              <w:pStyle w:val="Normal115pttext"/>
              <w:spacing w:line="240" w:lineRule="auto"/>
              <w:jc w:val="both"/>
              <w:rPr>
                <w:color w:val="414042" w:themeColor="text1"/>
              </w:rPr>
            </w:pPr>
          </w:p>
          <w:p w14:paraId="0E97CDD4" w14:textId="77777777" w:rsidR="00FC17BC" w:rsidRPr="00DF3006" w:rsidRDefault="00FC17BC" w:rsidP="00025E55">
            <w:pPr>
              <w:pStyle w:val="Normalhanginglist105pt"/>
              <w:spacing w:line="240" w:lineRule="auto"/>
              <w:rPr>
                <w:rFonts w:cstheme="minorHAnsi"/>
                <w:color w:val="414042" w:themeColor="text1"/>
                <w:szCs w:val="21"/>
              </w:rPr>
            </w:pPr>
            <w:r w:rsidRPr="00DF3006">
              <w:rPr>
                <w:rFonts w:cstheme="minorHAnsi"/>
                <w:color w:val="414042" w:themeColor="text1"/>
                <w:szCs w:val="21"/>
              </w:rPr>
              <w:t>(d)</w:t>
            </w:r>
            <w:r w:rsidRPr="00DF3006">
              <w:rPr>
                <w:rFonts w:cstheme="minorHAnsi"/>
                <w:color w:val="414042" w:themeColor="text1"/>
                <w:szCs w:val="21"/>
              </w:rPr>
              <w:tab/>
              <w:t>Remuneration Expenses (cont’d)</w:t>
            </w:r>
          </w:p>
          <w:p w14:paraId="70BFEAE5" w14:textId="77777777" w:rsidR="00FC17BC" w:rsidRPr="00DF3006" w:rsidRDefault="00FC17BC" w:rsidP="00025E55">
            <w:pPr>
              <w:rPr>
                <w:color w:val="414042" w:themeColor="text1"/>
                <w:sz w:val="21"/>
                <w:szCs w:val="21"/>
              </w:rPr>
            </w:pPr>
            <w:r w:rsidRPr="00DF3006">
              <w:rPr>
                <w:b/>
                <w:color w:val="414042" w:themeColor="text1"/>
                <w:sz w:val="21"/>
                <w:szCs w:val="21"/>
              </w:rPr>
              <w:t>1 July 2022 – 30 June 2023</w:t>
            </w:r>
          </w:p>
          <w:tbl>
            <w:tblPr>
              <w:tblW w:w="8931" w:type="dxa"/>
              <w:tblLayout w:type="fixed"/>
              <w:tblCellMar>
                <w:left w:w="0" w:type="dxa"/>
                <w:bottom w:w="11" w:type="dxa"/>
                <w:right w:w="0" w:type="dxa"/>
              </w:tblCellMar>
              <w:tblLook w:val="04A0" w:firstRow="1" w:lastRow="0" w:firstColumn="1" w:lastColumn="0" w:noHBand="0" w:noVBand="1"/>
            </w:tblPr>
            <w:tblGrid>
              <w:gridCol w:w="2835"/>
              <w:gridCol w:w="1701"/>
              <w:gridCol w:w="1134"/>
              <w:gridCol w:w="1134"/>
              <w:gridCol w:w="1134"/>
              <w:gridCol w:w="993"/>
            </w:tblGrid>
            <w:tr w:rsidR="00DF3006" w:rsidRPr="00DF3006" w14:paraId="0FACAFE7" w14:textId="77777777" w:rsidTr="00025E55">
              <w:trPr>
                <w:trHeight w:hRule="exact" w:val="907"/>
              </w:trPr>
              <w:tc>
                <w:tcPr>
                  <w:tcW w:w="2835" w:type="dxa"/>
                  <w:tcBorders>
                    <w:top w:val="single" w:sz="4" w:space="0" w:color="auto"/>
                    <w:right w:val="single" w:sz="4" w:space="0" w:color="auto"/>
                  </w:tcBorders>
                  <w:shd w:val="clear" w:color="auto" w:fill="auto"/>
                  <w:tcMar>
                    <w:top w:w="0" w:type="dxa"/>
                  </w:tcMar>
                  <w:vAlign w:val="center"/>
                </w:tcPr>
                <w:p w14:paraId="0DA34BD4" w14:textId="77777777" w:rsidR="00FC17BC" w:rsidRPr="00DF3006" w:rsidRDefault="00FC17BC" w:rsidP="00025E55">
                  <w:pPr>
                    <w:pStyle w:val="Normaltabletextleft"/>
                    <w:spacing w:line="240" w:lineRule="auto"/>
                    <w:rPr>
                      <w:rFonts w:cstheme="minorHAnsi"/>
                      <w:b/>
                      <w:color w:val="414042" w:themeColor="text1"/>
                      <w:sz w:val="18"/>
                    </w:rPr>
                  </w:pPr>
                  <w:r w:rsidRPr="00DF3006">
                    <w:rPr>
                      <w:rFonts w:cstheme="minorHAnsi"/>
                      <w:b/>
                      <w:color w:val="414042" w:themeColor="text1"/>
                      <w:sz w:val="18"/>
                    </w:rPr>
                    <w:t>Position</w:t>
                  </w:r>
                </w:p>
              </w:tc>
              <w:tc>
                <w:tcPr>
                  <w:tcW w:w="1701" w:type="dxa"/>
                  <w:tcBorders>
                    <w:top w:val="single" w:sz="4" w:space="0" w:color="auto"/>
                    <w:left w:val="single" w:sz="4" w:space="0" w:color="auto"/>
                    <w:right w:val="single" w:sz="4" w:space="0" w:color="auto"/>
                  </w:tcBorders>
                  <w:vAlign w:val="center"/>
                </w:tcPr>
                <w:p w14:paraId="4CA0C893" w14:textId="77777777" w:rsidR="00FC17BC" w:rsidRPr="00DF3006" w:rsidRDefault="00FC17BC" w:rsidP="00025E55">
                  <w:pPr>
                    <w:pStyle w:val="Normaltabletextleft"/>
                    <w:tabs>
                      <w:tab w:val="left" w:pos="371"/>
                    </w:tabs>
                    <w:spacing w:line="240" w:lineRule="auto"/>
                    <w:jc w:val="center"/>
                    <w:rPr>
                      <w:rFonts w:cstheme="minorHAnsi"/>
                      <w:b/>
                      <w:color w:val="414042" w:themeColor="text1"/>
                      <w:sz w:val="18"/>
                    </w:rPr>
                  </w:pPr>
                  <w:r w:rsidRPr="00DF3006">
                    <w:rPr>
                      <w:rFonts w:cstheme="minorHAnsi"/>
                      <w:b/>
                      <w:color w:val="414042" w:themeColor="text1"/>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4F3B90F5" w14:textId="77777777" w:rsidR="00FC17BC" w:rsidRPr="00DF3006" w:rsidRDefault="00FC17BC" w:rsidP="00025E55">
                  <w:pPr>
                    <w:pStyle w:val="Normaltabletext1stpararight"/>
                    <w:spacing w:line="240" w:lineRule="auto"/>
                    <w:jc w:val="center"/>
                    <w:rPr>
                      <w:rFonts w:cstheme="minorHAnsi"/>
                      <w:b/>
                      <w:color w:val="414042" w:themeColor="text1"/>
                      <w:sz w:val="18"/>
                    </w:rPr>
                  </w:pPr>
                </w:p>
                <w:p w14:paraId="3B34F3E0"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Monetary Expenses</w:t>
                  </w:r>
                </w:p>
                <w:p w14:paraId="797CAF4A"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3F5D9EB2"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Long-Term Employee Expenses</w:t>
                  </w:r>
                </w:p>
                <w:p w14:paraId="059DF366" w14:textId="77777777" w:rsidR="00FC17BC" w:rsidRPr="00DF3006" w:rsidRDefault="00FC17BC" w:rsidP="00025E55">
                  <w:pPr>
                    <w:pStyle w:val="Normaltabletext1stpararight"/>
                    <w:spacing w:line="240" w:lineRule="auto"/>
                    <w:ind w:right="113"/>
                    <w:jc w:val="center"/>
                    <w:rPr>
                      <w:rFonts w:cstheme="minorHAnsi"/>
                      <w:b/>
                      <w:color w:val="414042" w:themeColor="text1"/>
                      <w:sz w:val="18"/>
                    </w:rPr>
                  </w:pPr>
                  <w:r w:rsidRPr="00DF3006">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178F56A4"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Post-Employment Expenses</w:t>
                  </w:r>
                </w:p>
                <w:p w14:paraId="70FB8919" w14:textId="77777777" w:rsidR="00FC17BC" w:rsidRPr="00DF3006" w:rsidRDefault="00FC17BC" w:rsidP="00025E55">
                  <w:pPr>
                    <w:pStyle w:val="Normaltabletext1stpararight"/>
                    <w:spacing w:line="240" w:lineRule="auto"/>
                    <w:ind w:right="113"/>
                    <w:jc w:val="center"/>
                    <w:rPr>
                      <w:rFonts w:cstheme="minorHAnsi"/>
                      <w:b/>
                      <w:color w:val="414042" w:themeColor="text1"/>
                      <w:sz w:val="18"/>
                    </w:rPr>
                  </w:pPr>
                  <w:r w:rsidRPr="00DF3006">
                    <w:rPr>
                      <w:rFonts w:cstheme="minorHAnsi"/>
                      <w:b/>
                      <w:color w:val="414042" w:themeColor="text1"/>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7CC774C5"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Total</w:t>
                  </w:r>
                  <w:r w:rsidRPr="00DF3006">
                    <w:rPr>
                      <w:rFonts w:cstheme="minorHAnsi"/>
                      <w:b/>
                      <w:color w:val="414042" w:themeColor="text1"/>
                      <w:sz w:val="18"/>
                    </w:rPr>
                    <w:br/>
                    <w:t>Expenses</w:t>
                  </w:r>
                </w:p>
                <w:p w14:paraId="0AD7B0F7" w14:textId="77777777" w:rsidR="00FC17BC" w:rsidRPr="00DF3006" w:rsidRDefault="00FC17BC" w:rsidP="00025E55">
                  <w:pPr>
                    <w:pStyle w:val="Normaltabletext1stpararight"/>
                    <w:spacing w:line="240" w:lineRule="auto"/>
                    <w:ind w:right="113"/>
                    <w:jc w:val="center"/>
                    <w:rPr>
                      <w:rFonts w:cstheme="minorHAnsi"/>
                      <w:b/>
                      <w:color w:val="414042" w:themeColor="text1"/>
                      <w:sz w:val="18"/>
                    </w:rPr>
                  </w:pPr>
                  <w:r w:rsidRPr="00DF3006">
                    <w:rPr>
                      <w:rFonts w:cstheme="minorHAnsi"/>
                      <w:b/>
                      <w:color w:val="414042" w:themeColor="text1"/>
                      <w:sz w:val="18"/>
                    </w:rPr>
                    <w:t>$’000</w:t>
                  </w:r>
                </w:p>
              </w:tc>
            </w:tr>
            <w:tr w:rsidR="00DF3006" w:rsidRPr="00DF3006" w14:paraId="24682CA5" w14:textId="77777777" w:rsidTr="00025E55">
              <w:trPr>
                <w:trHeight w:val="265"/>
              </w:trPr>
              <w:tc>
                <w:tcPr>
                  <w:tcW w:w="2835" w:type="dxa"/>
                  <w:tcBorders>
                    <w:top w:val="single" w:sz="4" w:space="0" w:color="auto"/>
                    <w:bottom w:val="single" w:sz="4" w:space="0" w:color="auto"/>
                    <w:right w:val="single" w:sz="4" w:space="0" w:color="auto"/>
                  </w:tcBorders>
                  <w:tcMar>
                    <w:top w:w="28" w:type="dxa"/>
                    <w:bottom w:w="57" w:type="dxa"/>
                  </w:tcMar>
                  <w:vAlign w:val="center"/>
                </w:tcPr>
                <w:p w14:paraId="6EE4DEEC"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Chairperson </w:t>
                  </w:r>
                </w:p>
                <w:p w14:paraId="5D48F1CD"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2 July 2022 to current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52713F3B" w14:textId="77777777" w:rsidR="00FC17BC" w:rsidRPr="00DF3006" w:rsidRDefault="00FC17BC" w:rsidP="00025E55">
                  <w:pPr>
                    <w:pStyle w:val="Normaltabletextleft"/>
                    <w:spacing w:line="240" w:lineRule="auto"/>
                    <w:rPr>
                      <w:rFonts w:cstheme="minorHAnsi"/>
                      <w:color w:val="414042" w:themeColor="text1"/>
                      <w:spacing w:val="-2"/>
                      <w:sz w:val="18"/>
                    </w:rPr>
                  </w:pPr>
                </w:p>
                <w:p w14:paraId="5D939AA4"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 xml:space="preserve">Crime </w:t>
                  </w:r>
                  <w:r w:rsidRPr="00DF3006">
                    <w:rPr>
                      <w:rFonts w:cstheme="minorHAnsi"/>
                      <w:i/>
                      <w:color w:val="414042" w:themeColor="text1"/>
                      <w:spacing w:val="-2"/>
                      <w:sz w:val="18"/>
                    </w:rPr>
                    <w:t>and Corruption Act 2001</w:t>
                  </w:r>
                </w:p>
                <w:p w14:paraId="02A0681D" w14:textId="77777777" w:rsidR="00FC17BC" w:rsidRPr="00DF3006" w:rsidRDefault="00FC17BC" w:rsidP="00025E55">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EC6CE8A"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552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BEE7235"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14</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5A01F36" w14:textId="77777777" w:rsidR="00FC17BC" w:rsidRPr="00DF3006" w:rsidRDefault="00FC17BC" w:rsidP="00025E55">
                  <w:pPr>
                    <w:pStyle w:val="Normaltabletext1stpararight"/>
                    <w:spacing w:line="240" w:lineRule="auto"/>
                    <w:rPr>
                      <w:rFonts w:cstheme="minorHAnsi"/>
                      <w:color w:val="414042" w:themeColor="text1"/>
                      <w:szCs w:val="20"/>
                      <w:lang w:eastAsia="en-AU"/>
                    </w:rPr>
                  </w:pPr>
                  <w:r w:rsidRPr="00DF3006">
                    <w:rPr>
                      <w:rFonts w:cstheme="minorHAnsi"/>
                      <w:color w:val="414042" w:themeColor="text1"/>
                      <w:szCs w:val="20"/>
                      <w:lang w:eastAsia="en-AU"/>
                    </w:rPr>
                    <w:t>53</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7ADA5127"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619</w:t>
                  </w:r>
                </w:p>
              </w:tc>
            </w:tr>
            <w:tr w:rsidR="00DF3006" w:rsidRPr="00DF3006" w14:paraId="7A53FC3F" w14:textId="77777777" w:rsidTr="00025E55">
              <w:trPr>
                <w:trHeight w:val="265"/>
              </w:trPr>
              <w:tc>
                <w:tcPr>
                  <w:tcW w:w="2835" w:type="dxa"/>
                  <w:tcBorders>
                    <w:top w:val="single" w:sz="4" w:space="0" w:color="auto"/>
                    <w:bottom w:val="single" w:sz="4" w:space="0" w:color="auto"/>
                    <w:right w:val="single" w:sz="4" w:space="0" w:color="auto"/>
                  </w:tcBorders>
                  <w:tcMar>
                    <w:top w:w="28" w:type="dxa"/>
                    <w:bottom w:w="57" w:type="dxa"/>
                  </w:tcMar>
                  <w:vAlign w:val="center"/>
                </w:tcPr>
                <w:p w14:paraId="4B8589F0"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Chief Executive Officer </w:t>
                  </w:r>
                </w:p>
                <w:p w14:paraId="5D09876A"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24 August 2018 to current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519CD56F" w14:textId="77777777" w:rsidR="00FC17BC" w:rsidRPr="00DF3006" w:rsidRDefault="00FC17BC" w:rsidP="00025E55">
                  <w:pPr>
                    <w:pStyle w:val="Normaltabletextleft"/>
                    <w:spacing w:line="240" w:lineRule="auto"/>
                    <w:rPr>
                      <w:rFonts w:cstheme="minorHAnsi"/>
                      <w:color w:val="414042" w:themeColor="text1"/>
                      <w:spacing w:val="-2"/>
                      <w:sz w:val="18"/>
                    </w:rPr>
                  </w:pPr>
                </w:p>
                <w:p w14:paraId="08B4DAB2"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CEO, Crime</w:t>
                  </w:r>
                  <w:r w:rsidRPr="00DF3006">
                    <w:rPr>
                      <w:rFonts w:cstheme="minorHAnsi"/>
                      <w:i/>
                      <w:color w:val="414042" w:themeColor="text1"/>
                      <w:spacing w:val="-2"/>
                      <w:sz w:val="18"/>
                    </w:rPr>
                    <w:t xml:space="preserve"> and Corruption Act 2001</w:t>
                  </w:r>
                </w:p>
                <w:p w14:paraId="1D368A33" w14:textId="77777777" w:rsidR="00FC17BC" w:rsidRPr="00DF3006" w:rsidRDefault="00FC17BC" w:rsidP="00025E55">
                  <w:pPr>
                    <w:pStyle w:val="Normaltabletextleft"/>
                    <w:spacing w:line="240" w:lineRule="auto"/>
                    <w:rPr>
                      <w:rFonts w:cstheme="minorHAnsi"/>
                      <w: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0608E75"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314</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34606B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8</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07D00CF"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694ECF9"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361</w:t>
                  </w:r>
                </w:p>
              </w:tc>
            </w:tr>
            <w:tr w:rsidR="00DF3006" w:rsidRPr="00DF3006" w14:paraId="48E6AC10" w14:textId="77777777" w:rsidTr="00025E55">
              <w:tc>
                <w:tcPr>
                  <w:tcW w:w="2835" w:type="dxa"/>
                  <w:tcBorders>
                    <w:top w:val="single" w:sz="4" w:space="0" w:color="auto"/>
                    <w:bottom w:val="single" w:sz="4" w:space="0" w:color="auto"/>
                    <w:right w:val="single" w:sz="4" w:space="0" w:color="auto"/>
                  </w:tcBorders>
                  <w:tcMar>
                    <w:top w:w="28" w:type="dxa"/>
                    <w:bottom w:w="57" w:type="dxa"/>
                  </w:tcMar>
                  <w:vAlign w:val="center"/>
                </w:tcPr>
                <w:p w14:paraId="0300FD65"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Senior Executive Officer, Corruption 11 July 2022 to current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5805AC95" w14:textId="77777777" w:rsidR="00FC17BC" w:rsidRPr="00DF3006" w:rsidRDefault="00FC17BC" w:rsidP="00025E55">
                  <w:pPr>
                    <w:pStyle w:val="Normaltabletextleft"/>
                    <w:spacing w:line="240" w:lineRule="auto"/>
                    <w:rPr>
                      <w:rFonts w:cstheme="minorHAnsi"/>
                      <w:color w:val="414042" w:themeColor="text1"/>
                      <w:spacing w:val="-2"/>
                      <w:sz w:val="18"/>
                    </w:rPr>
                  </w:pPr>
                </w:p>
                <w:p w14:paraId="6CBAC65E"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 xml:space="preserve">SES4, </w:t>
                  </w:r>
                  <w:r w:rsidRPr="00DF3006">
                    <w:rPr>
                      <w:rFonts w:cstheme="minorHAnsi"/>
                      <w:i/>
                      <w:color w:val="414042" w:themeColor="text1"/>
                      <w:spacing w:val="-2"/>
                      <w:sz w:val="18"/>
                    </w:rPr>
                    <w:t>Crime and Corruption Act 2001</w:t>
                  </w:r>
                </w:p>
                <w:p w14:paraId="5458E6C1" w14:textId="77777777" w:rsidR="00FC17BC" w:rsidRPr="00DF3006" w:rsidRDefault="00FC17BC" w:rsidP="00025E55">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199557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263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27006BA"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EBEE16A"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30</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BDA832A"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300</w:t>
                  </w:r>
                </w:p>
              </w:tc>
            </w:tr>
            <w:tr w:rsidR="00DF3006" w:rsidRPr="00DF3006" w14:paraId="592407AE" w14:textId="77777777" w:rsidTr="00025E55">
              <w:tc>
                <w:tcPr>
                  <w:tcW w:w="2835" w:type="dxa"/>
                  <w:tcBorders>
                    <w:top w:val="single" w:sz="4" w:space="0" w:color="auto"/>
                    <w:bottom w:val="single" w:sz="4" w:space="0" w:color="auto"/>
                    <w:right w:val="single" w:sz="4" w:space="0" w:color="auto"/>
                  </w:tcBorders>
                  <w:tcMar>
                    <w:top w:w="28" w:type="dxa"/>
                    <w:bottom w:w="57" w:type="dxa"/>
                  </w:tcMar>
                  <w:vAlign w:val="center"/>
                </w:tcPr>
                <w:p w14:paraId="5463B86E"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Senior Executive Officer, Crime </w:t>
                  </w:r>
                </w:p>
                <w:p w14:paraId="10A72CE7"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3 July 2017 to current </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787264B1" w14:textId="77777777" w:rsidR="00FC17BC" w:rsidRPr="00DF3006" w:rsidRDefault="00FC17BC" w:rsidP="00025E55">
                  <w:pPr>
                    <w:pStyle w:val="Normaltabletextleft"/>
                    <w:spacing w:line="240" w:lineRule="auto"/>
                    <w:rPr>
                      <w:rFonts w:cstheme="minorHAnsi"/>
                      <w:color w:val="414042" w:themeColor="text1"/>
                      <w:spacing w:val="-2"/>
                      <w:sz w:val="18"/>
                    </w:rPr>
                  </w:pPr>
                </w:p>
                <w:p w14:paraId="578DE524"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 xml:space="preserve">SES4, </w:t>
                  </w:r>
                  <w:r w:rsidRPr="00DF3006">
                    <w:rPr>
                      <w:rFonts w:cstheme="minorHAnsi"/>
                      <w:i/>
                      <w:color w:val="414042" w:themeColor="text1"/>
                      <w:spacing w:val="-2"/>
                      <w:sz w:val="18"/>
                    </w:rPr>
                    <w:t>Crime and Corruption Act 2001</w:t>
                  </w:r>
                </w:p>
                <w:p w14:paraId="799C863E" w14:textId="77777777" w:rsidR="00FC17BC" w:rsidRPr="00DF3006" w:rsidRDefault="00FC17BC" w:rsidP="00025E55">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4D6F582"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257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5952ECE"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7315F9E"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C2DEE84"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293</w:t>
                  </w:r>
                </w:p>
              </w:tc>
            </w:tr>
            <w:tr w:rsidR="00DF3006" w:rsidRPr="00DF3006" w14:paraId="1641A075" w14:textId="77777777" w:rsidTr="00025E55">
              <w:trPr>
                <w:trHeight w:val="430"/>
              </w:trPr>
              <w:tc>
                <w:tcPr>
                  <w:tcW w:w="2835" w:type="dxa"/>
                  <w:tcBorders>
                    <w:top w:val="single" w:sz="4" w:space="0" w:color="auto"/>
                    <w:bottom w:val="single" w:sz="4" w:space="0" w:color="auto"/>
                    <w:right w:val="single" w:sz="4" w:space="0" w:color="auto"/>
                  </w:tcBorders>
                  <w:tcMar>
                    <w:top w:w="28" w:type="dxa"/>
                    <w:bottom w:w="57" w:type="dxa"/>
                  </w:tcMar>
                  <w:vAlign w:val="center"/>
                </w:tcPr>
                <w:p w14:paraId="56479439"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General Manager, Strategy &amp; Renewal                                               15 August 2022 to current¹</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130E2BC5" w14:textId="77777777" w:rsidR="00FC17BC" w:rsidRPr="00DF3006" w:rsidRDefault="00FC17BC" w:rsidP="00025E55">
                  <w:pPr>
                    <w:pStyle w:val="Normaltabletextleft"/>
                    <w:spacing w:line="240" w:lineRule="auto"/>
                    <w:rPr>
                      <w:rFonts w:cstheme="minorHAnsi"/>
                      <w:color w:val="414042" w:themeColor="text1"/>
                      <w:spacing w:val="-2"/>
                      <w:sz w:val="18"/>
                    </w:rPr>
                  </w:pPr>
                </w:p>
                <w:p w14:paraId="21B1EEF9"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SES3,</w:t>
                  </w:r>
                  <w:r w:rsidRPr="00DF3006">
                    <w:rPr>
                      <w:rFonts w:cstheme="minorHAnsi"/>
                      <w:i/>
                      <w:color w:val="414042" w:themeColor="text1"/>
                      <w:spacing w:val="-2"/>
                      <w:sz w:val="18"/>
                    </w:rPr>
                    <w:t xml:space="preserve"> Crime and Corruption Act 2001</w:t>
                  </w:r>
                </w:p>
                <w:p w14:paraId="42298818" w14:textId="77777777" w:rsidR="00FC17BC" w:rsidRPr="00DF3006" w:rsidRDefault="00FC17BC" w:rsidP="00025E55">
                  <w:pPr>
                    <w:pStyle w:val="Normaltabletextleft"/>
                    <w:spacing w:line="240" w:lineRule="auto"/>
                    <w:rPr>
                      <w:rFonts w:cstheme="minorHAnsi"/>
                      <w: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E56DF0E"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193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5B7E9DC"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5</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B938B98"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21</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65F04A2"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219</w:t>
                  </w:r>
                </w:p>
              </w:tc>
            </w:tr>
            <w:tr w:rsidR="00DF3006" w:rsidRPr="00DF3006" w14:paraId="41C0CDEC" w14:textId="77777777" w:rsidTr="00025E55">
              <w:tc>
                <w:tcPr>
                  <w:tcW w:w="2835" w:type="dxa"/>
                  <w:tcBorders>
                    <w:top w:val="single" w:sz="4" w:space="0" w:color="auto"/>
                    <w:bottom w:val="single" w:sz="4" w:space="0" w:color="auto"/>
                    <w:right w:val="single" w:sz="4" w:space="0" w:color="auto"/>
                  </w:tcBorders>
                  <w:tcMar>
                    <w:top w:w="28" w:type="dxa"/>
                    <w:bottom w:w="57" w:type="dxa"/>
                  </w:tcMar>
                  <w:vAlign w:val="center"/>
                </w:tcPr>
                <w:p w14:paraId="6EB567AA"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General Manager, Corporate Services 1 April 2019 to 14 August 2022¹</w:t>
                  </w:r>
                </w:p>
              </w:tc>
              <w:tc>
                <w:tcPr>
                  <w:tcW w:w="1701" w:type="dxa"/>
                  <w:tcBorders>
                    <w:top w:val="single" w:sz="4" w:space="0" w:color="auto"/>
                    <w:left w:val="single" w:sz="4" w:space="0" w:color="auto"/>
                    <w:right w:val="single" w:sz="4" w:space="0" w:color="auto"/>
                  </w:tcBorders>
                  <w:tcMar>
                    <w:left w:w="57" w:type="dxa"/>
                  </w:tcMar>
                  <w:vAlign w:val="center"/>
                </w:tcPr>
                <w:p w14:paraId="4056E9AE" w14:textId="77777777" w:rsidR="00FC17BC" w:rsidRPr="00DF3006" w:rsidRDefault="00FC17BC" w:rsidP="00025E55">
                  <w:pPr>
                    <w:pStyle w:val="Normaltabletextleft"/>
                    <w:spacing w:line="240" w:lineRule="auto"/>
                    <w:rPr>
                      <w:rFonts w:cstheme="minorHAnsi"/>
                      <w:color w:val="414042" w:themeColor="text1"/>
                      <w:spacing w:val="-2"/>
                      <w:sz w:val="18"/>
                    </w:rPr>
                  </w:pPr>
                </w:p>
                <w:p w14:paraId="614F9B0A"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SES3,</w:t>
                  </w:r>
                  <w:r w:rsidRPr="00DF3006">
                    <w:rPr>
                      <w:rFonts w:cstheme="minorHAnsi"/>
                      <w:i/>
                      <w:color w:val="414042" w:themeColor="text1"/>
                      <w:spacing w:val="-2"/>
                      <w:sz w:val="18"/>
                    </w:rPr>
                    <w:t xml:space="preserve"> Crime and Corruption Act 2001</w:t>
                  </w:r>
                </w:p>
                <w:p w14:paraId="45FBBEE0" w14:textId="77777777" w:rsidR="00FC17BC" w:rsidRPr="00DF3006" w:rsidRDefault="00FC17BC" w:rsidP="00025E55">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5D674F5"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F51D62F"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192BA97"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50D13E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29</w:t>
                  </w:r>
                </w:p>
              </w:tc>
            </w:tr>
            <w:tr w:rsidR="00DF3006" w:rsidRPr="00DF3006" w14:paraId="3D89D573" w14:textId="77777777" w:rsidTr="00025E55">
              <w:tc>
                <w:tcPr>
                  <w:tcW w:w="2835" w:type="dxa"/>
                  <w:tcBorders>
                    <w:top w:val="single" w:sz="4" w:space="0" w:color="auto"/>
                    <w:bottom w:val="single" w:sz="4" w:space="0" w:color="auto"/>
                    <w:right w:val="single" w:sz="4" w:space="0" w:color="auto"/>
                  </w:tcBorders>
                  <w:tcMar>
                    <w:top w:w="28" w:type="dxa"/>
                    <w:bottom w:w="57" w:type="dxa"/>
                  </w:tcMar>
                  <w:vAlign w:val="center"/>
                </w:tcPr>
                <w:p w14:paraId="1CA8A423"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General Manager, Operations Support 12 April 2022 to current</w:t>
                  </w:r>
                </w:p>
              </w:tc>
              <w:tc>
                <w:tcPr>
                  <w:tcW w:w="1701" w:type="dxa"/>
                  <w:tcBorders>
                    <w:top w:val="single" w:sz="4" w:space="0" w:color="auto"/>
                    <w:left w:val="single" w:sz="4" w:space="0" w:color="auto"/>
                    <w:right w:val="single" w:sz="4" w:space="0" w:color="auto"/>
                  </w:tcBorders>
                  <w:tcMar>
                    <w:left w:w="57" w:type="dxa"/>
                  </w:tcMar>
                  <w:vAlign w:val="center"/>
                </w:tcPr>
                <w:p w14:paraId="0CAD9E8C" w14:textId="77777777" w:rsidR="00FC17BC" w:rsidRPr="00DF3006" w:rsidRDefault="00FC17BC" w:rsidP="00025E55">
                  <w:pPr>
                    <w:pStyle w:val="Normaltabletextleft"/>
                    <w:spacing w:line="240" w:lineRule="auto"/>
                    <w:rPr>
                      <w:rFonts w:cstheme="minorHAnsi"/>
                      <w:color w:val="414042" w:themeColor="text1"/>
                      <w:spacing w:val="-2"/>
                      <w:sz w:val="18"/>
                    </w:rPr>
                  </w:pPr>
                </w:p>
                <w:p w14:paraId="7BA80D70"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 xml:space="preserve">Chief Superintendent, </w:t>
                  </w:r>
                  <w:r w:rsidRPr="00DF3006">
                    <w:rPr>
                      <w:rFonts w:cstheme="minorHAnsi"/>
                      <w:i/>
                      <w:color w:val="414042" w:themeColor="text1"/>
                      <w:spacing w:val="-2"/>
                      <w:sz w:val="18"/>
                    </w:rPr>
                    <w:t>Crime and Corruption Act 2001</w:t>
                  </w:r>
                </w:p>
                <w:p w14:paraId="791884CF" w14:textId="77777777" w:rsidR="00FC17BC" w:rsidRPr="00DF3006" w:rsidRDefault="00FC17BC" w:rsidP="00025E55">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CABF49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213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BD3BE7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6</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53DD09C"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34</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5F78EF86"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253</w:t>
                  </w:r>
                </w:p>
              </w:tc>
            </w:tr>
            <w:tr w:rsidR="00DF3006" w:rsidRPr="00DF3006" w14:paraId="00ABED83" w14:textId="77777777" w:rsidTr="00025E55">
              <w:trPr>
                <w:trHeight w:val="501"/>
              </w:trPr>
              <w:tc>
                <w:tcPr>
                  <w:tcW w:w="2835" w:type="dxa"/>
                  <w:tcBorders>
                    <w:top w:val="single" w:sz="4" w:space="0" w:color="auto"/>
                    <w:bottom w:val="double" w:sz="4" w:space="0" w:color="auto"/>
                    <w:right w:val="single" w:sz="4" w:space="0" w:color="auto"/>
                  </w:tcBorders>
                  <w:tcMar>
                    <w:top w:w="28" w:type="dxa"/>
                    <w:bottom w:w="57" w:type="dxa"/>
                  </w:tcMar>
                  <w:vAlign w:val="center"/>
                </w:tcPr>
                <w:p w14:paraId="6BCE7A96" w14:textId="77777777" w:rsidR="00FC17BC" w:rsidRPr="00DF3006" w:rsidRDefault="00FC17BC" w:rsidP="00025E55">
                  <w:pPr>
                    <w:pStyle w:val="Normaltabletextleft"/>
                    <w:spacing w:line="240" w:lineRule="auto"/>
                    <w:rPr>
                      <w:rFonts w:cstheme="minorHAnsi"/>
                      <w:b/>
                      <w:color w:val="414042" w:themeColor="text1"/>
                      <w:sz w:val="18"/>
                    </w:rPr>
                  </w:pPr>
                  <w:r w:rsidRPr="00DF3006">
                    <w:rPr>
                      <w:rFonts w:cstheme="minorHAnsi"/>
                      <w:b/>
                      <w:color w:val="414042" w:themeColor="text1"/>
                      <w:sz w:val="18"/>
                    </w:rPr>
                    <w:t>Total Remuneration</w:t>
                  </w:r>
                </w:p>
              </w:tc>
              <w:tc>
                <w:tcPr>
                  <w:tcW w:w="1701" w:type="dxa"/>
                  <w:tcBorders>
                    <w:top w:val="single" w:sz="4" w:space="0" w:color="auto"/>
                    <w:left w:val="single" w:sz="4" w:space="0" w:color="auto"/>
                    <w:bottom w:val="double" w:sz="4" w:space="0" w:color="auto"/>
                    <w:right w:val="single" w:sz="4" w:space="0" w:color="auto"/>
                  </w:tcBorders>
                  <w:vAlign w:val="center"/>
                </w:tcPr>
                <w:p w14:paraId="6B41B637" w14:textId="77777777" w:rsidR="00FC17BC" w:rsidRPr="00DF3006" w:rsidRDefault="00FC17BC" w:rsidP="00025E55">
                  <w:pPr>
                    <w:pStyle w:val="Normaltabletext1stpararight"/>
                    <w:spacing w:line="240" w:lineRule="auto"/>
                    <w:rPr>
                      <w:rFonts w:cstheme="minorHAnsi"/>
                      <w:b/>
                      <w:color w:val="414042" w:themeColor="text1"/>
                      <w:sz w:val="18"/>
                    </w:rPr>
                  </w:pP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52F84135"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1,817</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18EA7762"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48</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75F29801"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209</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76BE6169"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2,074</w:t>
                  </w:r>
                </w:p>
              </w:tc>
            </w:tr>
          </w:tbl>
          <w:p w14:paraId="5EC37183" w14:textId="77777777" w:rsidR="00FC17BC" w:rsidRPr="00DF3006" w:rsidRDefault="00FC17BC" w:rsidP="00025E55">
            <w:pPr>
              <w:pStyle w:val="Noteswithhangingindent"/>
              <w:spacing w:line="240" w:lineRule="auto"/>
              <w:jc w:val="both"/>
              <w:rPr>
                <w:rFonts w:cstheme="minorHAnsi"/>
                <w:szCs w:val="17"/>
              </w:rPr>
            </w:pPr>
            <w:r w:rsidRPr="00DF3006">
              <w:rPr>
                <w:rFonts w:cstheme="minorHAnsi"/>
                <w:szCs w:val="17"/>
              </w:rPr>
              <w:t>¹    General Manager, Corporate Services was appointed to the General Manager, Strategy &amp; Renewal role in an organisation restructure. The General Manager, Corporate Services position was abolished from 14 August 2022.</w:t>
            </w:r>
          </w:p>
          <w:p w14:paraId="4E55DBFA" w14:textId="64753529" w:rsidR="00C30C9B" w:rsidRPr="00DF3006" w:rsidRDefault="00C30C9B" w:rsidP="00C30C9B">
            <w:pPr>
              <w:rPr>
                <w:color w:val="414042" w:themeColor="text1"/>
              </w:rPr>
            </w:pPr>
          </w:p>
          <w:p w14:paraId="7F8560B3" w14:textId="67859102" w:rsidR="00C30C9B" w:rsidRPr="00DF3006" w:rsidRDefault="00C30C9B" w:rsidP="00C30C9B">
            <w:pPr>
              <w:rPr>
                <w:color w:val="414042" w:themeColor="text1"/>
              </w:rPr>
            </w:pPr>
          </w:p>
          <w:p w14:paraId="0A18E1E1" w14:textId="779E3AA5" w:rsidR="00C30C9B" w:rsidRPr="00DF3006" w:rsidRDefault="00C30C9B" w:rsidP="00C30C9B">
            <w:pPr>
              <w:rPr>
                <w:color w:val="414042" w:themeColor="text1"/>
              </w:rPr>
            </w:pPr>
          </w:p>
          <w:p w14:paraId="0C3CB7D7" w14:textId="10657C2A" w:rsidR="00C30C9B" w:rsidRPr="00DF3006" w:rsidRDefault="00C30C9B" w:rsidP="00C30C9B">
            <w:pPr>
              <w:rPr>
                <w:color w:val="414042" w:themeColor="text1"/>
              </w:rPr>
            </w:pPr>
          </w:p>
          <w:p w14:paraId="20590E8F" w14:textId="13903960" w:rsidR="00C30C9B" w:rsidRPr="00DF3006" w:rsidRDefault="00C30C9B" w:rsidP="00C30C9B">
            <w:pPr>
              <w:rPr>
                <w:color w:val="414042" w:themeColor="text1"/>
              </w:rPr>
            </w:pPr>
          </w:p>
          <w:p w14:paraId="1EF5DEE9" w14:textId="77777777" w:rsidR="00C30C9B" w:rsidRPr="00DF3006" w:rsidRDefault="00C30C9B" w:rsidP="00C30C9B">
            <w:pPr>
              <w:rPr>
                <w:color w:val="414042" w:themeColor="text1"/>
              </w:rPr>
            </w:pPr>
          </w:p>
          <w:p w14:paraId="687EF0D1" w14:textId="6D401440" w:rsidR="00FC17BC" w:rsidRPr="00DF3006" w:rsidRDefault="00FC17BC" w:rsidP="005268F0">
            <w:pPr>
              <w:pStyle w:val="Normal115pttext"/>
              <w:spacing w:line="240" w:lineRule="auto"/>
              <w:rPr>
                <w:color w:val="414042" w:themeColor="text1"/>
              </w:rPr>
            </w:pPr>
            <w:r w:rsidRPr="00DF3006">
              <w:rPr>
                <w:color w:val="414042" w:themeColor="text1"/>
              </w:rPr>
              <w:t>Note 4:  The Commission, Senior Executive Personnel, Remuneration Expenses and Related Party Transactions (cont’d)</w:t>
            </w:r>
          </w:p>
          <w:p w14:paraId="68E96DF8" w14:textId="77777777" w:rsidR="00FC17BC" w:rsidRPr="00DF3006" w:rsidRDefault="00FC17BC" w:rsidP="00025E55">
            <w:pPr>
              <w:pStyle w:val="Normalhanginglist105pt"/>
              <w:spacing w:line="240" w:lineRule="auto"/>
              <w:jc w:val="both"/>
              <w:rPr>
                <w:rFonts w:cstheme="minorHAnsi"/>
                <w:color w:val="414042" w:themeColor="text1"/>
                <w:szCs w:val="21"/>
              </w:rPr>
            </w:pPr>
          </w:p>
          <w:p w14:paraId="5E2CC072" w14:textId="77777777" w:rsidR="00FC17BC" w:rsidRPr="00DF3006" w:rsidRDefault="00FC17BC" w:rsidP="00025E55">
            <w:pPr>
              <w:pStyle w:val="Normalhanginglist105pt"/>
              <w:spacing w:line="240" w:lineRule="auto"/>
              <w:jc w:val="both"/>
              <w:rPr>
                <w:rFonts w:cstheme="minorHAnsi"/>
                <w:color w:val="414042" w:themeColor="text1"/>
                <w:szCs w:val="21"/>
              </w:rPr>
            </w:pPr>
            <w:r w:rsidRPr="00DF3006">
              <w:rPr>
                <w:rFonts w:cstheme="minorHAnsi"/>
                <w:color w:val="414042" w:themeColor="text1"/>
                <w:szCs w:val="21"/>
              </w:rPr>
              <w:t>(d)</w:t>
            </w:r>
            <w:r w:rsidRPr="00DF3006">
              <w:rPr>
                <w:rFonts w:cstheme="minorHAnsi"/>
                <w:color w:val="414042" w:themeColor="text1"/>
                <w:szCs w:val="21"/>
              </w:rPr>
              <w:tab/>
              <w:t>Remuneration Expenses (cont’d)</w:t>
            </w:r>
          </w:p>
          <w:p w14:paraId="75DFD131" w14:textId="77777777" w:rsidR="00FC17BC" w:rsidRPr="00DF3006" w:rsidRDefault="00FC17BC" w:rsidP="00025E55">
            <w:pPr>
              <w:jc w:val="both"/>
              <w:rPr>
                <w:color w:val="414042" w:themeColor="text1"/>
                <w:sz w:val="21"/>
                <w:szCs w:val="21"/>
              </w:rPr>
            </w:pPr>
            <w:r w:rsidRPr="00DF3006">
              <w:rPr>
                <w:b/>
                <w:color w:val="414042" w:themeColor="text1"/>
                <w:sz w:val="21"/>
                <w:szCs w:val="21"/>
              </w:rPr>
              <w:t>1 July 2021 – 30 June 2022</w:t>
            </w:r>
          </w:p>
          <w:tbl>
            <w:tblPr>
              <w:tblW w:w="8931" w:type="dxa"/>
              <w:tblLayout w:type="fixed"/>
              <w:tblCellMar>
                <w:left w:w="0" w:type="dxa"/>
                <w:bottom w:w="11" w:type="dxa"/>
                <w:right w:w="0" w:type="dxa"/>
              </w:tblCellMar>
              <w:tblLook w:val="04A0" w:firstRow="1" w:lastRow="0" w:firstColumn="1" w:lastColumn="0" w:noHBand="0" w:noVBand="1"/>
            </w:tblPr>
            <w:tblGrid>
              <w:gridCol w:w="2694"/>
              <w:gridCol w:w="1842"/>
              <w:gridCol w:w="1134"/>
              <w:gridCol w:w="1134"/>
              <w:gridCol w:w="1134"/>
              <w:gridCol w:w="993"/>
            </w:tblGrid>
            <w:tr w:rsidR="00DF3006" w:rsidRPr="00DF3006" w14:paraId="59012AFF" w14:textId="77777777" w:rsidTr="00025E55">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266947B4" w14:textId="77777777" w:rsidR="00FC17BC" w:rsidRPr="00DF3006" w:rsidRDefault="00FC17BC" w:rsidP="00025E55">
                  <w:pPr>
                    <w:pStyle w:val="Normaltabletextleft"/>
                    <w:spacing w:line="240" w:lineRule="auto"/>
                    <w:rPr>
                      <w:rFonts w:cstheme="minorHAnsi"/>
                      <w:b/>
                      <w:color w:val="414042" w:themeColor="text1"/>
                      <w:sz w:val="18"/>
                    </w:rPr>
                  </w:pPr>
                  <w:r w:rsidRPr="00DF3006">
                    <w:rPr>
                      <w:rFonts w:cstheme="minorHAnsi"/>
                      <w:b/>
                      <w:color w:val="414042" w:themeColor="text1"/>
                      <w:sz w:val="18"/>
                    </w:rPr>
                    <w:t>Position</w:t>
                  </w:r>
                </w:p>
              </w:tc>
              <w:tc>
                <w:tcPr>
                  <w:tcW w:w="1842" w:type="dxa"/>
                  <w:tcBorders>
                    <w:top w:val="single" w:sz="4" w:space="0" w:color="auto"/>
                    <w:left w:val="single" w:sz="4" w:space="0" w:color="auto"/>
                    <w:right w:val="single" w:sz="4" w:space="0" w:color="auto"/>
                  </w:tcBorders>
                  <w:vAlign w:val="center"/>
                </w:tcPr>
                <w:p w14:paraId="2FF08475" w14:textId="77777777" w:rsidR="00FC17BC" w:rsidRPr="00DF3006" w:rsidRDefault="00FC17BC" w:rsidP="00025E55">
                  <w:pPr>
                    <w:pStyle w:val="Normaltabletextleft"/>
                    <w:tabs>
                      <w:tab w:val="left" w:pos="371"/>
                    </w:tabs>
                    <w:spacing w:line="240" w:lineRule="auto"/>
                    <w:jc w:val="center"/>
                    <w:rPr>
                      <w:rFonts w:cstheme="minorHAnsi"/>
                      <w:b/>
                      <w:color w:val="414042" w:themeColor="text1"/>
                      <w:sz w:val="18"/>
                    </w:rPr>
                  </w:pPr>
                  <w:r w:rsidRPr="00DF3006">
                    <w:rPr>
                      <w:rFonts w:cstheme="minorHAnsi"/>
                      <w:b/>
                      <w:color w:val="414042" w:themeColor="text1"/>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39163B98" w14:textId="77777777" w:rsidR="00FC17BC" w:rsidRPr="00DF3006" w:rsidRDefault="00FC17BC" w:rsidP="00025E55">
                  <w:pPr>
                    <w:pStyle w:val="Normaltabletext1stpararight"/>
                    <w:spacing w:line="240" w:lineRule="auto"/>
                    <w:jc w:val="center"/>
                    <w:rPr>
                      <w:rFonts w:cstheme="minorHAnsi"/>
                      <w:b/>
                      <w:color w:val="414042" w:themeColor="text1"/>
                      <w:sz w:val="18"/>
                    </w:rPr>
                  </w:pPr>
                </w:p>
                <w:p w14:paraId="24F90DD0"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Monetary Expenses</w:t>
                  </w:r>
                </w:p>
                <w:p w14:paraId="0193A501"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182DD2EF"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Long-Term Employee Expenses</w:t>
                  </w:r>
                </w:p>
                <w:p w14:paraId="3101DDD0" w14:textId="77777777" w:rsidR="00FC17BC" w:rsidRPr="00DF3006" w:rsidRDefault="00FC17BC" w:rsidP="00025E55">
                  <w:pPr>
                    <w:pStyle w:val="Normaltabletext1stpararight"/>
                    <w:spacing w:line="240" w:lineRule="auto"/>
                    <w:ind w:right="113"/>
                    <w:jc w:val="center"/>
                    <w:rPr>
                      <w:rFonts w:cstheme="minorHAnsi"/>
                      <w:b/>
                      <w:color w:val="414042" w:themeColor="text1"/>
                      <w:sz w:val="18"/>
                    </w:rPr>
                  </w:pPr>
                  <w:r w:rsidRPr="00DF3006">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2FA74260"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Post-Employment Expenses</w:t>
                  </w:r>
                </w:p>
                <w:p w14:paraId="3EAA3BD9" w14:textId="77777777" w:rsidR="00FC17BC" w:rsidRPr="00DF3006" w:rsidRDefault="00FC17BC" w:rsidP="00025E55">
                  <w:pPr>
                    <w:pStyle w:val="Normaltabletext1stpararight"/>
                    <w:spacing w:line="240" w:lineRule="auto"/>
                    <w:ind w:right="113"/>
                    <w:jc w:val="center"/>
                    <w:rPr>
                      <w:rFonts w:cstheme="minorHAnsi"/>
                      <w:b/>
                      <w:color w:val="414042" w:themeColor="text1"/>
                      <w:sz w:val="18"/>
                    </w:rPr>
                  </w:pPr>
                  <w:r w:rsidRPr="00DF3006">
                    <w:rPr>
                      <w:rFonts w:cstheme="minorHAnsi"/>
                      <w:b/>
                      <w:color w:val="414042" w:themeColor="text1"/>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23C6C34C" w14:textId="77777777" w:rsidR="00FC17BC" w:rsidRPr="00DF3006" w:rsidRDefault="00FC17BC" w:rsidP="00025E55">
                  <w:pPr>
                    <w:pStyle w:val="Normaltabletext1stpararight"/>
                    <w:spacing w:line="240" w:lineRule="auto"/>
                    <w:jc w:val="center"/>
                    <w:rPr>
                      <w:rFonts w:cstheme="minorHAnsi"/>
                      <w:b/>
                      <w:color w:val="414042" w:themeColor="text1"/>
                      <w:sz w:val="18"/>
                    </w:rPr>
                  </w:pPr>
                  <w:r w:rsidRPr="00DF3006">
                    <w:rPr>
                      <w:rFonts w:cstheme="minorHAnsi"/>
                      <w:b/>
                      <w:color w:val="414042" w:themeColor="text1"/>
                      <w:sz w:val="18"/>
                    </w:rPr>
                    <w:t>Total</w:t>
                  </w:r>
                  <w:r w:rsidRPr="00DF3006">
                    <w:rPr>
                      <w:rFonts w:cstheme="minorHAnsi"/>
                      <w:b/>
                      <w:color w:val="414042" w:themeColor="text1"/>
                      <w:sz w:val="18"/>
                    </w:rPr>
                    <w:br/>
                    <w:t>Expenses</w:t>
                  </w:r>
                </w:p>
                <w:p w14:paraId="1B3EF31C" w14:textId="77777777" w:rsidR="00FC17BC" w:rsidRPr="00DF3006" w:rsidRDefault="00FC17BC" w:rsidP="00025E55">
                  <w:pPr>
                    <w:pStyle w:val="Normaltabletext1stpararight"/>
                    <w:spacing w:line="240" w:lineRule="auto"/>
                    <w:ind w:right="113"/>
                    <w:jc w:val="center"/>
                    <w:rPr>
                      <w:rFonts w:cstheme="minorHAnsi"/>
                      <w:b/>
                      <w:color w:val="414042" w:themeColor="text1"/>
                      <w:sz w:val="18"/>
                    </w:rPr>
                  </w:pPr>
                  <w:r w:rsidRPr="00DF3006">
                    <w:rPr>
                      <w:rFonts w:cstheme="minorHAnsi"/>
                      <w:b/>
                      <w:color w:val="414042" w:themeColor="text1"/>
                      <w:sz w:val="18"/>
                    </w:rPr>
                    <w:t>$’000</w:t>
                  </w:r>
                </w:p>
              </w:tc>
            </w:tr>
            <w:tr w:rsidR="00DF3006" w:rsidRPr="00DF3006" w14:paraId="6D2E2945" w14:textId="77777777" w:rsidTr="00025E55">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1CDB70D3"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Chairperson – 1 September 2015 to 28 January 2022 </w:t>
                  </w:r>
                </w:p>
                <w:p w14:paraId="29840F9E" w14:textId="77777777" w:rsidR="00FC17BC" w:rsidRPr="00DF3006" w:rsidRDefault="00FC17BC" w:rsidP="00025E55">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4A57E662"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 xml:space="preserve">Crime </w:t>
                  </w:r>
                  <w:r w:rsidRPr="00DF3006">
                    <w:rPr>
                      <w:rFonts w:cstheme="minorHAnsi"/>
                      <w:i/>
                      <w:color w:val="414042" w:themeColor="text1"/>
                      <w:spacing w:val="-2"/>
                      <w:sz w:val="18"/>
                    </w:rPr>
                    <w:t>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92E0A1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309</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64672BE"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7ACC10F" w14:textId="77777777" w:rsidR="00FC17BC" w:rsidRPr="00DF3006" w:rsidRDefault="00FC17BC" w:rsidP="00025E55">
                  <w:pPr>
                    <w:pStyle w:val="Normaltabletext1stpararight"/>
                    <w:spacing w:line="240" w:lineRule="auto"/>
                    <w:rPr>
                      <w:rFonts w:cstheme="minorHAnsi"/>
                      <w:color w:val="414042" w:themeColor="text1"/>
                      <w:szCs w:val="20"/>
                      <w:lang w:eastAsia="en-AU"/>
                    </w:rPr>
                  </w:pPr>
                  <w:r w:rsidRPr="00DF3006">
                    <w:rPr>
                      <w:rFonts w:cstheme="minorHAnsi"/>
                      <w:color w:val="414042" w:themeColor="text1"/>
                      <w:szCs w:val="20"/>
                      <w:lang w:eastAsia="en-AU"/>
                    </w:rPr>
                    <w:t>-</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797734B6"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316</w:t>
                  </w:r>
                </w:p>
              </w:tc>
            </w:tr>
            <w:tr w:rsidR="00DF3006" w:rsidRPr="00DF3006" w14:paraId="5FCB8156" w14:textId="77777777" w:rsidTr="00025E55">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1EF21F59"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Acting Chairperson – 29 January 2022 to 1 July 2022¹</w:t>
                  </w:r>
                </w:p>
                <w:p w14:paraId="49A966BC" w14:textId="77777777" w:rsidR="00FC17BC" w:rsidRPr="00DF3006" w:rsidRDefault="00FC17BC" w:rsidP="00025E55">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02D70621"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 xml:space="preserve">Crime </w:t>
                  </w:r>
                  <w:r w:rsidRPr="00DF3006">
                    <w:rPr>
                      <w:rFonts w:cstheme="minorHAnsi"/>
                      <w:i/>
                      <w:color w:val="414042" w:themeColor="text1"/>
                      <w:spacing w:val="-2"/>
                      <w:sz w:val="18"/>
                    </w:rPr>
                    <w:t>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E12CC9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200</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23ED9CF"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5</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036795F"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21</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4DAFA9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226</w:t>
                  </w:r>
                </w:p>
              </w:tc>
            </w:tr>
            <w:tr w:rsidR="00DF3006" w:rsidRPr="00DF3006" w14:paraId="0A84A7CE"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1D2DB954"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Chief Executive Officer – 24 August 2018 to current </w:t>
                  </w:r>
                </w:p>
                <w:p w14:paraId="7E2B935E" w14:textId="77777777" w:rsidR="00FC17BC" w:rsidRPr="00DF3006" w:rsidRDefault="00FC17BC" w:rsidP="00025E55">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8C184C4"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CEO, Crime</w:t>
                  </w:r>
                  <w:r w:rsidRPr="00DF3006">
                    <w:rPr>
                      <w:rFonts w:cstheme="minorHAnsi"/>
                      <w:i/>
                      <w:color w:val="414042" w:themeColor="text1"/>
                      <w:spacing w:val="-2"/>
                      <w:sz w:val="18"/>
                    </w:rPr>
                    <w:t xml:space="preserv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30F4AB6"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316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CB21D74"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8</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820D637"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EC6C51C"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363</w:t>
                  </w:r>
                </w:p>
              </w:tc>
            </w:tr>
            <w:tr w:rsidR="00DF3006" w:rsidRPr="00DF3006" w14:paraId="58964094"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1E263B24"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Senior Executive Officer, Corruption – 3 October 2017 to 11 February 2022²</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3BB79B7C"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 xml:space="preserve">SES4, </w:t>
                  </w:r>
                  <w:r w:rsidRPr="00DF3006">
                    <w:rPr>
                      <w:rFonts w:cstheme="minorHAnsi"/>
                      <w:i/>
                      <w:color w:val="414042" w:themeColor="text1"/>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DD4C1DC"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163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61DD849"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1FF2750"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15</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493E3C8"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181</w:t>
                  </w:r>
                </w:p>
              </w:tc>
            </w:tr>
            <w:tr w:rsidR="00DF3006" w:rsidRPr="00DF3006" w14:paraId="312903FA"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17384E33"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Acting Senior Executive Officer, Corruption – 10 February 2022 to  30 June 2022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61CCB99"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 xml:space="preserve">SES4, </w:t>
                  </w:r>
                  <w:r w:rsidRPr="00DF3006">
                    <w:rPr>
                      <w:rFonts w:cstheme="minorHAnsi"/>
                      <w:i/>
                      <w:color w:val="414042" w:themeColor="text1"/>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9BB9AF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97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D344B79"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A4029B6"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1A8D1345"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109</w:t>
                  </w:r>
                </w:p>
              </w:tc>
            </w:tr>
            <w:tr w:rsidR="00DF3006" w:rsidRPr="00DF3006" w14:paraId="5E3CB463" w14:textId="77777777" w:rsidTr="00025E55">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0D8A535B"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Senior Executive Officer, Crime – </w:t>
                  </w:r>
                </w:p>
                <w:p w14:paraId="0EAC931E"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3 July 2017 to current </w:t>
                  </w:r>
                </w:p>
                <w:p w14:paraId="0D949D33" w14:textId="77777777" w:rsidR="00FC17BC" w:rsidRPr="00DF3006" w:rsidRDefault="00FC17BC" w:rsidP="00025E55">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195F62F4" w14:textId="77777777" w:rsidR="00FC17BC" w:rsidRPr="00DF3006" w:rsidRDefault="00FC17BC" w:rsidP="00025E55">
                  <w:pPr>
                    <w:pStyle w:val="Normaltabletextleft"/>
                    <w:spacing w:line="240" w:lineRule="auto"/>
                    <w:rPr>
                      <w:rFonts w:cstheme="minorHAnsi"/>
                      <w:i/>
                      <w:color w:val="414042" w:themeColor="text1"/>
                      <w:spacing w:val="-2"/>
                      <w:sz w:val="18"/>
                    </w:rPr>
                  </w:pPr>
                  <w:r w:rsidRPr="00DF3006">
                    <w:rPr>
                      <w:rFonts w:cstheme="minorHAnsi"/>
                      <w:color w:val="414042" w:themeColor="text1"/>
                      <w:spacing w:val="-2"/>
                      <w:sz w:val="18"/>
                    </w:rPr>
                    <w:t xml:space="preserve">SES4, </w:t>
                  </w:r>
                  <w:r w:rsidRPr="00DF3006">
                    <w:rPr>
                      <w:rFonts w:cstheme="minorHAnsi"/>
                      <w:i/>
                      <w:color w:val="414042" w:themeColor="text1"/>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B63F1A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259</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43B34D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E660DF8"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1C32A6F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294</w:t>
                  </w:r>
                </w:p>
              </w:tc>
            </w:tr>
            <w:tr w:rsidR="00DF3006" w:rsidRPr="00DF3006" w14:paraId="0299302D"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59E12590"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General Manager, Corporate Services – 1 April 2019 to current</w:t>
                  </w:r>
                </w:p>
                <w:p w14:paraId="2D6AD8DC" w14:textId="77777777" w:rsidR="00FC17BC" w:rsidRPr="00DF3006" w:rsidRDefault="00FC17BC" w:rsidP="00025E55">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right w:val="single" w:sz="4" w:space="0" w:color="auto"/>
                  </w:tcBorders>
                  <w:tcMar>
                    <w:left w:w="57" w:type="dxa"/>
                  </w:tcMar>
                  <w:vAlign w:val="center"/>
                </w:tcPr>
                <w:p w14:paraId="770E37B3"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SES3,</w:t>
                  </w:r>
                  <w:r w:rsidRPr="00DF3006">
                    <w:rPr>
                      <w:rFonts w:cstheme="minorHAnsi"/>
                      <w:i/>
                      <w:color w:val="414042" w:themeColor="text1"/>
                      <w:spacing w:val="-2"/>
                      <w:sz w:val="18"/>
                    </w:rPr>
                    <w:t xml:space="preserve"> 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77BCEAD"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216</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3B4BE67"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7F9637D"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56A85B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244</w:t>
                  </w:r>
                </w:p>
              </w:tc>
            </w:tr>
            <w:tr w:rsidR="00DF3006" w:rsidRPr="00DF3006" w14:paraId="56B32F3F"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49D9EEA3"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General Manager, Operations Support – 12 April 2022 to current</w:t>
                  </w:r>
                </w:p>
                <w:p w14:paraId="48A4B736" w14:textId="77777777" w:rsidR="00FC17BC" w:rsidRPr="00DF3006" w:rsidRDefault="00FC17BC" w:rsidP="00025E55">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right w:val="single" w:sz="4" w:space="0" w:color="auto"/>
                  </w:tcBorders>
                  <w:tcMar>
                    <w:left w:w="57" w:type="dxa"/>
                  </w:tcMar>
                  <w:vAlign w:val="center"/>
                </w:tcPr>
                <w:p w14:paraId="721574D8"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 xml:space="preserve">Chief Superintendent, </w:t>
                  </w:r>
                  <w:r w:rsidRPr="00DF3006">
                    <w:rPr>
                      <w:rFonts w:cstheme="minorHAnsi"/>
                      <w:i/>
                      <w:color w:val="414042" w:themeColor="text1"/>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C3087B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43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CD269A5"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F2B9857"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7</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67FFA53"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51</w:t>
                  </w:r>
                </w:p>
              </w:tc>
            </w:tr>
            <w:tr w:rsidR="00DF3006" w:rsidRPr="00DF3006" w14:paraId="4404545A"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33286FB6"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General Manager, Operations Support – 5 May 2020 to 8 April 2022³</w:t>
                  </w:r>
                </w:p>
              </w:tc>
              <w:tc>
                <w:tcPr>
                  <w:tcW w:w="1842" w:type="dxa"/>
                  <w:tcBorders>
                    <w:top w:val="single" w:sz="4" w:space="0" w:color="auto"/>
                    <w:left w:val="single" w:sz="4" w:space="0" w:color="auto"/>
                    <w:right w:val="single" w:sz="4" w:space="0" w:color="auto"/>
                  </w:tcBorders>
                  <w:tcMar>
                    <w:left w:w="57" w:type="dxa"/>
                  </w:tcMar>
                  <w:vAlign w:val="center"/>
                </w:tcPr>
                <w:p w14:paraId="31525B35"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 xml:space="preserve">Chief Superintendent, </w:t>
                  </w:r>
                  <w:r w:rsidRPr="00DF3006">
                    <w:rPr>
                      <w:rFonts w:cstheme="minorHAnsi"/>
                      <w:i/>
                      <w:color w:val="414042" w:themeColor="text1"/>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F81BBAC"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60</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F0990E5"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2</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D08921B"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9</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CDA0BD2"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71</w:t>
                  </w:r>
                </w:p>
              </w:tc>
            </w:tr>
            <w:tr w:rsidR="00DF3006" w:rsidRPr="00DF3006" w14:paraId="3A2DDC05" w14:textId="77777777" w:rsidTr="00025E55">
              <w:tc>
                <w:tcPr>
                  <w:tcW w:w="2694" w:type="dxa"/>
                  <w:tcBorders>
                    <w:top w:val="single" w:sz="4" w:space="0" w:color="auto"/>
                    <w:bottom w:val="single" w:sz="4" w:space="0" w:color="auto"/>
                    <w:right w:val="single" w:sz="4" w:space="0" w:color="auto"/>
                  </w:tcBorders>
                  <w:tcMar>
                    <w:top w:w="28" w:type="dxa"/>
                    <w:bottom w:w="57" w:type="dxa"/>
                  </w:tcMar>
                  <w:vAlign w:val="center"/>
                </w:tcPr>
                <w:p w14:paraId="7524CB19" w14:textId="77777777" w:rsidR="00FC17BC" w:rsidRPr="00DF3006" w:rsidRDefault="00FC17BC" w:rsidP="00025E55">
                  <w:pPr>
                    <w:pStyle w:val="Normaltabletextleft"/>
                    <w:spacing w:line="240" w:lineRule="auto"/>
                    <w:rPr>
                      <w:rFonts w:cstheme="minorHAnsi"/>
                      <w:color w:val="414042" w:themeColor="text1"/>
                      <w:sz w:val="18"/>
                    </w:rPr>
                  </w:pPr>
                  <w:r w:rsidRPr="00DF3006">
                    <w:rPr>
                      <w:rFonts w:cstheme="minorHAnsi"/>
                      <w:color w:val="414042" w:themeColor="text1"/>
                      <w:sz w:val="18"/>
                    </w:rPr>
                    <w:t xml:space="preserve">Acting General Manager, Operations Support – 5 July 2021 to 2 January 2022 </w:t>
                  </w:r>
                </w:p>
              </w:tc>
              <w:tc>
                <w:tcPr>
                  <w:tcW w:w="1842" w:type="dxa"/>
                  <w:tcBorders>
                    <w:top w:val="single" w:sz="4" w:space="0" w:color="auto"/>
                    <w:left w:val="single" w:sz="4" w:space="0" w:color="auto"/>
                    <w:right w:val="single" w:sz="4" w:space="0" w:color="auto"/>
                  </w:tcBorders>
                  <w:tcMar>
                    <w:left w:w="57" w:type="dxa"/>
                  </w:tcMar>
                  <w:vAlign w:val="center"/>
                </w:tcPr>
                <w:p w14:paraId="1F906616" w14:textId="77777777" w:rsidR="00FC17BC" w:rsidRPr="00DF3006" w:rsidRDefault="00FC17BC" w:rsidP="00025E55">
                  <w:pPr>
                    <w:pStyle w:val="Normaltabletextleft"/>
                    <w:spacing w:line="240" w:lineRule="auto"/>
                    <w:rPr>
                      <w:rFonts w:cstheme="minorHAnsi"/>
                      <w:color w:val="414042" w:themeColor="text1"/>
                      <w:spacing w:val="-2"/>
                      <w:sz w:val="18"/>
                    </w:rPr>
                  </w:pPr>
                  <w:r w:rsidRPr="00DF3006">
                    <w:rPr>
                      <w:rFonts w:cstheme="minorHAnsi"/>
                      <w:color w:val="414042" w:themeColor="text1"/>
                      <w:spacing w:val="-2"/>
                      <w:sz w:val="18"/>
                    </w:rPr>
                    <w:t xml:space="preserve">Chief Superintendent, </w:t>
                  </w:r>
                  <w:r w:rsidRPr="00DF3006">
                    <w:rPr>
                      <w:rFonts w:cstheme="minorHAnsi"/>
                      <w:i/>
                      <w:color w:val="414042" w:themeColor="text1"/>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1A911F8"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111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E22FE81"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F8A8989"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16</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0CB1692" w14:textId="77777777" w:rsidR="00FC17BC" w:rsidRPr="00DF3006" w:rsidRDefault="00FC17BC" w:rsidP="00025E55">
                  <w:pPr>
                    <w:pStyle w:val="Normaltabletext1stpararight"/>
                    <w:spacing w:line="240" w:lineRule="auto"/>
                    <w:rPr>
                      <w:rFonts w:cstheme="minorHAnsi"/>
                      <w:color w:val="414042" w:themeColor="text1"/>
                      <w:sz w:val="18"/>
                    </w:rPr>
                  </w:pPr>
                  <w:r w:rsidRPr="00DF3006">
                    <w:rPr>
                      <w:rFonts w:cstheme="minorHAnsi"/>
                      <w:color w:val="414042" w:themeColor="text1"/>
                      <w:sz w:val="18"/>
                    </w:rPr>
                    <w:t>130</w:t>
                  </w:r>
                </w:p>
              </w:tc>
            </w:tr>
            <w:tr w:rsidR="00DF3006" w:rsidRPr="00DF3006" w14:paraId="38F593CD" w14:textId="77777777" w:rsidTr="00025E55">
              <w:trPr>
                <w:trHeight w:val="426"/>
              </w:trPr>
              <w:tc>
                <w:tcPr>
                  <w:tcW w:w="2694" w:type="dxa"/>
                  <w:tcBorders>
                    <w:top w:val="single" w:sz="4" w:space="0" w:color="auto"/>
                    <w:bottom w:val="double" w:sz="4" w:space="0" w:color="auto"/>
                    <w:right w:val="single" w:sz="4" w:space="0" w:color="auto"/>
                  </w:tcBorders>
                  <w:tcMar>
                    <w:top w:w="28" w:type="dxa"/>
                    <w:bottom w:w="57" w:type="dxa"/>
                  </w:tcMar>
                  <w:vAlign w:val="center"/>
                </w:tcPr>
                <w:p w14:paraId="0C5E84C3" w14:textId="77777777" w:rsidR="00FC17BC" w:rsidRPr="00DF3006" w:rsidRDefault="00FC17BC" w:rsidP="00025E55">
                  <w:pPr>
                    <w:pStyle w:val="Normaltabletextleft"/>
                    <w:spacing w:line="240" w:lineRule="auto"/>
                    <w:rPr>
                      <w:rFonts w:cstheme="minorHAnsi"/>
                      <w:b/>
                      <w:color w:val="414042" w:themeColor="text1"/>
                      <w:sz w:val="18"/>
                    </w:rPr>
                  </w:pPr>
                  <w:r w:rsidRPr="00DF3006">
                    <w:rPr>
                      <w:rFonts w:cstheme="minorHAnsi"/>
                      <w:b/>
                      <w:color w:val="414042" w:themeColor="text1"/>
                      <w:sz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2117D142" w14:textId="77777777" w:rsidR="00FC17BC" w:rsidRPr="00DF3006" w:rsidRDefault="00FC17BC" w:rsidP="00025E55">
                  <w:pPr>
                    <w:pStyle w:val="Normaltabletext1stpararight"/>
                    <w:spacing w:line="240" w:lineRule="auto"/>
                    <w:rPr>
                      <w:rFonts w:cstheme="minorHAnsi"/>
                      <w:b/>
                      <w:color w:val="414042" w:themeColor="text1"/>
                      <w:sz w:val="18"/>
                    </w:rPr>
                  </w:pP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9C38F18"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1,774</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4E555573"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43</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3ABBEC6D"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168</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5669EEA8" w14:textId="77777777" w:rsidR="00FC17BC" w:rsidRPr="00DF3006" w:rsidRDefault="00FC17BC" w:rsidP="00025E55">
                  <w:pPr>
                    <w:pStyle w:val="Normaltabletext1stpararight"/>
                    <w:spacing w:line="240" w:lineRule="auto"/>
                    <w:rPr>
                      <w:rFonts w:cstheme="minorHAnsi"/>
                      <w:b/>
                      <w:color w:val="414042" w:themeColor="text1"/>
                      <w:sz w:val="18"/>
                    </w:rPr>
                  </w:pPr>
                  <w:r w:rsidRPr="00DF3006">
                    <w:rPr>
                      <w:rFonts w:cstheme="minorHAnsi"/>
                      <w:b/>
                      <w:color w:val="414042" w:themeColor="text1"/>
                      <w:sz w:val="18"/>
                    </w:rPr>
                    <w:t>1,985</w:t>
                  </w:r>
                </w:p>
              </w:tc>
            </w:tr>
          </w:tbl>
          <w:p w14:paraId="4033E11C" w14:textId="77777777" w:rsidR="00FC17BC" w:rsidRPr="00DF3006" w:rsidRDefault="00FC17BC" w:rsidP="00025E55">
            <w:pPr>
              <w:pStyle w:val="Noteswithhangingindent"/>
              <w:spacing w:line="240" w:lineRule="auto"/>
              <w:jc w:val="both"/>
              <w:rPr>
                <w:rFonts w:cstheme="minorHAnsi"/>
                <w:szCs w:val="17"/>
              </w:rPr>
            </w:pPr>
            <w:r w:rsidRPr="00DF3006">
              <w:rPr>
                <w:rFonts w:cstheme="minorHAnsi"/>
                <w:szCs w:val="17"/>
              </w:rPr>
              <w:t>¹       Acting Chairperson has been appointed to the role of Chairperson for three years starting 2 July 2022.</w:t>
            </w:r>
          </w:p>
          <w:p w14:paraId="214FCD82" w14:textId="77777777" w:rsidR="00FC17BC" w:rsidRPr="00DF3006" w:rsidRDefault="00FC17BC" w:rsidP="00025E55">
            <w:pPr>
              <w:pStyle w:val="Noteswithhangingindent"/>
              <w:spacing w:line="240" w:lineRule="auto"/>
              <w:jc w:val="both"/>
              <w:rPr>
                <w:rFonts w:cstheme="minorHAnsi"/>
                <w:szCs w:val="17"/>
              </w:rPr>
            </w:pPr>
            <w:r w:rsidRPr="00DF3006">
              <w:rPr>
                <w:rFonts w:cstheme="minorHAnsi"/>
                <w:szCs w:val="17"/>
              </w:rPr>
              <w:t>²      Remuneration expenses include costs in relation to acting arrangements established during the year.</w:t>
            </w:r>
          </w:p>
          <w:p w14:paraId="0D8BC201" w14:textId="77777777" w:rsidR="00FC17BC" w:rsidRPr="00DF3006" w:rsidRDefault="00FC17BC" w:rsidP="00025E55">
            <w:pPr>
              <w:pStyle w:val="Noteswithhangingindent"/>
              <w:spacing w:line="240" w:lineRule="auto"/>
              <w:jc w:val="both"/>
              <w:rPr>
                <w:rFonts w:cstheme="minorHAnsi"/>
                <w:szCs w:val="17"/>
              </w:rPr>
            </w:pPr>
            <w:r w:rsidRPr="00DF3006">
              <w:rPr>
                <w:rFonts w:cstheme="minorHAnsi"/>
                <w:szCs w:val="17"/>
              </w:rPr>
              <w:t>³      Commenced secondment with Queensland Racing Integrity Commission from 5 July 2021 to 2 January 2022. The General</w:t>
            </w:r>
          </w:p>
          <w:p w14:paraId="459E68AB" w14:textId="77777777" w:rsidR="00FC17BC" w:rsidRPr="00DF3006" w:rsidRDefault="00FC17BC" w:rsidP="00025E55">
            <w:pPr>
              <w:pStyle w:val="Noteswithhangingindent"/>
              <w:spacing w:line="240" w:lineRule="auto"/>
              <w:jc w:val="both"/>
              <w:rPr>
                <w:rFonts w:cstheme="minorHAnsi"/>
                <w:szCs w:val="17"/>
              </w:rPr>
            </w:pPr>
            <w:r w:rsidRPr="00DF3006">
              <w:rPr>
                <w:rFonts w:cstheme="minorHAnsi"/>
                <w:szCs w:val="17"/>
              </w:rPr>
              <w:t xml:space="preserve">        Manager, Operations Support role was backfilled during this period. </w:t>
            </w:r>
          </w:p>
          <w:p w14:paraId="69224CD3" w14:textId="77777777" w:rsidR="00FC17BC" w:rsidRPr="00DF3006" w:rsidRDefault="00FC17BC" w:rsidP="00025E55">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line="240" w:lineRule="auto"/>
              <w:jc w:val="both"/>
              <w:rPr>
                <w:rFonts w:cstheme="minorHAnsi"/>
                <w:sz w:val="18"/>
                <w:szCs w:val="18"/>
              </w:rPr>
            </w:pPr>
          </w:p>
          <w:p w14:paraId="63EA1949" w14:textId="77777777" w:rsidR="00FC17BC" w:rsidRPr="00DF3006" w:rsidRDefault="00FC17BC" w:rsidP="00025E55">
            <w:pPr>
              <w:pStyle w:val="Normal115pttext"/>
              <w:spacing w:line="240" w:lineRule="auto"/>
              <w:jc w:val="both"/>
              <w:rPr>
                <w:color w:val="414042" w:themeColor="text1"/>
              </w:rPr>
            </w:pPr>
          </w:p>
          <w:p w14:paraId="26D8EF2C" w14:textId="77777777" w:rsidR="00FC17BC" w:rsidRPr="00DF3006" w:rsidRDefault="00FC17BC" w:rsidP="00025E55">
            <w:pPr>
              <w:pStyle w:val="Normal115pttext"/>
              <w:spacing w:line="240" w:lineRule="auto"/>
              <w:jc w:val="both"/>
              <w:rPr>
                <w:color w:val="414042" w:themeColor="text1"/>
              </w:rPr>
            </w:pPr>
          </w:p>
          <w:p w14:paraId="6B5C22CE" w14:textId="77777777" w:rsidR="00FC17BC" w:rsidRPr="00DF3006" w:rsidRDefault="00FC17BC" w:rsidP="00025E55">
            <w:pPr>
              <w:pStyle w:val="Normal115pttext"/>
              <w:spacing w:line="240" w:lineRule="auto"/>
              <w:jc w:val="both"/>
              <w:rPr>
                <w:color w:val="414042" w:themeColor="text1"/>
              </w:rPr>
            </w:pPr>
          </w:p>
          <w:p w14:paraId="48B01F0A" w14:textId="77777777" w:rsidR="00FC17BC" w:rsidRPr="00DF3006" w:rsidRDefault="00FC17BC" w:rsidP="005268F0">
            <w:pPr>
              <w:pStyle w:val="Normal115pttext"/>
              <w:spacing w:line="240" w:lineRule="auto"/>
              <w:rPr>
                <w:color w:val="414042" w:themeColor="text1"/>
              </w:rPr>
            </w:pPr>
            <w:r w:rsidRPr="00DF3006">
              <w:rPr>
                <w:color w:val="414042" w:themeColor="text1"/>
              </w:rPr>
              <w:t>Note 4:  The Commission, Senior Executive Personnel, Remuneration Expenses and Related Party Transactions (cont’d)</w:t>
            </w:r>
          </w:p>
          <w:p w14:paraId="27A3932F" w14:textId="77777777" w:rsidR="00FC17BC" w:rsidRPr="00DF3006" w:rsidRDefault="00FC17BC" w:rsidP="00025E55">
            <w:pPr>
              <w:pStyle w:val="Normalhanginglist105pt"/>
              <w:spacing w:line="240" w:lineRule="auto"/>
              <w:jc w:val="both"/>
              <w:rPr>
                <w:color w:val="414042" w:themeColor="text1"/>
                <w:sz w:val="16"/>
                <w:szCs w:val="16"/>
              </w:rPr>
            </w:pPr>
          </w:p>
          <w:p w14:paraId="49522FAA" w14:textId="77777777" w:rsidR="00FC17BC" w:rsidRPr="00DF3006" w:rsidRDefault="00FC17BC" w:rsidP="00025E55">
            <w:pPr>
              <w:pStyle w:val="Normalhanginglist105pt"/>
              <w:spacing w:line="240" w:lineRule="auto"/>
              <w:jc w:val="both"/>
              <w:rPr>
                <w:color w:val="414042" w:themeColor="text1"/>
              </w:rPr>
            </w:pPr>
            <w:r w:rsidRPr="00DF3006">
              <w:rPr>
                <w:color w:val="414042" w:themeColor="text1"/>
              </w:rPr>
              <w:t>(e)</w:t>
            </w:r>
            <w:r w:rsidRPr="00DF3006">
              <w:rPr>
                <w:color w:val="414042" w:themeColor="text1"/>
              </w:rPr>
              <w:tab/>
              <w:t>Related Party Transactions</w:t>
            </w:r>
          </w:p>
          <w:p w14:paraId="70FB726F" w14:textId="77777777" w:rsidR="00FC17BC" w:rsidRPr="00DF3006" w:rsidRDefault="00FC17BC" w:rsidP="00025E55">
            <w:pPr>
              <w:pStyle w:val="Noteswithhangingindent"/>
              <w:spacing w:before="120" w:line="240" w:lineRule="auto"/>
              <w:ind w:left="0" w:firstLine="0"/>
              <w:jc w:val="both"/>
              <w:rPr>
                <w:b/>
                <w:i/>
                <w:sz w:val="20"/>
                <w:szCs w:val="18"/>
              </w:rPr>
            </w:pPr>
            <w:r w:rsidRPr="00DF3006">
              <w:rPr>
                <w:b/>
                <w:i/>
                <w:sz w:val="20"/>
                <w:szCs w:val="18"/>
              </w:rPr>
              <w:t xml:space="preserve">Transactions with people/entities related to </w:t>
            </w:r>
            <w:proofErr w:type="spellStart"/>
            <w:proofErr w:type="gramStart"/>
            <w:r w:rsidRPr="00DF3006">
              <w:rPr>
                <w:b/>
                <w:i/>
                <w:sz w:val="20"/>
                <w:szCs w:val="18"/>
              </w:rPr>
              <w:t>KMP</w:t>
            </w:r>
            <w:proofErr w:type="spellEnd"/>
            <w:proofErr w:type="gramEnd"/>
          </w:p>
          <w:p w14:paraId="7961F8D1" w14:textId="77777777" w:rsidR="00FC17BC" w:rsidRPr="00DF3006" w:rsidRDefault="00FC17BC" w:rsidP="00025E55">
            <w:pPr>
              <w:pStyle w:val="Noteswithhangingindent"/>
              <w:spacing w:before="120" w:line="240" w:lineRule="auto"/>
              <w:ind w:left="0" w:firstLine="0"/>
              <w:jc w:val="both"/>
              <w:rPr>
                <w:sz w:val="20"/>
                <w:szCs w:val="18"/>
              </w:rPr>
            </w:pPr>
            <w:r w:rsidRPr="00DF3006">
              <w:rPr>
                <w:sz w:val="20"/>
                <w:szCs w:val="18"/>
              </w:rPr>
              <w:t xml:space="preserve">The CCC obtained related party declarations for each member of the Commission and key executive management personnel for the period 1 July 2022 to 30 June 2023.  No related party transactions have been identified as per </w:t>
            </w:r>
            <w:proofErr w:type="spellStart"/>
            <w:r w:rsidRPr="00DF3006">
              <w:rPr>
                <w:sz w:val="20"/>
                <w:szCs w:val="18"/>
              </w:rPr>
              <w:t>AASB</w:t>
            </w:r>
            <w:proofErr w:type="spellEnd"/>
            <w:r w:rsidRPr="00DF3006">
              <w:rPr>
                <w:sz w:val="20"/>
                <w:szCs w:val="18"/>
              </w:rPr>
              <w:t xml:space="preserve"> 124 </w:t>
            </w:r>
            <w:r w:rsidRPr="00DF3006">
              <w:rPr>
                <w:i/>
                <w:sz w:val="20"/>
                <w:szCs w:val="20"/>
              </w:rPr>
              <w:t>Related Party Disclosures</w:t>
            </w:r>
            <w:r w:rsidRPr="00DF3006">
              <w:rPr>
                <w:sz w:val="20"/>
                <w:szCs w:val="18"/>
              </w:rPr>
              <w:t xml:space="preserve"> from the declarations completed and searches performed.</w:t>
            </w:r>
          </w:p>
          <w:p w14:paraId="3E936ABA" w14:textId="77777777" w:rsidR="00FC17BC" w:rsidRPr="00DF3006" w:rsidRDefault="00FC17BC" w:rsidP="00025E55">
            <w:pPr>
              <w:pStyle w:val="Noteswithhangingindent"/>
              <w:spacing w:before="120" w:line="240" w:lineRule="auto"/>
              <w:ind w:left="0" w:firstLine="0"/>
              <w:jc w:val="both"/>
              <w:rPr>
                <w:b/>
                <w:i/>
                <w:sz w:val="20"/>
                <w:szCs w:val="18"/>
              </w:rPr>
            </w:pPr>
            <w:r w:rsidRPr="00DF3006">
              <w:rPr>
                <w:b/>
                <w:i/>
                <w:sz w:val="20"/>
                <w:szCs w:val="18"/>
              </w:rPr>
              <w:t>Transactions with other Queensland Government-controlled entities</w:t>
            </w:r>
          </w:p>
          <w:p w14:paraId="387244B4" w14:textId="77777777" w:rsidR="00FC17BC" w:rsidRPr="00DF3006" w:rsidRDefault="00FC17BC" w:rsidP="00025E55">
            <w:pPr>
              <w:pStyle w:val="Noteswithhangingindent"/>
              <w:ind w:left="0" w:firstLine="0"/>
              <w:jc w:val="both"/>
              <w:rPr>
                <w:sz w:val="20"/>
                <w:szCs w:val="20"/>
              </w:rPr>
            </w:pPr>
            <w:r w:rsidRPr="00DF3006">
              <w:rPr>
                <w:sz w:val="20"/>
                <w:szCs w:val="20"/>
              </w:rPr>
              <w:t xml:space="preserve">The CCC’s primary ongoing sources of funding are from the Department of Justice and Attorney-General and are provided in cash by way of revenue (Note 2). The CCC has material transactions with other Queensland Government-controlled entities consistent with normal day-to-day business operations provided under standard terms and conditions, including the payment of worker's compensation and insurance premiums: </w:t>
            </w:r>
          </w:p>
          <w:p w14:paraId="12C26CC8" w14:textId="77777777" w:rsidR="00FC17BC" w:rsidRPr="00DF3006" w:rsidRDefault="00FC17BC" w:rsidP="00FC17BC">
            <w:pPr>
              <w:pStyle w:val="NormalindentbulletsL1"/>
              <w:ind w:left="1040"/>
              <w:rPr>
                <w:color w:val="414042" w:themeColor="text1"/>
              </w:rPr>
            </w:pPr>
            <w:r w:rsidRPr="00DF3006">
              <w:rPr>
                <w:color w:val="414042" w:themeColor="text1"/>
              </w:rPr>
              <w:t>Queensland Treasury Corporation – term deposit investments (Note 7)</w:t>
            </w:r>
          </w:p>
          <w:p w14:paraId="47D401C2" w14:textId="77777777" w:rsidR="00FC17BC" w:rsidRPr="00DF3006" w:rsidRDefault="00FC17BC" w:rsidP="00FC17BC">
            <w:pPr>
              <w:pStyle w:val="NormalindentbulletsL1"/>
              <w:ind w:left="1040"/>
              <w:rPr>
                <w:color w:val="414042" w:themeColor="text1"/>
              </w:rPr>
            </w:pPr>
            <w:r w:rsidRPr="00DF3006">
              <w:rPr>
                <w:color w:val="414042" w:themeColor="text1"/>
              </w:rPr>
              <w:t xml:space="preserve">Queensland Police Service – employee secondments (Note 2, Note </w:t>
            </w:r>
            <w:proofErr w:type="gramStart"/>
            <w:r w:rsidRPr="00DF3006">
              <w:rPr>
                <w:color w:val="414042" w:themeColor="text1"/>
              </w:rPr>
              <w:t>3</w:t>
            </w:r>
            <w:proofErr w:type="gramEnd"/>
            <w:r w:rsidRPr="00DF3006">
              <w:rPr>
                <w:color w:val="414042" w:themeColor="text1"/>
              </w:rPr>
              <w:t xml:space="preserve"> and Note 6)</w:t>
            </w:r>
          </w:p>
          <w:p w14:paraId="2B5445CC" w14:textId="77777777" w:rsidR="00FC17BC" w:rsidRPr="00DF3006" w:rsidRDefault="00FC17BC" w:rsidP="00FC17BC">
            <w:pPr>
              <w:pStyle w:val="NormalindentbulletsL1"/>
              <w:ind w:left="1040"/>
              <w:rPr>
                <w:color w:val="414042" w:themeColor="text1"/>
              </w:rPr>
            </w:pPr>
            <w:proofErr w:type="spellStart"/>
            <w:r w:rsidRPr="00DF3006">
              <w:rPr>
                <w:color w:val="414042" w:themeColor="text1"/>
              </w:rPr>
              <w:t>WorkCover</w:t>
            </w:r>
            <w:proofErr w:type="spellEnd"/>
            <w:r w:rsidRPr="00DF3006">
              <w:rPr>
                <w:color w:val="414042" w:themeColor="text1"/>
              </w:rPr>
              <w:t xml:space="preserve"> Queensland – obligations for employee compensation insurance (Note 3)</w:t>
            </w:r>
          </w:p>
          <w:p w14:paraId="5B06602D" w14:textId="77777777" w:rsidR="00FC17BC" w:rsidRPr="00DF3006" w:rsidRDefault="00FC17BC" w:rsidP="00FC17BC">
            <w:pPr>
              <w:pStyle w:val="NormalindentbulletsL1"/>
              <w:ind w:left="1040"/>
              <w:rPr>
                <w:color w:val="414042" w:themeColor="text1"/>
              </w:rPr>
            </w:pPr>
            <w:bookmarkStart w:id="1951" w:name="OLE_LINK3"/>
            <w:r w:rsidRPr="00DF3006">
              <w:rPr>
                <w:color w:val="414042" w:themeColor="text1"/>
              </w:rPr>
              <w:t>Department of Energy and Public Works – motor vehicles lease, property rentals and building maintenance (Note 5)</w:t>
            </w:r>
          </w:p>
          <w:p w14:paraId="1EA4799D" w14:textId="77777777" w:rsidR="00FC17BC" w:rsidRPr="00DF3006" w:rsidRDefault="00FC17BC" w:rsidP="00FC17BC">
            <w:pPr>
              <w:pStyle w:val="NormalindentbulletsL1"/>
              <w:ind w:left="1040"/>
              <w:rPr>
                <w:color w:val="414042" w:themeColor="text1"/>
              </w:rPr>
            </w:pPr>
            <w:r w:rsidRPr="00DF3006">
              <w:rPr>
                <w:color w:val="414042" w:themeColor="text1"/>
              </w:rPr>
              <w:t>Queensland State Archives – archival storage services (Note 2 and Note 6)</w:t>
            </w:r>
          </w:p>
          <w:bookmarkEnd w:id="1951"/>
          <w:p w14:paraId="26DA38A7" w14:textId="77777777" w:rsidR="00FC17BC" w:rsidRPr="00DF3006" w:rsidRDefault="00FC17BC" w:rsidP="00FC17BC">
            <w:pPr>
              <w:pStyle w:val="NormalindentbulletsL1"/>
              <w:ind w:left="1040"/>
              <w:rPr>
                <w:color w:val="414042" w:themeColor="text1"/>
              </w:rPr>
            </w:pPr>
            <w:r w:rsidRPr="00DF3006">
              <w:rPr>
                <w:color w:val="414042" w:themeColor="text1"/>
              </w:rPr>
              <w:t>Corporate Administration Agency – financial and payroll systems and processing services under the ‘Shared Services Provider’ model (Note 5)</w:t>
            </w:r>
          </w:p>
          <w:p w14:paraId="1CBC367D" w14:textId="77777777" w:rsidR="00FC17BC" w:rsidRPr="00DF3006" w:rsidRDefault="00FC17BC" w:rsidP="00FC17BC">
            <w:pPr>
              <w:pStyle w:val="NormalindentbulletsL1"/>
              <w:ind w:left="1040"/>
              <w:rPr>
                <w:color w:val="414042" w:themeColor="text1"/>
              </w:rPr>
            </w:pPr>
            <w:r w:rsidRPr="00DF3006">
              <w:rPr>
                <w:color w:val="414042" w:themeColor="text1"/>
              </w:rPr>
              <w:t>Queensland Government Insurance Fund – general liability insurance including public and products liability (Note 6)</w:t>
            </w:r>
          </w:p>
          <w:p w14:paraId="7B830863" w14:textId="77777777" w:rsidR="00FC17BC" w:rsidRPr="00DF3006" w:rsidRDefault="00FC17BC" w:rsidP="00FC17BC">
            <w:pPr>
              <w:pStyle w:val="NormalindentbulletsL1"/>
              <w:ind w:left="1040"/>
              <w:rPr>
                <w:color w:val="414042" w:themeColor="text1"/>
              </w:rPr>
            </w:pPr>
            <w:r w:rsidRPr="00DF3006">
              <w:rPr>
                <w:color w:val="414042" w:themeColor="text1"/>
              </w:rPr>
              <w:t>Queensland Audit Office – financial statement audit services (Note 6)</w:t>
            </w:r>
          </w:p>
          <w:p w14:paraId="6CE5B9E5" w14:textId="77777777" w:rsidR="00FC17BC" w:rsidRPr="00DF3006" w:rsidRDefault="00FC17BC" w:rsidP="00025E55">
            <w:pPr>
              <w:pStyle w:val="Noteswithhangingindent"/>
              <w:jc w:val="both"/>
              <w:rPr>
                <w:sz w:val="20"/>
                <w:szCs w:val="20"/>
              </w:rPr>
            </w:pPr>
          </w:p>
          <w:p w14:paraId="441970D0" w14:textId="77777777" w:rsidR="00FC17BC" w:rsidRPr="00DF3006" w:rsidRDefault="00FC17BC" w:rsidP="00025E55">
            <w:pPr>
              <w:pStyle w:val="Noteswithhangingindent"/>
              <w:spacing w:before="120" w:line="240" w:lineRule="auto"/>
              <w:ind w:left="0" w:firstLine="0"/>
              <w:jc w:val="both"/>
            </w:pPr>
          </w:p>
          <w:p w14:paraId="1F09C7B0" w14:textId="77777777" w:rsidR="00FC17BC" w:rsidRPr="00DF3006" w:rsidRDefault="00FC17BC" w:rsidP="00025E55">
            <w:pPr>
              <w:pStyle w:val="Noteswithhangingindent"/>
              <w:spacing w:before="120" w:line="240" w:lineRule="auto"/>
              <w:ind w:left="0" w:firstLine="0"/>
              <w:jc w:val="both"/>
            </w:pPr>
          </w:p>
          <w:p w14:paraId="553E6289" w14:textId="77777777" w:rsidR="00FC17BC" w:rsidRPr="00DF3006" w:rsidRDefault="00FC17BC" w:rsidP="00025E55">
            <w:pPr>
              <w:pStyle w:val="Noteswithhangingindent"/>
              <w:spacing w:before="120" w:line="240" w:lineRule="auto"/>
              <w:ind w:left="0" w:firstLine="0"/>
              <w:jc w:val="both"/>
            </w:pPr>
          </w:p>
          <w:p w14:paraId="5556F311" w14:textId="77777777" w:rsidR="00FC17BC" w:rsidRPr="00DF3006" w:rsidRDefault="00FC17BC" w:rsidP="00025E55">
            <w:pPr>
              <w:pStyle w:val="Noteswithhangingindent"/>
              <w:spacing w:before="120" w:line="240" w:lineRule="auto"/>
              <w:ind w:left="0" w:firstLine="0"/>
              <w:jc w:val="both"/>
            </w:pPr>
          </w:p>
          <w:p w14:paraId="03B7B017" w14:textId="77777777" w:rsidR="00FC17BC" w:rsidRPr="00DF3006" w:rsidRDefault="00FC17BC" w:rsidP="00025E55">
            <w:pPr>
              <w:pStyle w:val="Noteswithhangingindent"/>
              <w:spacing w:before="120" w:line="240" w:lineRule="auto"/>
              <w:ind w:left="0" w:firstLine="0"/>
              <w:jc w:val="both"/>
            </w:pPr>
          </w:p>
          <w:p w14:paraId="38EB1ED3" w14:textId="77777777" w:rsidR="00FC17BC" w:rsidRPr="00DF3006" w:rsidRDefault="00FC17BC" w:rsidP="00025E55">
            <w:pPr>
              <w:pStyle w:val="Noteswithhangingindent"/>
              <w:spacing w:before="120" w:line="240" w:lineRule="auto"/>
              <w:ind w:left="0" w:firstLine="0"/>
              <w:jc w:val="both"/>
            </w:pPr>
          </w:p>
          <w:p w14:paraId="2F0A4E88" w14:textId="77777777" w:rsidR="00FC17BC" w:rsidRPr="00DF3006" w:rsidRDefault="00FC17BC" w:rsidP="00025E55">
            <w:pPr>
              <w:pStyle w:val="Noteswithhangingindent"/>
              <w:spacing w:before="120" w:line="240" w:lineRule="auto"/>
              <w:ind w:left="0" w:firstLine="0"/>
              <w:jc w:val="both"/>
            </w:pPr>
          </w:p>
          <w:p w14:paraId="397394FE" w14:textId="77777777" w:rsidR="00FC17BC" w:rsidRPr="00DF3006" w:rsidRDefault="00FC17BC" w:rsidP="00025E55">
            <w:pPr>
              <w:pStyle w:val="Noteswithhangingindent"/>
              <w:spacing w:before="120" w:line="240" w:lineRule="auto"/>
              <w:ind w:left="0" w:firstLine="0"/>
              <w:jc w:val="both"/>
            </w:pPr>
          </w:p>
          <w:p w14:paraId="2227A918" w14:textId="77777777" w:rsidR="00FC17BC" w:rsidRPr="00DF3006" w:rsidRDefault="00FC17BC" w:rsidP="00025E55">
            <w:pPr>
              <w:pStyle w:val="Noteswithhangingindent"/>
              <w:spacing w:before="120" w:line="240" w:lineRule="auto"/>
              <w:ind w:left="0" w:firstLine="0"/>
              <w:jc w:val="both"/>
            </w:pPr>
          </w:p>
          <w:p w14:paraId="668EC8DF" w14:textId="77777777" w:rsidR="00FC17BC" w:rsidRPr="00DF3006" w:rsidRDefault="00FC17BC" w:rsidP="00025E55">
            <w:pPr>
              <w:pStyle w:val="Noteswithhangingindent"/>
              <w:spacing w:before="120" w:line="240" w:lineRule="auto"/>
              <w:ind w:left="0" w:firstLine="0"/>
              <w:jc w:val="both"/>
            </w:pPr>
          </w:p>
          <w:p w14:paraId="0EBCF3F9" w14:textId="77777777" w:rsidR="00FC17BC" w:rsidRPr="00DF3006" w:rsidRDefault="00FC17BC" w:rsidP="00025E55">
            <w:pPr>
              <w:pStyle w:val="Noteswithhangingindent"/>
              <w:spacing w:before="120" w:line="240" w:lineRule="auto"/>
              <w:ind w:left="0" w:firstLine="0"/>
              <w:jc w:val="both"/>
            </w:pPr>
          </w:p>
          <w:p w14:paraId="01E84C96" w14:textId="77777777" w:rsidR="00FC17BC" w:rsidRPr="00DF3006" w:rsidRDefault="00FC17BC" w:rsidP="00025E55">
            <w:pPr>
              <w:pStyle w:val="Noteswithhangingindent"/>
              <w:spacing w:before="120" w:line="240" w:lineRule="auto"/>
              <w:ind w:left="0" w:firstLine="0"/>
              <w:jc w:val="both"/>
            </w:pPr>
          </w:p>
          <w:p w14:paraId="47CEC1A7" w14:textId="77777777" w:rsidR="00FC17BC" w:rsidRPr="00DF3006" w:rsidRDefault="00FC17BC" w:rsidP="00025E55">
            <w:pPr>
              <w:pStyle w:val="Noteswithhangingindent"/>
              <w:spacing w:before="120" w:line="240" w:lineRule="auto"/>
              <w:ind w:left="0" w:firstLine="0"/>
              <w:jc w:val="both"/>
            </w:pPr>
          </w:p>
          <w:p w14:paraId="61E7EF1F" w14:textId="77777777" w:rsidR="00FC17BC" w:rsidRPr="00DF3006" w:rsidRDefault="00FC17BC" w:rsidP="00025E55">
            <w:pPr>
              <w:pStyle w:val="Noteswithhangingindent"/>
              <w:spacing w:before="120" w:line="240" w:lineRule="auto"/>
              <w:ind w:left="0" w:firstLine="0"/>
              <w:jc w:val="both"/>
            </w:pPr>
          </w:p>
          <w:p w14:paraId="19CD65BC" w14:textId="77777777" w:rsidR="00FC17BC" w:rsidRPr="00DF3006" w:rsidRDefault="00FC17BC" w:rsidP="00025E55">
            <w:pPr>
              <w:pStyle w:val="Noteswithhangingindent"/>
              <w:spacing w:before="120" w:line="240" w:lineRule="auto"/>
              <w:ind w:left="0" w:firstLine="0"/>
              <w:jc w:val="both"/>
            </w:pPr>
          </w:p>
          <w:p w14:paraId="77C49F3B" w14:textId="77777777" w:rsidR="00FC17BC" w:rsidRPr="00DF3006" w:rsidRDefault="00FC17BC" w:rsidP="00025E55">
            <w:pPr>
              <w:pStyle w:val="Noteswithhangingindent"/>
              <w:spacing w:before="120" w:line="240" w:lineRule="auto"/>
              <w:ind w:left="0" w:firstLine="0"/>
              <w:jc w:val="both"/>
            </w:pPr>
          </w:p>
          <w:p w14:paraId="4D1D94A4" w14:textId="77777777" w:rsidR="00FC17BC" w:rsidRPr="00DF3006" w:rsidRDefault="00FC17BC" w:rsidP="00025E55">
            <w:pPr>
              <w:pStyle w:val="Noteswithhangingindent"/>
              <w:spacing w:before="120" w:line="240" w:lineRule="auto"/>
              <w:ind w:left="0" w:firstLine="0"/>
              <w:jc w:val="both"/>
            </w:pPr>
          </w:p>
          <w:p w14:paraId="02DC3B50" w14:textId="77777777" w:rsidR="00FC17BC" w:rsidRPr="00DF3006" w:rsidRDefault="00FC17BC" w:rsidP="00025E55">
            <w:pPr>
              <w:pStyle w:val="Noteswithhangingindent"/>
              <w:spacing w:before="120" w:line="240" w:lineRule="auto"/>
              <w:ind w:left="0" w:firstLine="0"/>
              <w:jc w:val="both"/>
            </w:pPr>
          </w:p>
          <w:p w14:paraId="55DC1679" w14:textId="77777777" w:rsidR="00FC17BC" w:rsidRPr="00DF3006" w:rsidRDefault="00FC17BC" w:rsidP="00025E55">
            <w:pPr>
              <w:pStyle w:val="Noteswithhangingindent"/>
              <w:spacing w:before="120" w:line="240" w:lineRule="auto"/>
              <w:ind w:left="0" w:firstLine="0"/>
              <w:jc w:val="both"/>
            </w:pPr>
          </w:p>
          <w:p w14:paraId="7756F274" w14:textId="77777777" w:rsidR="00FC17BC" w:rsidRPr="00DF3006" w:rsidRDefault="00FC17BC" w:rsidP="005268F0">
            <w:pPr>
              <w:pStyle w:val="Normal115pttext"/>
              <w:spacing w:line="240" w:lineRule="auto"/>
              <w:rPr>
                <w:color w:val="414042" w:themeColor="text1"/>
              </w:rPr>
            </w:pPr>
            <w:r w:rsidRPr="00DF3006">
              <w:rPr>
                <w:color w:val="414042" w:themeColor="text1"/>
              </w:rPr>
              <w:t>Note 5:  Supplies and Services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33711F00" w14:textId="77777777" w:rsidTr="00025E55">
              <w:trPr>
                <w:trHeight w:val="20"/>
              </w:trPr>
              <w:tc>
                <w:tcPr>
                  <w:tcW w:w="5529" w:type="dxa"/>
                  <w:tcBorders>
                    <w:top w:val="nil"/>
                    <w:left w:val="nil"/>
                    <w:bottom w:val="nil"/>
                  </w:tcBorders>
                  <w:noWrap/>
                  <w:tcMar>
                    <w:left w:w="0" w:type="dxa"/>
                    <w:right w:w="0" w:type="dxa"/>
                  </w:tcMar>
                  <w:vAlign w:val="bottom"/>
                </w:tcPr>
                <w:p w14:paraId="5DA03C75" w14:textId="77777777" w:rsidR="00FC17BC" w:rsidRPr="00DF3006" w:rsidRDefault="00FC17BC" w:rsidP="00025E55">
                  <w:pPr>
                    <w:pStyle w:val="Normaltabletextleft"/>
                    <w:tabs>
                      <w:tab w:val="left" w:pos="0"/>
                    </w:tabs>
                    <w:spacing w:line="240" w:lineRule="auto"/>
                    <w:jc w:val="both"/>
                    <w:rPr>
                      <w:color w:val="414042" w:themeColor="text1"/>
                      <w:lang w:eastAsia="en-AU"/>
                    </w:rPr>
                  </w:pPr>
                </w:p>
                <w:p w14:paraId="673C3921" w14:textId="77777777" w:rsidR="00FC17BC" w:rsidRPr="00DF3006" w:rsidRDefault="00FC17BC" w:rsidP="00025E55">
                  <w:pPr>
                    <w:pStyle w:val="Normaltabletextleft"/>
                    <w:tabs>
                      <w:tab w:val="left" w:pos="0"/>
                    </w:tabs>
                    <w:spacing w:line="240" w:lineRule="auto"/>
                    <w:jc w:val="both"/>
                    <w:rPr>
                      <w:color w:val="414042" w:themeColor="text1"/>
                      <w:lang w:eastAsia="en-AU"/>
                    </w:rPr>
                  </w:pPr>
                </w:p>
              </w:tc>
              <w:tc>
                <w:tcPr>
                  <w:tcW w:w="567" w:type="dxa"/>
                  <w:tcBorders>
                    <w:top w:val="nil"/>
                    <w:bottom w:val="nil"/>
                  </w:tcBorders>
                  <w:noWrap/>
                  <w:tcMar>
                    <w:left w:w="0" w:type="dxa"/>
                    <w:right w:w="0" w:type="dxa"/>
                  </w:tcMar>
                  <w:vAlign w:val="bottom"/>
                </w:tcPr>
                <w:p w14:paraId="0C68A505" w14:textId="77777777" w:rsidR="00FC17BC" w:rsidRPr="00DF3006" w:rsidRDefault="00FC17BC" w:rsidP="00025E55">
                  <w:pPr>
                    <w:pStyle w:val="Normaltabletextcentred"/>
                    <w:spacing w:line="240" w:lineRule="auto"/>
                    <w:jc w:val="both"/>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58F783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0C040085" w14:textId="77777777" w:rsidR="00FC17BC" w:rsidRPr="00DF3006" w:rsidRDefault="00FC17BC" w:rsidP="00025E55">
                  <w:pPr>
                    <w:pStyle w:val="Normaltabletextleft"/>
                    <w:spacing w:line="240" w:lineRule="auto"/>
                    <w:jc w:val="both"/>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094B1AE"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258A4BC2" w14:textId="77777777" w:rsidTr="00025E55">
              <w:trPr>
                <w:trHeight w:val="20"/>
              </w:trPr>
              <w:tc>
                <w:tcPr>
                  <w:tcW w:w="5529" w:type="dxa"/>
                  <w:tcBorders>
                    <w:top w:val="nil"/>
                    <w:left w:val="nil"/>
                    <w:bottom w:val="nil"/>
                  </w:tcBorders>
                  <w:noWrap/>
                  <w:tcMar>
                    <w:left w:w="0" w:type="dxa"/>
                    <w:right w:w="0" w:type="dxa"/>
                  </w:tcMar>
                  <w:vAlign w:val="bottom"/>
                </w:tcPr>
                <w:p w14:paraId="15BF2516"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60FE678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AD76CA8"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55703A1A"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D71E5D0"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0022F467" w14:textId="77777777" w:rsidTr="00025E55">
              <w:trPr>
                <w:trHeight w:val="20"/>
              </w:trPr>
              <w:tc>
                <w:tcPr>
                  <w:tcW w:w="5529" w:type="dxa"/>
                  <w:tcBorders>
                    <w:top w:val="nil"/>
                    <w:left w:val="nil"/>
                    <w:bottom w:val="nil"/>
                  </w:tcBorders>
                  <w:noWrap/>
                  <w:tcMar>
                    <w:left w:w="0" w:type="dxa"/>
                    <w:right w:w="0" w:type="dxa"/>
                  </w:tcMar>
                  <w:vAlign w:val="bottom"/>
                </w:tcPr>
                <w:p w14:paraId="45891A3B" w14:textId="77777777" w:rsidR="00FC17BC" w:rsidRPr="00DF3006" w:rsidRDefault="00FC17BC" w:rsidP="00025E55">
                  <w:pPr>
                    <w:pStyle w:val="Normaltabletextleft"/>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37C03196"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33B0D66"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6B7DEDF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91E72B2"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4B1D83CE" w14:textId="77777777" w:rsidTr="00025E55">
              <w:trPr>
                <w:trHeight w:val="20"/>
              </w:trPr>
              <w:tc>
                <w:tcPr>
                  <w:tcW w:w="5529" w:type="dxa"/>
                  <w:tcBorders>
                    <w:top w:val="nil"/>
                    <w:left w:val="nil"/>
                    <w:bottom w:val="nil"/>
                  </w:tcBorders>
                  <w:noWrap/>
                  <w:tcMar>
                    <w:left w:w="0" w:type="dxa"/>
                    <w:right w:w="0" w:type="dxa"/>
                  </w:tcMar>
                  <w:vAlign w:val="bottom"/>
                </w:tcPr>
                <w:p w14:paraId="5806CFCF"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Property rentals</w:t>
                  </w:r>
                  <w:r w:rsidRPr="00DF3006">
                    <w:rPr>
                      <w:color w:val="414042" w:themeColor="text1"/>
                      <w:vertAlign w:val="superscript"/>
                      <w:lang w:eastAsia="en-AU"/>
                    </w:rPr>
                    <w:t>1</w:t>
                  </w:r>
                </w:p>
              </w:tc>
              <w:tc>
                <w:tcPr>
                  <w:tcW w:w="567" w:type="dxa"/>
                  <w:tcBorders>
                    <w:top w:val="nil"/>
                    <w:bottom w:val="nil"/>
                  </w:tcBorders>
                  <w:noWrap/>
                  <w:tcMar>
                    <w:left w:w="0" w:type="dxa"/>
                    <w:right w:w="0" w:type="dxa"/>
                  </w:tcMar>
                  <w:vAlign w:val="bottom"/>
                </w:tcPr>
                <w:p w14:paraId="185F217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4940F0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3,517</w:t>
                  </w:r>
                </w:p>
              </w:tc>
              <w:tc>
                <w:tcPr>
                  <w:tcW w:w="283" w:type="dxa"/>
                  <w:tcBorders>
                    <w:top w:val="nil"/>
                    <w:bottom w:val="nil"/>
                  </w:tcBorders>
                  <w:noWrap/>
                </w:tcPr>
                <w:p w14:paraId="0F123560"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8965A9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3,356</w:t>
                  </w:r>
                </w:p>
              </w:tc>
            </w:tr>
            <w:tr w:rsidR="00DF3006" w:rsidRPr="00DF3006" w14:paraId="4268FD43" w14:textId="77777777" w:rsidTr="00025E55">
              <w:trPr>
                <w:trHeight w:val="20"/>
              </w:trPr>
              <w:tc>
                <w:tcPr>
                  <w:tcW w:w="5529" w:type="dxa"/>
                  <w:tcBorders>
                    <w:top w:val="nil"/>
                    <w:left w:val="nil"/>
                    <w:bottom w:val="nil"/>
                  </w:tcBorders>
                  <w:noWrap/>
                  <w:tcMar>
                    <w:left w:w="0" w:type="dxa"/>
                    <w:right w:w="0" w:type="dxa"/>
                  </w:tcMar>
                  <w:vAlign w:val="bottom"/>
                </w:tcPr>
                <w:p w14:paraId="46565DD6"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Consultants and contractors</w:t>
                  </w:r>
                </w:p>
              </w:tc>
              <w:tc>
                <w:tcPr>
                  <w:tcW w:w="567" w:type="dxa"/>
                  <w:tcBorders>
                    <w:top w:val="nil"/>
                    <w:bottom w:val="nil"/>
                  </w:tcBorders>
                  <w:noWrap/>
                  <w:tcMar>
                    <w:left w:w="0" w:type="dxa"/>
                    <w:right w:w="0" w:type="dxa"/>
                  </w:tcMar>
                  <w:vAlign w:val="bottom"/>
                </w:tcPr>
                <w:p w14:paraId="7A5AB913"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57B020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2,212</w:t>
                  </w:r>
                </w:p>
              </w:tc>
              <w:tc>
                <w:tcPr>
                  <w:tcW w:w="283" w:type="dxa"/>
                  <w:tcBorders>
                    <w:top w:val="nil"/>
                    <w:bottom w:val="nil"/>
                  </w:tcBorders>
                  <w:noWrap/>
                </w:tcPr>
                <w:p w14:paraId="5B0A287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FBEB66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1,675</w:t>
                  </w:r>
                </w:p>
              </w:tc>
            </w:tr>
            <w:tr w:rsidR="00DF3006" w:rsidRPr="00DF3006" w14:paraId="417B72EA" w14:textId="77777777" w:rsidTr="00025E55">
              <w:trPr>
                <w:trHeight w:val="20"/>
              </w:trPr>
              <w:tc>
                <w:tcPr>
                  <w:tcW w:w="5529" w:type="dxa"/>
                  <w:tcBorders>
                    <w:top w:val="nil"/>
                    <w:left w:val="nil"/>
                    <w:bottom w:val="nil"/>
                  </w:tcBorders>
                  <w:noWrap/>
                  <w:tcMar>
                    <w:left w:w="0" w:type="dxa"/>
                    <w:right w:w="0" w:type="dxa"/>
                  </w:tcMar>
                  <w:vAlign w:val="bottom"/>
                </w:tcPr>
                <w:p w14:paraId="50C8DDBD"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Information technology (IT) hardware and software maintenance</w:t>
                  </w:r>
                </w:p>
              </w:tc>
              <w:tc>
                <w:tcPr>
                  <w:tcW w:w="567" w:type="dxa"/>
                  <w:tcBorders>
                    <w:top w:val="nil"/>
                    <w:bottom w:val="nil"/>
                  </w:tcBorders>
                  <w:noWrap/>
                  <w:tcMar>
                    <w:left w:w="0" w:type="dxa"/>
                    <w:right w:w="0" w:type="dxa"/>
                  </w:tcMar>
                  <w:vAlign w:val="bottom"/>
                </w:tcPr>
                <w:p w14:paraId="44EF72C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11405D4"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1,964</w:t>
                  </w:r>
                </w:p>
              </w:tc>
              <w:tc>
                <w:tcPr>
                  <w:tcW w:w="283" w:type="dxa"/>
                  <w:tcBorders>
                    <w:top w:val="nil"/>
                    <w:bottom w:val="nil"/>
                  </w:tcBorders>
                  <w:noWrap/>
                </w:tcPr>
                <w:p w14:paraId="68306A4F"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46B3FC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1,780</w:t>
                  </w:r>
                </w:p>
              </w:tc>
            </w:tr>
            <w:tr w:rsidR="00DF3006" w:rsidRPr="00DF3006" w14:paraId="302A781E" w14:textId="77777777" w:rsidTr="00025E55">
              <w:trPr>
                <w:trHeight w:val="20"/>
              </w:trPr>
              <w:tc>
                <w:tcPr>
                  <w:tcW w:w="5529" w:type="dxa"/>
                  <w:tcBorders>
                    <w:top w:val="nil"/>
                    <w:left w:val="nil"/>
                    <w:bottom w:val="nil"/>
                  </w:tcBorders>
                  <w:noWrap/>
                  <w:tcMar>
                    <w:left w:w="0" w:type="dxa"/>
                    <w:right w:w="0" w:type="dxa"/>
                  </w:tcMar>
                  <w:vAlign w:val="bottom"/>
                </w:tcPr>
                <w:p w14:paraId="37F453E0"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Telecommunications and access costs</w:t>
                  </w:r>
                </w:p>
              </w:tc>
              <w:tc>
                <w:tcPr>
                  <w:tcW w:w="567" w:type="dxa"/>
                  <w:tcBorders>
                    <w:top w:val="nil"/>
                    <w:bottom w:val="nil"/>
                  </w:tcBorders>
                  <w:noWrap/>
                  <w:tcMar>
                    <w:left w:w="0" w:type="dxa"/>
                    <w:right w:w="0" w:type="dxa"/>
                  </w:tcMar>
                  <w:vAlign w:val="bottom"/>
                </w:tcPr>
                <w:p w14:paraId="33427C3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8A2FFA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1,668</w:t>
                  </w:r>
                </w:p>
              </w:tc>
              <w:tc>
                <w:tcPr>
                  <w:tcW w:w="283" w:type="dxa"/>
                  <w:tcBorders>
                    <w:top w:val="nil"/>
                    <w:bottom w:val="nil"/>
                  </w:tcBorders>
                  <w:noWrap/>
                </w:tcPr>
                <w:p w14:paraId="4037593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665F31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2,497</w:t>
                  </w:r>
                </w:p>
              </w:tc>
            </w:tr>
            <w:tr w:rsidR="00DF3006" w:rsidRPr="00DF3006" w14:paraId="306B4097" w14:textId="77777777" w:rsidTr="00025E55">
              <w:trPr>
                <w:trHeight w:val="20"/>
              </w:trPr>
              <w:tc>
                <w:tcPr>
                  <w:tcW w:w="5529" w:type="dxa"/>
                  <w:tcBorders>
                    <w:top w:val="nil"/>
                    <w:left w:val="nil"/>
                    <w:bottom w:val="nil"/>
                  </w:tcBorders>
                  <w:noWrap/>
                  <w:tcMar>
                    <w:left w:w="0" w:type="dxa"/>
                    <w:right w:w="0" w:type="dxa"/>
                  </w:tcMar>
                  <w:vAlign w:val="bottom"/>
                </w:tcPr>
                <w:p w14:paraId="684EDF6D"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Legal costs</w:t>
                  </w:r>
                </w:p>
              </w:tc>
              <w:tc>
                <w:tcPr>
                  <w:tcW w:w="567" w:type="dxa"/>
                  <w:tcBorders>
                    <w:top w:val="nil"/>
                    <w:bottom w:val="nil"/>
                  </w:tcBorders>
                  <w:noWrap/>
                  <w:tcMar>
                    <w:left w:w="0" w:type="dxa"/>
                    <w:right w:w="0" w:type="dxa"/>
                  </w:tcMar>
                  <w:vAlign w:val="bottom"/>
                </w:tcPr>
                <w:p w14:paraId="34DE5235"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0048D8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819</w:t>
                  </w:r>
                </w:p>
              </w:tc>
              <w:tc>
                <w:tcPr>
                  <w:tcW w:w="283" w:type="dxa"/>
                  <w:tcBorders>
                    <w:top w:val="nil"/>
                    <w:bottom w:val="nil"/>
                  </w:tcBorders>
                  <w:noWrap/>
                </w:tcPr>
                <w:p w14:paraId="59B6387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EA08DC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1,043</w:t>
                  </w:r>
                </w:p>
              </w:tc>
            </w:tr>
            <w:tr w:rsidR="00DF3006" w:rsidRPr="00DF3006" w14:paraId="6531B560" w14:textId="77777777" w:rsidTr="00025E55">
              <w:trPr>
                <w:trHeight w:val="20"/>
              </w:trPr>
              <w:tc>
                <w:tcPr>
                  <w:tcW w:w="5529" w:type="dxa"/>
                  <w:tcBorders>
                    <w:top w:val="nil"/>
                    <w:left w:val="nil"/>
                    <w:bottom w:val="nil"/>
                  </w:tcBorders>
                  <w:noWrap/>
                  <w:tcMar>
                    <w:left w:w="0" w:type="dxa"/>
                    <w:right w:w="0" w:type="dxa"/>
                  </w:tcMar>
                  <w:vAlign w:val="bottom"/>
                </w:tcPr>
                <w:p w14:paraId="1D99B707"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Travel</w:t>
                  </w:r>
                </w:p>
              </w:tc>
              <w:tc>
                <w:tcPr>
                  <w:tcW w:w="567" w:type="dxa"/>
                  <w:tcBorders>
                    <w:top w:val="nil"/>
                    <w:bottom w:val="nil"/>
                  </w:tcBorders>
                  <w:noWrap/>
                  <w:tcMar>
                    <w:left w:w="0" w:type="dxa"/>
                    <w:right w:w="0" w:type="dxa"/>
                  </w:tcMar>
                  <w:vAlign w:val="bottom"/>
                </w:tcPr>
                <w:p w14:paraId="2D0F36A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BB147F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516</w:t>
                  </w:r>
                </w:p>
              </w:tc>
              <w:tc>
                <w:tcPr>
                  <w:tcW w:w="283" w:type="dxa"/>
                  <w:tcBorders>
                    <w:top w:val="nil"/>
                    <w:bottom w:val="nil"/>
                  </w:tcBorders>
                  <w:noWrap/>
                </w:tcPr>
                <w:p w14:paraId="1B239725"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F6A1EF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329</w:t>
                  </w:r>
                </w:p>
              </w:tc>
            </w:tr>
            <w:tr w:rsidR="00DF3006" w:rsidRPr="00DF3006" w14:paraId="093E1489" w14:textId="77777777" w:rsidTr="00025E55">
              <w:trPr>
                <w:trHeight w:val="20"/>
              </w:trPr>
              <w:tc>
                <w:tcPr>
                  <w:tcW w:w="5529" w:type="dxa"/>
                  <w:tcBorders>
                    <w:top w:val="nil"/>
                    <w:left w:val="nil"/>
                    <w:bottom w:val="nil"/>
                  </w:tcBorders>
                  <w:noWrap/>
                  <w:tcMar>
                    <w:left w:w="0" w:type="dxa"/>
                    <w:right w:w="0" w:type="dxa"/>
                  </w:tcMar>
                  <w:vAlign w:val="bottom"/>
                </w:tcPr>
                <w:p w14:paraId="3F081C0F"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Motor vehicle running costs</w:t>
                  </w:r>
                </w:p>
              </w:tc>
              <w:tc>
                <w:tcPr>
                  <w:tcW w:w="567" w:type="dxa"/>
                  <w:tcBorders>
                    <w:top w:val="nil"/>
                    <w:bottom w:val="nil"/>
                  </w:tcBorders>
                  <w:noWrap/>
                  <w:tcMar>
                    <w:left w:w="0" w:type="dxa"/>
                    <w:right w:w="0" w:type="dxa"/>
                  </w:tcMar>
                  <w:vAlign w:val="bottom"/>
                </w:tcPr>
                <w:p w14:paraId="352952C7"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D59624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511</w:t>
                  </w:r>
                </w:p>
              </w:tc>
              <w:tc>
                <w:tcPr>
                  <w:tcW w:w="283" w:type="dxa"/>
                  <w:tcBorders>
                    <w:top w:val="nil"/>
                    <w:bottom w:val="nil"/>
                  </w:tcBorders>
                  <w:noWrap/>
                </w:tcPr>
                <w:p w14:paraId="391C0A4C"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3C3CA8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517</w:t>
                  </w:r>
                </w:p>
              </w:tc>
            </w:tr>
            <w:tr w:rsidR="00DF3006" w:rsidRPr="00DF3006" w14:paraId="7160894A" w14:textId="77777777" w:rsidTr="00025E55">
              <w:trPr>
                <w:trHeight w:val="20"/>
              </w:trPr>
              <w:tc>
                <w:tcPr>
                  <w:tcW w:w="5529" w:type="dxa"/>
                  <w:tcBorders>
                    <w:top w:val="nil"/>
                    <w:left w:val="nil"/>
                    <w:bottom w:val="nil"/>
                  </w:tcBorders>
                  <w:noWrap/>
                  <w:tcMar>
                    <w:left w:w="0" w:type="dxa"/>
                    <w:right w:w="0" w:type="dxa"/>
                  </w:tcMar>
                  <w:vAlign w:val="bottom"/>
                </w:tcPr>
                <w:p w14:paraId="2DA67DAC"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 xml:space="preserve">Security </w:t>
                  </w:r>
                </w:p>
              </w:tc>
              <w:tc>
                <w:tcPr>
                  <w:tcW w:w="567" w:type="dxa"/>
                  <w:tcBorders>
                    <w:top w:val="nil"/>
                    <w:bottom w:val="nil"/>
                  </w:tcBorders>
                  <w:noWrap/>
                  <w:tcMar>
                    <w:left w:w="0" w:type="dxa"/>
                    <w:right w:w="0" w:type="dxa"/>
                  </w:tcMar>
                  <w:vAlign w:val="bottom"/>
                </w:tcPr>
                <w:p w14:paraId="67300846"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8BA48A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511</w:t>
                  </w:r>
                </w:p>
              </w:tc>
              <w:tc>
                <w:tcPr>
                  <w:tcW w:w="283" w:type="dxa"/>
                  <w:tcBorders>
                    <w:top w:val="nil"/>
                    <w:bottom w:val="nil"/>
                  </w:tcBorders>
                  <w:noWrap/>
                </w:tcPr>
                <w:p w14:paraId="5D815B92"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6A2DF6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452</w:t>
                  </w:r>
                </w:p>
              </w:tc>
            </w:tr>
            <w:tr w:rsidR="00DF3006" w:rsidRPr="00DF3006" w14:paraId="01ACE8AB" w14:textId="77777777" w:rsidTr="00025E55">
              <w:trPr>
                <w:trHeight w:val="20"/>
              </w:trPr>
              <w:tc>
                <w:tcPr>
                  <w:tcW w:w="5529" w:type="dxa"/>
                  <w:tcBorders>
                    <w:top w:val="nil"/>
                    <w:left w:val="nil"/>
                    <w:bottom w:val="nil"/>
                  </w:tcBorders>
                  <w:noWrap/>
                  <w:tcMar>
                    <w:left w:w="0" w:type="dxa"/>
                    <w:right w:w="0" w:type="dxa"/>
                  </w:tcMar>
                  <w:vAlign w:val="bottom"/>
                </w:tcPr>
                <w:p w14:paraId="1F7FE228"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Furniture and equipment (non-asset)</w:t>
                  </w:r>
                </w:p>
              </w:tc>
              <w:tc>
                <w:tcPr>
                  <w:tcW w:w="567" w:type="dxa"/>
                  <w:tcBorders>
                    <w:top w:val="nil"/>
                    <w:bottom w:val="nil"/>
                  </w:tcBorders>
                  <w:noWrap/>
                  <w:tcMar>
                    <w:left w:w="0" w:type="dxa"/>
                    <w:right w:w="0" w:type="dxa"/>
                  </w:tcMar>
                  <w:vAlign w:val="bottom"/>
                </w:tcPr>
                <w:p w14:paraId="0813DF31"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D66194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498</w:t>
                  </w:r>
                </w:p>
              </w:tc>
              <w:tc>
                <w:tcPr>
                  <w:tcW w:w="283" w:type="dxa"/>
                  <w:tcBorders>
                    <w:top w:val="nil"/>
                    <w:bottom w:val="nil"/>
                  </w:tcBorders>
                  <w:noWrap/>
                </w:tcPr>
                <w:p w14:paraId="50E5187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FE7FB9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415</w:t>
                  </w:r>
                </w:p>
              </w:tc>
            </w:tr>
            <w:tr w:rsidR="00DF3006" w:rsidRPr="00DF3006" w14:paraId="7984BA66" w14:textId="77777777" w:rsidTr="00025E55">
              <w:trPr>
                <w:trHeight w:val="20"/>
              </w:trPr>
              <w:tc>
                <w:tcPr>
                  <w:tcW w:w="5529" w:type="dxa"/>
                  <w:tcBorders>
                    <w:top w:val="nil"/>
                    <w:left w:val="nil"/>
                    <w:bottom w:val="nil"/>
                  </w:tcBorders>
                  <w:noWrap/>
                  <w:tcMar>
                    <w:left w:w="0" w:type="dxa"/>
                    <w:right w:w="0" w:type="dxa"/>
                  </w:tcMar>
                  <w:vAlign w:val="bottom"/>
                </w:tcPr>
                <w:p w14:paraId="61669CCB"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Building and equipment maintenance</w:t>
                  </w:r>
                </w:p>
              </w:tc>
              <w:tc>
                <w:tcPr>
                  <w:tcW w:w="567" w:type="dxa"/>
                  <w:tcBorders>
                    <w:top w:val="nil"/>
                    <w:bottom w:val="nil"/>
                  </w:tcBorders>
                  <w:noWrap/>
                  <w:tcMar>
                    <w:left w:w="0" w:type="dxa"/>
                    <w:right w:w="0" w:type="dxa"/>
                  </w:tcMar>
                  <w:vAlign w:val="bottom"/>
                </w:tcPr>
                <w:p w14:paraId="389A0C3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8D2624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461</w:t>
                  </w:r>
                </w:p>
              </w:tc>
              <w:tc>
                <w:tcPr>
                  <w:tcW w:w="283" w:type="dxa"/>
                  <w:tcBorders>
                    <w:top w:val="nil"/>
                    <w:bottom w:val="nil"/>
                  </w:tcBorders>
                  <w:noWrap/>
                </w:tcPr>
                <w:p w14:paraId="0A104922"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DD257F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414</w:t>
                  </w:r>
                </w:p>
              </w:tc>
            </w:tr>
            <w:tr w:rsidR="00DF3006" w:rsidRPr="00DF3006" w14:paraId="3F3FCDB3" w14:textId="77777777" w:rsidTr="00025E55">
              <w:trPr>
                <w:trHeight w:val="20"/>
              </w:trPr>
              <w:tc>
                <w:tcPr>
                  <w:tcW w:w="5529" w:type="dxa"/>
                  <w:tcBorders>
                    <w:top w:val="nil"/>
                    <w:left w:val="nil"/>
                    <w:bottom w:val="nil"/>
                  </w:tcBorders>
                  <w:noWrap/>
                  <w:tcMar>
                    <w:left w:w="0" w:type="dxa"/>
                    <w:right w:w="0" w:type="dxa"/>
                  </w:tcMar>
                  <w:vAlign w:val="bottom"/>
                </w:tcPr>
                <w:p w14:paraId="73EFD2F0"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Corporate service providers</w:t>
                  </w:r>
                </w:p>
              </w:tc>
              <w:tc>
                <w:tcPr>
                  <w:tcW w:w="567" w:type="dxa"/>
                  <w:tcBorders>
                    <w:top w:val="nil"/>
                    <w:bottom w:val="nil"/>
                  </w:tcBorders>
                  <w:noWrap/>
                  <w:tcMar>
                    <w:left w:w="0" w:type="dxa"/>
                    <w:right w:w="0" w:type="dxa"/>
                  </w:tcMar>
                  <w:vAlign w:val="bottom"/>
                </w:tcPr>
                <w:p w14:paraId="527C3301"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1BD83E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409</w:t>
                  </w:r>
                </w:p>
              </w:tc>
              <w:tc>
                <w:tcPr>
                  <w:tcW w:w="283" w:type="dxa"/>
                  <w:tcBorders>
                    <w:top w:val="nil"/>
                    <w:bottom w:val="nil"/>
                  </w:tcBorders>
                  <w:noWrap/>
                </w:tcPr>
                <w:p w14:paraId="5E7A2D40"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026E585"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339</w:t>
                  </w:r>
                </w:p>
              </w:tc>
            </w:tr>
            <w:tr w:rsidR="00DF3006" w:rsidRPr="00DF3006" w14:paraId="4A4783B7" w14:textId="77777777" w:rsidTr="00025E55">
              <w:trPr>
                <w:trHeight w:val="20"/>
              </w:trPr>
              <w:tc>
                <w:tcPr>
                  <w:tcW w:w="5529" w:type="dxa"/>
                  <w:tcBorders>
                    <w:top w:val="nil"/>
                    <w:left w:val="nil"/>
                    <w:bottom w:val="nil"/>
                  </w:tcBorders>
                  <w:noWrap/>
                  <w:tcMar>
                    <w:left w:w="0" w:type="dxa"/>
                    <w:right w:w="0" w:type="dxa"/>
                  </w:tcMar>
                  <w:vAlign w:val="bottom"/>
                </w:tcPr>
                <w:p w14:paraId="0DC31037"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Operational expenses</w:t>
                  </w:r>
                </w:p>
              </w:tc>
              <w:tc>
                <w:tcPr>
                  <w:tcW w:w="567" w:type="dxa"/>
                  <w:tcBorders>
                    <w:top w:val="nil"/>
                    <w:bottom w:val="nil"/>
                  </w:tcBorders>
                  <w:noWrap/>
                  <w:tcMar>
                    <w:left w:w="0" w:type="dxa"/>
                    <w:right w:w="0" w:type="dxa"/>
                  </w:tcMar>
                  <w:vAlign w:val="bottom"/>
                </w:tcPr>
                <w:p w14:paraId="0F51CCB3"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026A3C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399</w:t>
                  </w:r>
                </w:p>
              </w:tc>
              <w:tc>
                <w:tcPr>
                  <w:tcW w:w="283" w:type="dxa"/>
                  <w:tcBorders>
                    <w:top w:val="nil"/>
                    <w:bottom w:val="nil"/>
                  </w:tcBorders>
                  <w:noWrap/>
                </w:tcPr>
                <w:p w14:paraId="7565DE55"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00F694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576</w:t>
                  </w:r>
                </w:p>
              </w:tc>
            </w:tr>
            <w:tr w:rsidR="00DF3006" w:rsidRPr="00DF3006" w14:paraId="2E855A0E" w14:textId="77777777" w:rsidTr="00025E55">
              <w:trPr>
                <w:trHeight w:val="20"/>
              </w:trPr>
              <w:tc>
                <w:tcPr>
                  <w:tcW w:w="5529" w:type="dxa"/>
                  <w:tcBorders>
                    <w:top w:val="nil"/>
                    <w:left w:val="nil"/>
                    <w:bottom w:val="nil"/>
                  </w:tcBorders>
                  <w:noWrap/>
                  <w:tcMar>
                    <w:left w:w="0" w:type="dxa"/>
                    <w:right w:w="0" w:type="dxa"/>
                  </w:tcMar>
                  <w:vAlign w:val="bottom"/>
                </w:tcPr>
                <w:p w14:paraId="3494EE08"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Electricity</w:t>
                  </w:r>
                </w:p>
              </w:tc>
              <w:tc>
                <w:tcPr>
                  <w:tcW w:w="567" w:type="dxa"/>
                  <w:tcBorders>
                    <w:top w:val="nil"/>
                    <w:bottom w:val="nil"/>
                  </w:tcBorders>
                  <w:noWrap/>
                  <w:tcMar>
                    <w:left w:w="0" w:type="dxa"/>
                    <w:right w:w="0" w:type="dxa"/>
                  </w:tcMar>
                  <w:vAlign w:val="bottom"/>
                </w:tcPr>
                <w:p w14:paraId="507C679F"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4FA019E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233</w:t>
                  </w:r>
                </w:p>
              </w:tc>
              <w:tc>
                <w:tcPr>
                  <w:tcW w:w="283" w:type="dxa"/>
                  <w:tcBorders>
                    <w:top w:val="nil"/>
                    <w:bottom w:val="nil"/>
                  </w:tcBorders>
                  <w:noWrap/>
                </w:tcPr>
                <w:p w14:paraId="4C0D7B6B"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C4497E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214</w:t>
                  </w:r>
                </w:p>
              </w:tc>
            </w:tr>
            <w:tr w:rsidR="00DF3006" w:rsidRPr="00DF3006" w14:paraId="4B9C5BF4" w14:textId="77777777" w:rsidTr="00025E55">
              <w:trPr>
                <w:trHeight w:val="20"/>
              </w:trPr>
              <w:tc>
                <w:tcPr>
                  <w:tcW w:w="5529" w:type="dxa"/>
                  <w:tcBorders>
                    <w:top w:val="nil"/>
                    <w:left w:val="nil"/>
                    <w:bottom w:val="nil"/>
                  </w:tcBorders>
                  <w:noWrap/>
                  <w:tcMar>
                    <w:left w:w="0" w:type="dxa"/>
                    <w:right w:w="0" w:type="dxa"/>
                  </w:tcMar>
                  <w:vAlign w:val="bottom"/>
                </w:tcPr>
                <w:p w14:paraId="4CDCA7B2"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Software purchases</w:t>
                  </w:r>
                </w:p>
              </w:tc>
              <w:tc>
                <w:tcPr>
                  <w:tcW w:w="567" w:type="dxa"/>
                  <w:tcBorders>
                    <w:top w:val="nil"/>
                    <w:bottom w:val="nil"/>
                  </w:tcBorders>
                  <w:noWrap/>
                  <w:tcMar>
                    <w:left w:w="0" w:type="dxa"/>
                    <w:right w:w="0" w:type="dxa"/>
                  </w:tcMar>
                  <w:vAlign w:val="bottom"/>
                </w:tcPr>
                <w:p w14:paraId="481A44FC"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2D551E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9</w:t>
                  </w:r>
                </w:p>
              </w:tc>
              <w:tc>
                <w:tcPr>
                  <w:tcW w:w="283" w:type="dxa"/>
                  <w:tcBorders>
                    <w:top w:val="nil"/>
                    <w:bottom w:val="nil"/>
                  </w:tcBorders>
                  <w:noWrap/>
                </w:tcPr>
                <w:p w14:paraId="3CB433BB"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8316FD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235</w:t>
                  </w:r>
                </w:p>
              </w:tc>
            </w:tr>
            <w:tr w:rsidR="00DF3006" w:rsidRPr="00DF3006" w14:paraId="3820514A" w14:textId="77777777" w:rsidTr="00025E55">
              <w:trPr>
                <w:trHeight w:val="20"/>
              </w:trPr>
              <w:tc>
                <w:tcPr>
                  <w:tcW w:w="5529" w:type="dxa"/>
                  <w:tcBorders>
                    <w:top w:val="nil"/>
                    <w:left w:val="nil"/>
                    <w:bottom w:val="nil"/>
                  </w:tcBorders>
                  <w:noWrap/>
                  <w:tcMar>
                    <w:left w:w="0" w:type="dxa"/>
                    <w:right w:w="0" w:type="dxa"/>
                  </w:tcMar>
                  <w:vAlign w:val="bottom"/>
                </w:tcPr>
                <w:p w14:paraId="4880791B"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Other</w:t>
                  </w:r>
                </w:p>
              </w:tc>
              <w:tc>
                <w:tcPr>
                  <w:tcW w:w="567" w:type="dxa"/>
                  <w:tcBorders>
                    <w:top w:val="nil"/>
                    <w:bottom w:val="nil"/>
                  </w:tcBorders>
                  <w:noWrap/>
                  <w:tcMar>
                    <w:left w:w="0" w:type="dxa"/>
                    <w:right w:w="0" w:type="dxa"/>
                  </w:tcMar>
                  <w:vAlign w:val="bottom"/>
                </w:tcPr>
                <w:p w14:paraId="03B2D602"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EC8ABF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482</w:t>
                  </w:r>
                </w:p>
              </w:tc>
              <w:tc>
                <w:tcPr>
                  <w:tcW w:w="283" w:type="dxa"/>
                  <w:tcBorders>
                    <w:top w:val="nil"/>
                    <w:bottom w:val="nil"/>
                  </w:tcBorders>
                  <w:noWrap/>
                </w:tcPr>
                <w:p w14:paraId="737B21FC"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55D3C45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501</w:t>
                  </w:r>
                </w:p>
              </w:tc>
            </w:tr>
            <w:tr w:rsidR="00DF3006" w:rsidRPr="00DF3006" w14:paraId="6ACF699E" w14:textId="77777777" w:rsidTr="00025E55">
              <w:trPr>
                <w:trHeight w:val="20"/>
              </w:trPr>
              <w:tc>
                <w:tcPr>
                  <w:tcW w:w="5529" w:type="dxa"/>
                  <w:tcBorders>
                    <w:top w:val="nil"/>
                    <w:left w:val="nil"/>
                    <w:bottom w:val="nil"/>
                  </w:tcBorders>
                  <w:noWrap/>
                  <w:tcMar>
                    <w:left w:w="0" w:type="dxa"/>
                    <w:right w:w="0" w:type="dxa"/>
                  </w:tcMar>
                  <w:vAlign w:val="bottom"/>
                </w:tcPr>
                <w:p w14:paraId="4ADB5E3F"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5CBB72F9"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1E369D5D"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14,209</w:t>
                  </w:r>
                </w:p>
              </w:tc>
              <w:tc>
                <w:tcPr>
                  <w:tcW w:w="283" w:type="dxa"/>
                  <w:tcBorders>
                    <w:top w:val="nil"/>
                    <w:bottom w:val="nil"/>
                  </w:tcBorders>
                  <w:noWrap/>
                </w:tcPr>
                <w:p w14:paraId="303FC9A2"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A272552"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14,343</w:t>
                  </w:r>
                </w:p>
              </w:tc>
            </w:tr>
          </w:tbl>
          <w:p w14:paraId="3213C065" w14:textId="77777777" w:rsidR="00FC17BC" w:rsidRPr="00DF3006" w:rsidRDefault="00FC17BC" w:rsidP="00025E55">
            <w:pPr>
              <w:rPr>
                <w:rFonts w:cs="Arial"/>
                <w:color w:val="414042" w:themeColor="text1"/>
                <w:szCs w:val="18"/>
              </w:rPr>
            </w:pPr>
          </w:p>
          <w:p w14:paraId="3AC8AF0B" w14:textId="77777777" w:rsidR="00FC17BC" w:rsidRPr="00DF3006" w:rsidRDefault="00FC17BC" w:rsidP="00025E55">
            <w:pPr>
              <w:pStyle w:val="Noteswithhangingindent"/>
              <w:spacing w:line="240" w:lineRule="auto"/>
            </w:pPr>
            <w:r w:rsidRPr="00DF3006">
              <w:rPr>
                <w:vertAlign w:val="superscript"/>
              </w:rPr>
              <w:t>1</w:t>
            </w:r>
            <w:r w:rsidRPr="00DF3006">
              <w:tab/>
              <w:t xml:space="preserve">Property rentals include lease expenses for Green Square accommodation, which is exempted from </w:t>
            </w:r>
            <w:proofErr w:type="spellStart"/>
            <w:r w:rsidRPr="00DF3006">
              <w:t>AASB</w:t>
            </w:r>
            <w:proofErr w:type="spellEnd"/>
            <w:r w:rsidRPr="00DF3006">
              <w:t xml:space="preserve"> 16 </w:t>
            </w:r>
            <w:r w:rsidRPr="00DF3006">
              <w:rPr>
                <w:i/>
                <w:iCs/>
              </w:rPr>
              <w:t>Lease</w:t>
            </w:r>
            <w:r w:rsidRPr="00DF3006">
              <w:t xml:space="preserve"> as it is a non-specialised commercial office accommodation under the Queensland Government Accommodation Office (</w:t>
            </w:r>
            <w:proofErr w:type="spellStart"/>
            <w:r w:rsidRPr="00DF3006">
              <w:t>QGAO</w:t>
            </w:r>
            <w:proofErr w:type="spellEnd"/>
            <w:r w:rsidRPr="00DF3006">
              <w:t>) framework. The Department of Energy and Public Works has substantive substitution rights over the assets used.</w:t>
            </w:r>
          </w:p>
          <w:p w14:paraId="3FF0165B" w14:textId="77777777" w:rsidR="00FC17BC" w:rsidRPr="00DF3006" w:rsidRDefault="00FC17BC" w:rsidP="00025E55">
            <w:pPr>
              <w:rPr>
                <w:b/>
                <w:color w:val="414042" w:themeColor="text1"/>
              </w:rPr>
            </w:pPr>
          </w:p>
          <w:p w14:paraId="78968755" w14:textId="77777777" w:rsidR="00FC17BC" w:rsidRPr="00DF3006" w:rsidRDefault="00FC17BC" w:rsidP="00025E55">
            <w:pPr>
              <w:rPr>
                <w:b/>
                <w:color w:val="414042" w:themeColor="text1"/>
              </w:rPr>
            </w:pPr>
          </w:p>
          <w:p w14:paraId="41D2C5C2" w14:textId="77777777" w:rsidR="00FC17BC" w:rsidRPr="00DF3006" w:rsidRDefault="00FC17BC" w:rsidP="00025E55">
            <w:pPr>
              <w:pStyle w:val="Normal115pttext"/>
              <w:spacing w:line="240" w:lineRule="auto"/>
              <w:rPr>
                <w:color w:val="414042" w:themeColor="text1"/>
              </w:rPr>
            </w:pPr>
            <w:r w:rsidRPr="00DF3006">
              <w:rPr>
                <w:color w:val="414042" w:themeColor="text1"/>
              </w:rPr>
              <w:t>Note 6:  Other Expenses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1FDF71B8" w14:textId="77777777" w:rsidTr="00025E55">
              <w:trPr>
                <w:trHeight w:val="20"/>
              </w:trPr>
              <w:tc>
                <w:tcPr>
                  <w:tcW w:w="5529" w:type="dxa"/>
                  <w:tcBorders>
                    <w:top w:val="nil"/>
                    <w:left w:val="nil"/>
                    <w:bottom w:val="nil"/>
                  </w:tcBorders>
                  <w:noWrap/>
                  <w:tcMar>
                    <w:left w:w="0" w:type="dxa"/>
                    <w:right w:w="0" w:type="dxa"/>
                  </w:tcMar>
                  <w:vAlign w:val="bottom"/>
                </w:tcPr>
                <w:p w14:paraId="4DF9834F" w14:textId="77777777" w:rsidR="00FC17BC" w:rsidRPr="00DF3006" w:rsidRDefault="00FC17BC" w:rsidP="00025E55">
                  <w:pPr>
                    <w:pStyle w:val="Normaltabletextleft"/>
                    <w:tabs>
                      <w:tab w:val="left" w:pos="0"/>
                    </w:tabs>
                    <w:spacing w:line="240" w:lineRule="auto"/>
                    <w:rPr>
                      <w:color w:val="414042" w:themeColor="text1"/>
                      <w:lang w:eastAsia="en-AU"/>
                    </w:rPr>
                  </w:pPr>
                </w:p>
                <w:p w14:paraId="782F53C0"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4AACD5B9"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390067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27556238"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1A5C767"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6B0FDB3A" w14:textId="77777777" w:rsidTr="00025E55">
              <w:trPr>
                <w:trHeight w:val="20"/>
              </w:trPr>
              <w:tc>
                <w:tcPr>
                  <w:tcW w:w="5529" w:type="dxa"/>
                  <w:tcBorders>
                    <w:top w:val="nil"/>
                    <w:left w:val="nil"/>
                    <w:bottom w:val="nil"/>
                  </w:tcBorders>
                  <w:noWrap/>
                  <w:tcMar>
                    <w:left w:w="0" w:type="dxa"/>
                    <w:right w:w="0" w:type="dxa"/>
                  </w:tcMar>
                  <w:vAlign w:val="bottom"/>
                </w:tcPr>
                <w:p w14:paraId="5A1A5544"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3F45FF19"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B584369"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041F117A"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6EE3263"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7A87C7AA" w14:textId="77777777" w:rsidTr="00025E55">
              <w:trPr>
                <w:trHeight w:val="20"/>
              </w:trPr>
              <w:tc>
                <w:tcPr>
                  <w:tcW w:w="5529" w:type="dxa"/>
                  <w:tcBorders>
                    <w:top w:val="nil"/>
                    <w:left w:val="nil"/>
                    <w:bottom w:val="nil"/>
                  </w:tcBorders>
                  <w:noWrap/>
                  <w:tcMar>
                    <w:left w:w="0" w:type="dxa"/>
                    <w:right w:w="0" w:type="dxa"/>
                  </w:tcMar>
                  <w:vAlign w:val="bottom"/>
                </w:tcPr>
                <w:p w14:paraId="5A5A230D" w14:textId="77777777" w:rsidR="00FC17BC" w:rsidRPr="00DF3006" w:rsidRDefault="00FC17BC" w:rsidP="00025E55">
                  <w:pPr>
                    <w:pStyle w:val="Normaltabletextleft"/>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4EFF819D"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B1C4059"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45DD67C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9E32824"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5F9AE6BD" w14:textId="77777777" w:rsidTr="00025E55">
              <w:trPr>
                <w:trHeight w:val="20"/>
              </w:trPr>
              <w:tc>
                <w:tcPr>
                  <w:tcW w:w="5529" w:type="dxa"/>
                  <w:tcBorders>
                    <w:top w:val="nil"/>
                    <w:left w:val="nil"/>
                    <w:bottom w:val="nil"/>
                  </w:tcBorders>
                  <w:noWrap/>
                  <w:tcMar>
                    <w:left w:w="0" w:type="dxa"/>
                    <w:right w:w="0" w:type="dxa"/>
                  </w:tcMar>
                  <w:vAlign w:val="bottom"/>
                </w:tcPr>
                <w:p w14:paraId="4603B5C0"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External audit fees¹</w:t>
                  </w:r>
                </w:p>
              </w:tc>
              <w:tc>
                <w:tcPr>
                  <w:tcW w:w="567" w:type="dxa"/>
                  <w:tcBorders>
                    <w:top w:val="nil"/>
                    <w:bottom w:val="nil"/>
                  </w:tcBorders>
                  <w:noWrap/>
                  <w:tcMar>
                    <w:left w:w="0" w:type="dxa"/>
                    <w:right w:w="0" w:type="dxa"/>
                  </w:tcMar>
                  <w:vAlign w:val="bottom"/>
                </w:tcPr>
                <w:p w14:paraId="17605D4C"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6E7D83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67</w:t>
                  </w:r>
                </w:p>
              </w:tc>
              <w:tc>
                <w:tcPr>
                  <w:tcW w:w="283" w:type="dxa"/>
                  <w:tcBorders>
                    <w:top w:val="nil"/>
                    <w:bottom w:val="nil"/>
                  </w:tcBorders>
                  <w:noWrap/>
                </w:tcPr>
                <w:p w14:paraId="675EAB3E"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5DC4DA1"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65</w:t>
                  </w:r>
                </w:p>
              </w:tc>
            </w:tr>
            <w:tr w:rsidR="00DF3006" w:rsidRPr="00DF3006" w14:paraId="7CAEF17F" w14:textId="77777777" w:rsidTr="00025E55">
              <w:trPr>
                <w:trHeight w:val="20"/>
              </w:trPr>
              <w:tc>
                <w:tcPr>
                  <w:tcW w:w="5529" w:type="dxa"/>
                  <w:tcBorders>
                    <w:top w:val="nil"/>
                    <w:left w:val="nil"/>
                    <w:bottom w:val="nil"/>
                  </w:tcBorders>
                  <w:noWrap/>
                  <w:tcMar>
                    <w:left w:w="0" w:type="dxa"/>
                    <w:right w:w="0" w:type="dxa"/>
                  </w:tcMar>
                  <w:vAlign w:val="bottom"/>
                </w:tcPr>
                <w:p w14:paraId="5492C4EA"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Insurance Premiums²</w:t>
                  </w:r>
                </w:p>
              </w:tc>
              <w:tc>
                <w:tcPr>
                  <w:tcW w:w="567" w:type="dxa"/>
                  <w:tcBorders>
                    <w:top w:val="nil"/>
                    <w:bottom w:val="nil"/>
                  </w:tcBorders>
                  <w:noWrap/>
                  <w:tcMar>
                    <w:left w:w="0" w:type="dxa"/>
                    <w:right w:w="0" w:type="dxa"/>
                  </w:tcMar>
                  <w:vAlign w:val="bottom"/>
                </w:tcPr>
                <w:p w14:paraId="1D992033"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674FA2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33</w:t>
                  </w:r>
                </w:p>
              </w:tc>
              <w:tc>
                <w:tcPr>
                  <w:tcW w:w="283" w:type="dxa"/>
                  <w:tcBorders>
                    <w:top w:val="nil"/>
                    <w:bottom w:val="nil"/>
                  </w:tcBorders>
                  <w:noWrap/>
                </w:tcPr>
                <w:p w14:paraId="20AE6C49"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E7D017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33</w:t>
                  </w:r>
                </w:p>
              </w:tc>
            </w:tr>
            <w:tr w:rsidR="00DF3006" w:rsidRPr="00DF3006" w14:paraId="0A300EE6" w14:textId="77777777" w:rsidTr="00025E55">
              <w:trPr>
                <w:trHeight w:val="20"/>
              </w:trPr>
              <w:tc>
                <w:tcPr>
                  <w:tcW w:w="5529" w:type="dxa"/>
                  <w:tcBorders>
                    <w:top w:val="nil"/>
                    <w:left w:val="nil"/>
                    <w:bottom w:val="nil"/>
                  </w:tcBorders>
                  <w:noWrap/>
                  <w:tcMar>
                    <w:left w:w="0" w:type="dxa"/>
                    <w:right w:w="0" w:type="dxa"/>
                  </w:tcMar>
                  <w:vAlign w:val="bottom"/>
                </w:tcPr>
                <w:p w14:paraId="5E739437"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Services received below fair value (see Note 2)</w:t>
                  </w:r>
                </w:p>
              </w:tc>
              <w:tc>
                <w:tcPr>
                  <w:tcW w:w="567" w:type="dxa"/>
                  <w:tcBorders>
                    <w:top w:val="nil"/>
                    <w:bottom w:val="nil"/>
                  </w:tcBorders>
                  <w:noWrap/>
                  <w:tcMar>
                    <w:left w:w="0" w:type="dxa"/>
                    <w:right w:w="0" w:type="dxa"/>
                  </w:tcMar>
                  <w:vAlign w:val="bottom"/>
                </w:tcPr>
                <w:p w14:paraId="1309DE38"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C9ED4D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1,302</w:t>
                  </w:r>
                </w:p>
              </w:tc>
              <w:tc>
                <w:tcPr>
                  <w:tcW w:w="283" w:type="dxa"/>
                  <w:tcBorders>
                    <w:top w:val="nil"/>
                    <w:bottom w:val="nil"/>
                  </w:tcBorders>
                  <w:noWrap/>
                </w:tcPr>
                <w:p w14:paraId="74576B4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8BA9D44"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1,245</w:t>
                  </w:r>
                </w:p>
              </w:tc>
            </w:tr>
            <w:tr w:rsidR="00DF3006" w:rsidRPr="00DF3006" w14:paraId="59E86743" w14:textId="77777777" w:rsidTr="00025E55">
              <w:trPr>
                <w:trHeight w:val="20"/>
              </w:trPr>
              <w:tc>
                <w:tcPr>
                  <w:tcW w:w="5529" w:type="dxa"/>
                  <w:tcBorders>
                    <w:top w:val="nil"/>
                    <w:left w:val="nil"/>
                    <w:bottom w:val="nil"/>
                  </w:tcBorders>
                  <w:noWrap/>
                  <w:tcMar>
                    <w:left w:w="0" w:type="dxa"/>
                    <w:right w:w="0" w:type="dxa"/>
                  </w:tcMar>
                  <w:vAlign w:val="bottom"/>
                </w:tcPr>
                <w:p w14:paraId="70B8552F"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 xml:space="preserve">Losses – </w:t>
                  </w:r>
                  <w:r w:rsidRPr="00DF3006">
                    <w:rPr>
                      <w:color w:val="414042" w:themeColor="text1"/>
                    </w:rPr>
                    <w:t xml:space="preserve">On disposal of property, </w:t>
                  </w:r>
                  <w:proofErr w:type="gramStart"/>
                  <w:r w:rsidRPr="00DF3006">
                    <w:rPr>
                      <w:color w:val="414042" w:themeColor="text1"/>
                    </w:rPr>
                    <w:t>plant</w:t>
                  </w:r>
                  <w:proofErr w:type="gramEnd"/>
                  <w:r w:rsidRPr="00DF3006">
                    <w:rPr>
                      <w:color w:val="414042" w:themeColor="text1"/>
                    </w:rPr>
                    <w:t xml:space="preserve"> and equipment</w:t>
                  </w:r>
                </w:p>
              </w:tc>
              <w:tc>
                <w:tcPr>
                  <w:tcW w:w="567" w:type="dxa"/>
                  <w:tcBorders>
                    <w:top w:val="nil"/>
                    <w:bottom w:val="nil"/>
                  </w:tcBorders>
                  <w:noWrap/>
                  <w:tcMar>
                    <w:left w:w="0" w:type="dxa"/>
                    <w:right w:w="0" w:type="dxa"/>
                  </w:tcMar>
                  <w:vAlign w:val="bottom"/>
                </w:tcPr>
                <w:p w14:paraId="6AA8DEC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B77C8D1"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27</w:t>
                  </w:r>
                </w:p>
              </w:tc>
              <w:tc>
                <w:tcPr>
                  <w:tcW w:w="283" w:type="dxa"/>
                  <w:tcBorders>
                    <w:top w:val="nil"/>
                    <w:bottom w:val="nil"/>
                  </w:tcBorders>
                  <w:noWrap/>
                </w:tcPr>
                <w:p w14:paraId="6D5FE72B"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334568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w:t>
                  </w:r>
                </w:p>
              </w:tc>
            </w:tr>
            <w:tr w:rsidR="00DF3006" w:rsidRPr="00DF3006" w14:paraId="24510153" w14:textId="77777777" w:rsidTr="00025E55">
              <w:trPr>
                <w:trHeight w:val="20"/>
              </w:trPr>
              <w:tc>
                <w:tcPr>
                  <w:tcW w:w="5529" w:type="dxa"/>
                  <w:tcBorders>
                    <w:top w:val="nil"/>
                    <w:left w:val="nil"/>
                    <w:bottom w:val="nil"/>
                  </w:tcBorders>
                  <w:noWrap/>
                  <w:tcMar>
                    <w:left w:w="0" w:type="dxa"/>
                    <w:right w:w="0" w:type="dxa"/>
                  </w:tcMar>
                  <w:vAlign w:val="bottom"/>
                </w:tcPr>
                <w:p w14:paraId="43CE5699"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Sundry expenses</w:t>
                  </w:r>
                </w:p>
              </w:tc>
              <w:tc>
                <w:tcPr>
                  <w:tcW w:w="567" w:type="dxa"/>
                  <w:tcBorders>
                    <w:top w:val="nil"/>
                    <w:bottom w:val="nil"/>
                  </w:tcBorders>
                  <w:noWrap/>
                  <w:tcMar>
                    <w:left w:w="0" w:type="dxa"/>
                    <w:right w:w="0" w:type="dxa"/>
                  </w:tcMar>
                  <w:vAlign w:val="bottom"/>
                </w:tcPr>
                <w:p w14:paraId="5DDCFC9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1D2A12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45</w:t>
                  </w:r>
                </w:p>
              </w:tc>
              <w:tc>
                <w:tcPr>
                  <w:tcW w:w="283" w:type="dxa"/>
                  <w:tcBorders>
                    <w:top w:val="nil"/>
                    <w:bottom w:val="nil"/>
                  </w:tcBorders>
                  <w:noWrap/>
                </w:tcPr>
                <w:p w14:paraId="087DBB9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A91BEC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39</w:t>
                  </w:r>
                </w:p>
              </w:tc>
            </w:tr>
            <w:tr w:rsidR="00DF3006" w:rsidRPr="00DF3006" w14:paraId="523E7FB8" w14:textId="77777777" w:rsidTr="00025E55">
              <w:trPr>
                <w:trHeight w:val="20"/>
              </w:trPr>
              <w:tc>
                <w:tcPr>
                  <w:tcW w:w="5529" w:type="dxa"/>
                  <w:tcBorders>
                    <w:top w:val="nil"/>
                    <w:left w:val="nil"/>
                    <w:bottom w:val="nil"/>
                  </w:tcBorders>
                  <w:noWrap/>
                  <w:tcMar>
                    <w:left w:w="0" w:type="dxa"/>
                    <w:right w:w="0" w:type="dxa"/>
                  </w:tcMar>
                  <w:vAlign w:val="bottom"/>
                </w:tcPr>
                <w:p w14:paraId="52AC8F50"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4102D8D0"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25447ADB"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1,474</w:t>
                  </w:r>
                </w:p>
              </w:tc>
              <w:tc>
                <w:tcPr>
                  <w:tcW w:w="283" w:type="dxa"/>
                  <w:tcBorders>
                    <w:top w:val="nil"/>
                    <w:bottom w:val="nil"/>
                  </w:tcBorders>
                  <w:noWrap/>
                </w:tcPr>
                <w:p w14:paraId="4F29EE7C"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6AEFD77"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1,385</w:t>
                  </w:r>
                </w:p>
              </w:tc>
            </w:tr>
          </w:tbl>
          <w:p w14:paraId="42B6863E" w14:textId="77777777" w:rsidR="00FC17BC" w:rsidRPr="00DF3006" w:rsidRDefault="00FC17BC" w:rsidP="00025E55">
            <w:pPr>
              <w:pStyle w:val="Noteswithhangingindent"/>
              <w:spacing w:line="240" w:lineRule="auto"/>
              <w:rPr>
                <w:vertAlign w:val="superscript"/>
              </w:rPr>
            </w:pPr>
          </w:p>
          <w:p w14:paraId="6F48CE8A" w14:textId="77777777" w:rsidR="00FC17BC" w:rsidRPr="00DF3006" w:rsidRDefault="00FC17BC" w:rsidP="00025E55">
            <w:pPr>
              <w:pStyle w:val="Noteswithhangingindent"/>
              <w:spacing w:line="240" w:lineRule="auto"/>
              <w:jc w:val="both"/>
            </w:pPr>
            <w:r w:rsidRPr="00DF3006">
              <w:rPr>
                <w:vertAlign w:val="superscript"/>
              </w:rPr>
              <w:t>1</w:t>
            </w:r>
            <w:r w:rsidRPr="00DF3006">
              <w:tab/>
              <w:t xml:space="preserve">Estimate of fees payable to Queensland Audit Office relating to the 2022-23 financial statements is $66,900 (2022 fee: $64,500). </w:t>
            </w:r>
          </w:p>
          <w:p w14:paraId="5728720D" w14:textId="77777777" w:rsidR="00FC17BC" w:rsidRPr="00DF3006" w:rsidRDefault="00FC17BC" w:rsidP="00025E55">
            <w:pPr>
              <w:pStyle w:val="Noteswithhangingindent"/>
              <w:spacing w:line="240" w:lineRule="auto"/>
              <w:jc w:val="both"/>
            </w:pPr>
            <w:r w:rsidRPr="00DF3006">
              <w:rPr>
                <w:vertAlign w:val="superscript"/>
              </w:rPr>
              <w:t>2</w:t>
            </w:r>
            <w:r w:rsidRPr="00DF3006">
              <w:tab/>
              <w:t xml:space="preserve">The CCC’s non–current physical assets and other risks are insured through the Queensland Government Insurance </w:t>
            </w:r>
            <w:proofErr w:type="gramStart"/>
            <w:r w:rsidRPr="00DF3006">
              <w:t>Fund,</w:t>
            </w:r>
            <w:proofErr w:type="gramEnd"/>
            <w:r w:rsidRPr="00DF3006">
              <w:t xml:space="preserve"> premiums being paid on a risk assessment basis. Insurance claims are subject to a $10,000 deductible per claim.</w:t>
            </w:r>
          </w:p>
          <w:p w14:paraId="45AC488B" w14:textId="77777777" w:rsidR="00FC17BC" w:rsidRPr="00DF3006" w:rsidRDefault="00FC17BC" w:rsidP="00025E55">
            <w:pPr>
              <w:pStyle w:val="Noteswithhangingindent"/>
              <w:spacing w:line="240" w:lineRule="auto"/>
              <w:jc w:val="both"/>
            </w:pPr>
            <w:r w:rsidRPr="00DF3006">
              <w:t xml:space="preserve"> </w:t>
            </w:r>
          </w:p>
          <w:p w14:paraId="7D67E4F1" w14:textId="77777777" w:rsidR="00FC17BC" w:rsidRPr="00DF3006" w:rsidRDefault="00FC17BC" w:rsidP="00025E55">
            <w:pPr>
              <w:pStyle w:val="Normal115pttext"/>
              <w:spacing w:line="240" w:lineRule="auto"/>
              <w:jc w:val="both"/>
              <w:rPr>
                <w:color w:val="414042" w:themeColor="text1"/>
              </w:rPr>
            </w:pPr>
          </w:p>
          <w:p w14:paraId="15C6F9B3" w14:textId="77777777" w:rsidR="00FC17BC" w:rsidRPr="00DF3006" w:rsidRDefault="00FC17BC" w:rsidP="00025E55">
            <w:pPr>
              <w:pStyle w:val="Normal115pttext"/>
              <w:spacing w:line="240" w:lineRule="auto"/>
              <w:jc w:val="both"/>
              <w:rPr>
                <w:color w:val="414042" w:themeColor="text1"/>
              </w:rPr>
            </w:pPr>
          </w:p>
          <w:p w14:paraId="0D65FD28" w14:textId="77777777" w:rsidR="00FC17BC" w:rsidRPr="00DF3006" w:rsidRDefault="00FC17BC" w:rsidP="00025E55">
            <w:pPr>
              <w:pStyle w:val="Normal115pttext"/>
              <w:spacing w:line="240" w:lineRule="auto"/>
              <w:jc w:val="both"/>
              <w:rPr>
                <w:color w:val="414042" w:themeColor="text1"/>
              </w:rPr>
            </w:pPr>
          </w:p>
          <w:p w14:paraId="1CAD92B1" w14:textId="77777777" w:rsidR="00FC17BC" w:rsidRPr="00DF3006" w:rsidRDefault="00FC17BC" w:rsidP="00025E55">
            <w:pPr>
              <w:pStyle w:val="Normal115pttext"/>
              <w:spacing w:line="240" w:lineRule="auto"/>
              <w:jc w:val="both"/>
              <w:rPr>
                <w:color w:val="414042" w:themeColor="text1"/>
              </w:rPr>
            </w:pPr>
          </w:p>
          <w:p w14:paraId="49E15BC1" w14:textId="77777777" w:rsidR="00FC17BC" w:rsidRPr="00DF3006" w:rsidRDefault="00FC17BC" w:rsidP="00025E55">
            <w:pPr>
              <w:pStyle w:val="Normal115pttext"/>
              <w:spacing w:line="240" w:lineRule="auto"/>
              <w:jc w:val="both"/>
              <w:rPr>
                <w:color w:val="414042" w:themeColor="text1"/>
              </w:rPr>
            </w:pPr>
          </w:p>
          <w:p w14:paraId="6589D194" w14:textId="77777777" w:rsidR="00FC17BC" w:rsidRPr="00DF3006" w:rsidRDefault="00FC17BC" w:rsidP="001C06A7">
            <w:pPr>
              <w:pStyle w:val="Normal115pttext"/>
              <w:spacing w:line="240" w:lineRule="auto"/>
              <w:rPr>
                <w:color w:val="414042" w:themeColor="text1"/>
              </w:rPr>
            </w:pPr>
            <w:r w:rsidRPr="00DF3006">
              <w:rPr>
                <w:color w:val="414042" w:themeColor="text1"/>
              </w:rPr>
              <w:t>Note 7:  Cash and Cash Equivalents</w:t>
            </w:r>
          </w:p>
          <w:p w14:paraId="733A0C21" w14:textId="77777777" w:rsidR="00FC17BC" w:rsidRPr="00DF3006" w:rsidRDefault="00FC17BC" w:rsidP="00025E55">
            <w:pPr>
              <w:pStyle w:val="Normal1stpara"/>
              <w:spacing w:line="240" w:lineRule="auto"/>
              <w:jc w:val="both"/>
              <w:rPr>
                <w:color w:val="414042" w:themeColor="text1"/>
              </w:rPr>
            </w:pP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DF3006" w:rsidRPr="00DF3006" w14:paraId="0E37881C" w14:textId="77777777" w:rsidTr="00025E55">
              <w:tc>
                <w:tcPr>
                  <w:tcW w:w="9067" w:type="dxa"/>
                </w:tcPr>
                <w:p w14:paraId="14F04760"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60EEEB3D" w14:textId="77777777" w:rsidR="00FC17BC" w:rsidRPr="00DF3006" w:rsidRDefault="00FC17BC" w:rsidP="00025E55">
                  <w:pPr>
                    <w:pStyle w:val="Policy1stpara"/>
                    <w:spacing w:line="240" w:lineRule="auto"/>
                    <w:rPr>
                      <w:color w:val="414042" w:themeColor="text1"/>
                    </w:rPr>
                  </w:pPr>
                  <w:r w:rsidRPr="00DF3006">
                    <w:rPr>
                      <w:b/>
                      <w:i/>
                      <w:color w:val="414042" w:themeColor="text1"/>
                    </w:rPr>
                    <w:t xml:space="preserve">Cash and Cash Equivalents – </w:t>
                  </w:r>
                  <w:r w:rsidRPr="00DF3006">
                    <w:rPr>
                      <w:color w:val="414042" w:themeColor="text1"/>
                    </w:rPr>
                    <w:t xml:space="preserve">Cash and cash equivalents include all cash and cheques receipted but not banked </w:t>
                  </w:r>
                  <w:proofErr w:type="gramStart"/>
                  <w:r w:rsidRPr="00DF3006">
                    <w:rPr>
                      <w:color w:val="414042" w:themeColor="text1"/>
                    </w:rPr>
                    <w:t>at</w:t>
                  </w:r>
                  <w:proofErr w:type="gramEnd"/>
                  <w:r w:rsidRPr="00DF3006">
                    <w:rPr>
                      <w:color w:val="414042" w:themeColor="text1"/>
                    </w:rPr>
                    <w:t xml:space="preserve"> 30 June. Term deposits are held with major banking institutions and/or Queensland Treasury Corporation and represent liquid investments with short periods to maturity that are readily convertible to cash on hand at the CCC’s option and that are subject to a low risk of changes in value.</w:t>
                  </w:r>
                </w:p>
                <w:p w14:paraId="48C37A4C" w14:textId="77777777" w:rsidR="00FC17BC" w:rsidRPr="00DF3006" w:rsidRDefault="00FC17BC" w:rsidP="00025E55">
                  <w:pPr>
                    <w:pStyle w:val="Policy1stpara"/>
                    <w:spacing w:line="240" w:lineRule="auto"/>
                    <w:rPr>
                      <w:color w:val="414042" w:themeColor="text1"/>
                    </w:rPr>
                  </w:pPr>
                </w:p>
              </w:tc>
            </w:tr>
          </w:tbl>
          <w:p w14:paraId="036D4D21" w14:textId="77777777" w:rsidR="00FC17BC" w:rsidRPr="00DF3006" w:rsidRDefault="00FC17BC" w:rsidP="00025E55">
            <w:pPr>
              <w:pStyle w:val="Normal1stpara"/>
              <w:spacing w:line="240" w:lineRule="auto"/>
              <w:jc w:val="both"/>
              <w:rPr>
                <w:color w:val="414042" w:themeColor="text1"/>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38700B90" w14:textId="77777777" w:rsidTr="00025E55">
              <w:trPr>
                <w:trHeight w:val="20"/>
              </w:trPr>
              <w:tc>
                <w:tcPr>
                  <w:tcW w:w="5529" w:type="dxa"/>
                  <w:tcBorders>
                    <w:top w:val="nil"/>
                    <w:left w:val="nil"/>
                    <w:bottom w:val="nil"/>
                  </w:tcBorders>
                  <w:noWrap/>
                  <w:tcMar>
                    <w:left w:w="0" w:type="dxa"/>
                    <w:right w:w="0" w:type="dxa"/>
                  </w:tcMar>
                  <w:vAlign w:val="bottom"/>
                </w:tcPr>
                <w:p w14:paraId="13348BE3" w14:textId="77777777" w:rsidR="00FC17BC" w:rsidRPr="00DF3006" w:rsidRDefault="00FC17BC" w:rsidP="00025E55">
                  <w:pPr>
                    <w:pStyle w:val="Normaltabletextleft"/>
                    <w:tabs>
                      <w:tab w:val="left" w:pos="0"/>
                    </w:tabs>
                    <w:spacing w:line="240" w:lineRule="auto"/>
                    <w:rPr>
                      <w:color w:val="414042" w:themeColor="text1"/>
                      <w:lang w:eastAsia="en-AU"/>
                    </w:rPr>
                  </w:pPr>
                </w:p>
                <w:p w14:paraId="61E72CF9"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7CB53E6B"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02899A3"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409AEB5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2433C61"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560017FC" w14:textId="77777777" w:rsidTr="00025E55">
              <w:trPr>
                <w:trHeight w:val="20"/>
              </w:trPr>
              <w:tc>
                <w:tcPr>
                  <w:tcW w:w="5529" w:type="dxa"/>
                  <w:tcBorders>
                    <w:top w:val="nil"/>
                    <w:left w:val="nil"/>
                    <w:bottom w:val="nil"/>
                  </w:tcBorders>
                  <w:noWrap/>
                  <w:tcMar>
                    <w:left w:w="0" w:type="dxa"/>
                    <w:right w:w="0" w:type="dxa"/>
                  </w:tcMar>
                  <w:vAlign w:val="bottom"/>
                </w:tcPr>
                <w:p w14:paraId="3D78613D"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4E373767"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75546E1"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5D8D051F"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60A58DF"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0CAACD8C" w14:textId="77777777" w:rsidTr="00025E55">
              <w:trPr>
                <w:trHeight w:val="20"/>
              </w:trPr>
              <w:tc>
                <w:tcPr>
                  <w:tcW w:w="5529" w:type="dxa"/>
                  <w:tcBorders>
                    <w:top w:val="nil"/>
                    <w:left w:val="nil"/>
                    <w:bottom w:val="nil"/>
                  </w:tcBorders>
                  <w:noWrap/>
                  <w:tcMar>
                    <w:left w:w="0" w:type="dxa"/>
                    <w:right w:w="0" w:type="dxa"/>
                  </w:tcMar>
                  <w:vAlign w:val="bottom"/>
                </w:tcPr>
                <w:p w14:paraId="5CA5087E" w14:textId="77777777" w:rsidR="00FC17BC" w:rsidRPr="00DF3006" w:rsidRDefault="00FC17BC" w:rsidP="00025E55">
                  <w:pPr>
                    <w:pStyle w:val="Normaltabletextleft"/>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4243C3D5"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CBC9819"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2A23C92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9E7CCDB"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53B3C1CD" w14:textId="77777777" w:rsidTr="00025E55">
              <w:trPr>
                <w:trHeight w:val="20"/>
              </w:trPr>
              <w:tc>
                <w:tcPr>
                  <w:tcW w:w="5529" w:type="dxa"/>
                  <w:tcBorders>
                    <w:top w:val="nil"/>
                    <w:left w:val="nil"/>
                    <w:bottom w:val="nil"/>
                  </w:tcBorders>
                  <w:noWrap/>
                  <w:tcMar>
                    <w:left w:w="0" w:type="dxa"/>
                    <w:right w:w="0" w:type="dxa"/>
                  </w:tcMar>
                  <w:vAlign w:val="bottom"/>
                </w:tcPr>
                <w:p w14:paraId="0F9C1B20" w14:textId="77777777" w:rsidR="00FC17BC" w:rsidRPr="00DF3006" w:rsidRDefault="00FC17BC" w:rsidP="00025E55">
                  <w:pPr>
                    <w:pStyle w:val="Normaltabletextleft"/>
                    <w:tabs>
                      <w:tab w:val="left" w:pos="0"/>
                    </w:tabs>
                    <w:spacing w:line="240" w:lineRule="auto"/>
                    <w:rPr>
                      <w:color w:val="414042" w:themeColor="text1"/>
                      <w:lang w:eastAsia="en-AU"/>
                    </w:rPr>
                  </w:pPr>
                  <w:proofErr w:type="spellStart"/>
                  <w:r w:rsidRPr="00DF3006">
                    <w:rPr>
                      <w:color w:val="414042" w:themeColor="text1"/>
                      <w:lang w:eastAsia="en-AU"/>
                    </w:rPr>
                    <w:t>Imprest</w:t>
                  </w:r>
                  <w:proofErr w:type="spellEnd"/>
                  <w:r w:rsidRPr="00DF3006">
                    <w:rPr>
                      <w:color w:val="414042" w:themeColor="text1"/>
                      <w:lang w:eastAsia="en-AU"/>
                    </w:rPr>
                    <w:t xml:space="preserve"> accounts</w:t>
                  </w:r>
                </w:p>
              </w:tc>
              <w:tc>
                <w:tcPr>
                  <w:tcW w:w="567" w:type="dxa"/>
                  <w:tcBorders>
                    <w:top w:val="nil"/>
                    <w:bottom w:val="nil"/>
                  </w:tcBorders>
                  <w:noWrap/>
                  <w:tcMar>
                    <w:left w:w="0" w:type="dxa"/>
                    <w:right w:w="0" w:type="dxa"/>
                  </w:tcMar>
                  <w:vAlign w:val="bottom"/>
                </w:tcPr>
                <w:p w14:paraId="72C954FE"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0CE813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w:t>
                  </w:r>
                </w:p>
              </w:tc>
              <w:tc>
                <w:tcPr>
                  <w:tcW w:w="283" w:type="dxa"/>
                  <w:tcBorders>
                    <w:top w:val="nil"/>
                    <w:bottom w:val="nil"/>
                  </w:tcBorders>
                  <w:noWrap/>
                </w:tcPr>
                <w:p w14:paraId="7D401F60"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000A48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8</w:t>
                  </w:r>
                </w:p>
              </w:tc>
            </w:tr>
            <w:tr w:rsidR="00DF3006" w:rsidRPr="00DF3006" w14:paraId="391E49F9" w14:textId="77777777" w:rsidTr="00025E55">
              <w:trPr>
                <w:trHeight w:val="20"/>
              </w:trPr>
              <w:tc>
                <w:tcPr>
                  <w:tcW w:w="5529" w:type="dxa"/>
                  <w:tcBorders>
                    <w:top w:val="nil"/>
                    <w:left w:val="nil"/>
                    <w:bottom w:val="nil"/>
                  </w:tcBorders>
                  <w:noWrap/>
                  <w:tcMar>
                    <w:left w:w="0" w:type="dxa"/>
                    <w:right w:w="0" w:type="dxa"/>
                  </w:tcMar>
                  <w:vAlign w:val="bottom"/>
                </w:tcPr>
                <w:p w14:paraId="321EC69E"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 xml:space="preserve">Cash at bank </w:t>
                  </w:r>
                </w:p>
              </w:tc>
              <w:tc>
                <w:tcPr>
                  <w:tcW w:w="567" w:type="dxa"/>
                  <w:tcBorders>
                    <w:top w:val="nil"/>
                    <w:bottom w:val="nil"/>
                  </w:tcBorders>
                  <w:noWrap/>
                  <w:tcMar>
                    <w:left w:w="0" w:type="dxa"/>
                    <w:right w:w="0" w:type="dxa"/>
                  </w:tcMar>
                  <w:vAlign w:val="bottom"/>
                </w:tcPr>
                <w:p w14:paraId="61B65983"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B94E6A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2,155</w:t>
                  </w:r>
                </w:p>
              </w:tc>
              <w:tc>
                <w:tcPr>
                  <w:tcW w:w="283" w:type="dxa"/>
                  <w:tcBorders>
                    <w:top w:val="nil"/>
                    <w:bottom w:val="nil"/>
                  </w:tcBorders>
                  <w:noWrap/>
                </w:tcPr>
                <w:p w14:paraId="0A62973A"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35042C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1,452</w:t>
                  </w:r>
                </w:p>
              </w:tc>
            </w:tr>
            <w:tr w:rsidR="00DF3006" w:rsidRPr="00DF3006" w14:paraId="23A5E9DF" w14:textId="77777777" w:rsidTr="00025E55">
              <w:trPr>
                <w:trHeight w:val="20"/>
              </w:trPr>
              <w:tc>
                <w:tcPr>
                  <w:tcW w:w="5529" w:type="dxa"/>
                  <w:tcBorders>
                    <w:top w:val="nil"/>
                    <w:left w:val="nil"/>
                    <w:bottom w:val="nil"/>
                  </w:tcBorders>
                  <w:noWrap/>
                  <w:tcMar>
                    <w:left w:w="0" w:type="dxa"/>
                    <w:right w:w="0" w:type="dxa"/>
                  </w:tcMar>
                  <w:vAlign w:val="bottom"/>
                </w:tcPr>
                <w:p w14:paraId="5A089718"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Term deposits</w:t>
                  </w:r>
                </w:p>
              </w:tc>
              <w:tc>
                <w:tcPr>
                  <w:tcW w:w="567" w:type="dxa"/>
                  <w:tcBorders>
                    <w:top w:val="nil"/>
                    <w:bottom w:val="nil"/>
                  </w:tcBorders>
                  <w:noWrap/>
                  <w:tcMar>
                    <w:left w:w="0" w:type="dxa"/>
                    <w:right w:w="0" w:type="dxa"/>
                  </w:tcMar>
                  <w:vAlign w:val="bottom"/>
                </w:tcPr>
                <w:p w14:paraId="1699690F"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660292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23,057</w:t>
                  </w:r>
                </w:p>
              </w:tc>
              <w:tc>
                <w:tcPr>
                  <w:tcW w:w="283" w:type="dxa"/>
                  <w:tcBorders>
                    <w:top w:val="nil"/>
                    <w:bottom w:val="nil"/>
                  </w:tcBorders>
                  <w:noWrap/>
                </w:tcPr>
                <w:p w14:paraId="0217D30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70771C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17,435</w:t>
                  </w:r>
                </w:p>
              </w:tc>
            </w:tr>
            <w:tr w:rsidR="00DF3006" w:rsidRPr="00DF3006" w14:paraId="7149AD04" w14:textId="77777777" w:rsidTr="00025E55">
              <w:trPr>
                <w:trHeight w:val="20"/>
              </w:trPr>
              <w:tc>
                <w:tcPr>
                  <w:tcW w:w="5529" w:type="dxa"/>
                  <w:tcBorders>
                    <w:top w:val="nil"/>
                    <w:left w:val="nil"/>
                    <w:bottom w:val="nil"/>
                  </w:tcBorders>
                  <w:noWrap/>
                  <w:tcMar>
                    <w:left w:w="0" w:type="dxa"/>
                    <w:right w:w="0" w:type="dxa"/>
                  </w:tcMar>
                  <w:vAlign w:val="bottom"/>
                </w:tcPr>
                <w:p w14:paraId="2F09C80F"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254CBC32"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0BDC8E5A"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25,215</w:t>
                  </w:r>
                </w:p>
              </w:tc>
              <w:tc>
                <w:tcPr>
                  <w:tcW w:w="283" w:type="dxa"/>
                  <w:tcBorders>
                    <w:top w:val="nil"/>
                    <w:bottom w:val="nil"/>
                  </w:tcBorders>
                  <w:noWrap/>
                </w:tcPr>
                <w:p w14:paraId="274DD16A"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F678441"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18,895</w:t>
                  </w:r>
                </w:p>
              </w:tc>
            </w:tr>
          </w:tbl>
          <w:p w14:paraId="327F78F3" w14:textId="77777777" w:rsidR="00FC17BC" w:rsidRPr="00DF3006" w:rsidRDefault="00FC17BC" w:rsidP="00025E55">
            <w:pPr>
              <w:rPr>
                <w:b/>
                <w:color w:val="414042" w:themeColor="text1"/>
              </w:rPr>
            </w:pPr>
          </w:p>
          <w:p w14:paraId="5F4FDDEA" w14:textId="77777777" w:rsidR="00FC17BC" w:rsidRPr="00DF3006" w:rsidRDefault="00FC17BC" w:rsidP="00025E55">
            <w:pPr>
              <w:jc w:val="both"/>
              <w:rPr>
                <w:b/>
                <w:color w:val="414042" w:themeColor="text1"/>
              </w:rPr>
            </w:pPr>
          </w:p>
          <w:p w14:paraId="16013978" w14:textId="77777777" w:rsidR="00FC17BC" w:rsidRPr="00DF3006" w:rsidRDefault="00FC17BC" w:rsidP="001C06A7">
            <w:pPr>
              <w:pStyle w:val="Normal115pttext"/>
              <w:spacing w:line="240" w:lineRule="auto"/>
              <w:rPr>
                <w:color w:val="414042" w:themeColor="text1"/>
              </w:rPr>
            </w:pPr>
            <w:r w:rsidRPr="00DF3006">
              <w:rPr>
                <w:color w:val="414042" w:themeColor="text1"/>
              </w:rPr>
              <w:t>Note 8:  Intangible Assets</w:t>
            </w:r>
          </w:p>
          <w:p w14:paraId="480673CE" w14:textId="77777777" w:rsidR="00FC17BC" w:rsidRPr="00DF3006" w:rsidRDefault="00FC17BC" w:rsidP="00025E55">
            <w:pPr>
              <w:pStyle w:val="Normal1stpara"/>
              <w:spacing w:line="240" w:lineRule="auto"/>
              <w:jc w:val="both"/>
              <w:rPr>
                <w:color w:val="414042" w:themeColor="text1"/>
              </w:rPr>
            </w:pP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DF3006" w:rsidRPr="00DF3006" w14:paraId="3201B192" w14:textId="77777777" w:rsidTr="00025E55">
              <w:tc>
                <w:tcPr>
                  <w:tcW w:w="9067" w:type="dxa"/>
                </w:tcPr>
                <w:p w14:paraId="3A957D0E"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13EB460D" w14:textId="77777777" w:rsidR="00FC17BC" w:rsidRPr="00DF3006" w:rsidRDefault="00FC17BC" w:rsidP="00025E55">
                  <w:pPr>
                    <w:pStyle w:val="Policyfollowingparas"/>
                    <w:spacing w:line="240" w:lineRule="auto"/>
                    <w:rPr>
                      <w:bCs/>
                      <w:iCs/>
                      <w:color w:val="414042" w:themeColor="text1"/>
                    </w:rPr>
                  </w:pPr>
                  <w:r w:rsidRPr="00DF3006">
                    <w:rPr>
                      <w:b/>
                      <w:i/>
                      <w:color w:val="414042" w:themeColor="text1"/>
                    </w:rPr>
                    <w:t xml:space="preserve">Recognition – </w:t>
                  </w:r>
                  <w:r w:rsidRPr="00DF3006">
                    <w:rPr>
                      <w:bCs/>
                      <w:iCs/>
                      <w:color w:val="414042" w:themeColor="text1"/>
                    </w:rPr>
                    <w:t xml:space="preserve">Intangible assets of the CCC comprise purchased software and internally developed software. Intangible assets with a historical cost or other value equal to or greater than $100,000 are recognised in the financial statements. Items with a lesser value are expensed. Any training costs are expensed as incurred. </w:t>
                  </w:r>
                </w:p>
                <w:p w14:paraId="43EB0A88" w14:textId="77777777" w:rsidR="00FC17BC" w:rsidRPr="00DF3006" w:rsidRDefault="00FC17BC" w:rsidP="00025E55">
                  <w:pPr>
                    <w:pStyle w:val="Policyfollowingparas"/>
                    <w:spacing w:line="240" w:lineRule="auto"/>
                    <w:rPr>
                      <w:b/>
                      <w:i/>
                      <w:color w:val="414042" w:themeColor="text1"/>
                    </w:rPr>
                  </w:pPr>
                </w:p>
                <w:p w14:paraId="2AFFEAE2" w14:textId="77777777" w:rsidR="00FC17BC" w:rsidRPr="00DF3006" w:rsidRDefault="00FC17BC" w:rsidP="00025E55">
                  <w:pPr>
                    <w:pStyle w:val="Policyfollowingparas"/>
                    <w:spacing w:line="240" w:lineRule="auto"/>
                    <w:rPr>
                      <w:bCs/>
                      <w:iCs/>
                      <w:color w:val="414042" w:themeColor="text1"/>
                    </w:rPr>
                  </w:pPr>
                  <w:r w:rsidRPr="00DF3006">
                    <w:rPr>
                      <w:b/>
                      <w:i/>
                      <w:color w:val="414042" w:themeColor="text1"/>
                    </w:rPr>
                    <w:t xml:space="preserve">Measurement – </w:t>
                  </w:r>
                  <w:r w:rsidRPr="00DF3006">
                    <w:rPr>
                      <w:bCs/>
                      <w:iCs/>
                      <w:color w:val="414042" w:themeColor="text1"/>
                    </w:rPr>
                    <w:t xml:space="preserve">There is no active market for any of the CCC’s intangible assets. As such, the assets are recognised and carried at historical cost less accumulated amortisation and impairment losses (if any). </w:t>
                  </w:r>
                </w:p>
                <w:p w14:paraId="36E2B406" w14:textId="77777777" w:rsidR="00FC17BC" w:rsidRPr="00DF3006" w:rsidRDefault="00FC17BC" w:rsidP="00025E55">
                  <w:pPr>
                    <w:pStyle w:val="Policyfollowingparas"/>
                    <w:spacing w:line="240" w:lineRule="auto"/>
                    <w:rPr>
                      <w:bCs/>
                      <w:iCs/>
                      <w:color w:val="414042" w:themeColor="text1"/>
                    </w:rPr>
                  </w:pPr>
                  <w:r w:rsidRPr="00DF3006">
                    <w:rPr>
                      <w:bCs/>
                      <w:iCs/>
                      <w:color w:val="414042" w:themeColor="text1"/>
                    </w:rPr>
                    <w:t xml:space="preserve">Expenditure on research activities relating to internally generated intangible assets is recognised as an expense in the period in which it is incurred. </w:t>
                  </w:r>
                </w:p>
                <w:p w14:paraId="32210E71" w14:textId="77777777" w:rsidR="00FC17BC" w:rsidRPr="00DF3006" w:rsidRDefault="00FC17BC" w:rsidP="00025E55">
                  <w:pPr>
                    <w:pStyle w:val="Policyfollowingparas"/>
                    <w:spacing w:line="240" w:lineRule="auto"/>
                    <w:rPr>
                      <w:bCs/>
                      <w:iCs/>
                      <w:color w:val="414042" w:themeColor="text1"/>
                    </w:rPr>
                  </w:pPr>
                  <w:r w:rsidRPr="00DF3006">
                    <w:rPr>
                      <w:bCs/>
                      <w:iCs/>
                      <w:color w:val="414042" w:themeColor="text1"/>
                    </w:rPr>
                    <w:t>Costs associated with the internal development of computer software are capitalised and amortised under the amortisation policy below.</w:t>
                  </w:r>
                </w:p>
                <w:p w14:paraId="3933CABC" w14:textId="77777777" w:rsidR="00FC17BC" w:rsidRPr="00DF3006" w:rsidRDefault="00FC17BC" w:rsidP="00025E55">
                  <w:pPr>
                    <w:pStyle w:val="Policyfollowingparas"/>
                    <w:spacing w:line="240" w:lineRule="auto"/>
                    <w:rPr>
                      <w:b/>
                      <w:i/>
                      <w:color w:val="414042" w:themeColor="text1"/>
                    </w:rPr>
                  </w:pPr>
                </w:p>
                <w:p w14:paraId="12F5654B" w14:textId="77777777" w:rsidR="00FC17BC" w:rsidRPr="00DF3006" w:rsidRDefault="00FC17BC" w:rsidP="00025E55">
                  <w:pPr>
                    <w:pStyle w:val="Policyfollowingparas"/>
                    <w:spacing w:line="240" w:lineRule="auto"/>
                    <w:rPr>
                      <w:bCs/>
                      <w:iCs/>
                      <w:color w:val="414042" w:themeColor="text1"/>
                    </w:rPr>
                  </w:pPr>
                  <w:r w:rsidRPr="00DF3006">
                    <w:rPr>
                      <w:b/>
                      <w:i/>
                      <w:color w:val="414042" w:themeColor="text1"/>
                    </w:rPr>
                    <w:t xml:space="preserve">Amortisation Expense – </w:t>
                  </w:r>
                  <w:r w:rsidRPr="00DF3006">
                    <w:rPr>
                      <w:bCs/>
                      <w:iCs/>
                      <w:color w:val="414042" w:themeColor="text1"/>
                    </w:rPr>
                    <w:t xml:space="preserve">All intangible assets of the CCC have finite useful lives and are amortised on a straight-line basis over their estimated useful life. Straight line amortisation is used reflecting the expected consumption of economic benefits on a progressive basis over the intangible’s useful life. The residual value of all the CCC’s intangible assets is zero. Each class of intangible asset has the following useful lives: </w:t>
                  </w:r>
                </w:p>
                <w:p w14:paraId="6B3B9D4C" w14:textId="77777777" w:rsidR="00FC17BC" w:rsidRPr="00DF3006" w:rsidRDefault="00FC17BC" w:rsidP="00025E55">
                  <w:pPr>
                    <w:pStyle w:val="Policyfollowingparas"/>
                    <w:spacing w:line="240" w:lineRule="auto"/>
                    <w:rPr>
                      <w:bCs/>
                      <w:iCs/>
                      <w:color w:val="414042" w:themeColor="text1"/>
                    </w:rPr>
                  </w:pPr>
                </w:p>
                <w:p w14:paraId="690E6F82" w14:textId="77777777" w:rsidR="00FC17BC" w:rsidRPr="00DF3006" w:rsidRDefault="00FC17BC" w:rsidP="00025E55">
                  <w:pPr>
                    <w:pStyle w:val="Policyfollowingparas"/>
                    <w:spacing w:line="240" w:lineRule="auto"/>
                    <w:rPr>
                      <w:i/>
                      <w:color w:val="414042" w:themeColor="text1"/>
                    </w:rPr>
                  </w:pPr>
                  <w:r w:rsidRPr="00DF3006">
                    <w:rPr>
                      <w:i/>
                      <w:color w:val="414042" w:themeColor="text1"/>
                    </w:rPr>
                    <w:t>Intangible Assets:</w:t>
                  </w:r>
                </w:p>
                <w:p w14:paraId="69D8B4A7" w14:textId="77777777" w:rsidR="00FC17BC" w:rsidRPr="00DF3006" w:rsidRDefault="00FC17BC" w:rsidP="00025E55">
                  <w:pPr>
                    <w:pStyle w:val="Policyindented"/>
                    <w:tabs>
                      <w:tab w:val="clear" w:pos="4536"/>
                      <w:tab w:val="left" w:pos="4820"/>
                      <w:tab w:val="left" w:pos="5692"/>
                    </w:tabs>
                    <w:spacing w:line="240" w:lineRule="auto"/>
                    <w:rPr>
                      <w:color w:val="414042" w:themeColor="text1"/>
                    </w:rPr>
                  </w:pPr>
                  <w:r w:rsidRPr="00DF3006">
                    <w:rPr>
                      <w:color w:val="414042" w:themeColor="text1"/>
                    </w:rPr>
                    <w:t>Software purchased – existing records management system</w:t>
                  </w:r>
                  <w:r w:rsidRPr="00DF3006">
                    <w:rPr>
                      <w:color w:val="414042" w:themeColor="text1"/>
                    </w:rPr>
                    <w:tab/>
                    <w:t xml:space="preserve">14 </w:t>
                  </w:r>
                  <w:proofErr w:type="gramStart"/>
                  <w:r w:rsidRPr="00DF3006">
                    <w:rPr>
                      <w:color w:val="414042" w:themeColor="text1"/>
                    </w:rPr>
                    <w:t>years</w:t>
                  </w:r>
                  <w:proofErr w:type="gramEnd"/>
                </w:p>
                <w:p w14:paraId="3997501F" w14:textId="77777777" w:rsidR="00FC17BC" w:rsidRPr="00DF3006" w:rsidRDefault="00FC17BC" w:rsidP="00025E55">
                  <w:pPr>
                    <w:pStyle w:val="Policyindented"/>
                    <w:tabs>
                      <w:tab w:val="clear" w:pos="4536"/>
                      <w:tab w:val="left" w:pos="5692"/>
                    </w:tabs>
                    <w:spacing w:line="240" w:lineRule="auto"/>
                    <w:rPr>
                      <w:color w:val="414042" w:themeColor="text1"/>
                    </w:rPr>
                  </w:pPr>
                  <w:r w:rsidRPr="00DF3006">
                    <w:rPr>
                      <w:color w:val="414042" w:themeColor="text1"/>
                    </w:rPr>
                    <w:t xml:space="preserve">Software internally generated                                                               5 </w:t>
                  </w:r>
                  <w:proofErr w:type="gramStart"/>
                  <w:r w:rsidRPr="00DF3006">
                    <w:rPr>
                      <w:color w:val="414042" w:themeColor="text1"/>
                    </w:rPr>
                    <w:t>years</w:t>
                  </w:r>
                  <w:proofErr w:type="gramEnd"/>
                </w:p>
                <w:p w14:paraId="7CE98CD9" w14:textId="77777777" w:rsidR="00FC17BC" w:rsidRPr="00DF3006" w:rsidRDefault="00FC17BC" w:rsidP="00025E55">
                  <w:pPr>
                    <w:pStyle w:val="Policyfollowingparas"/>
                    <w:spacing w:line="240" w:lineRule="auto"/>
                    <w:rPr>
                      <w:bCs/>
                      <w:iCs/>
                      <w:color w:val="414042" w:themeColor="text1"/>
                    </w:rPr>
                  </w:pPr>
                </w:p>
                <w:p w14:paraId="26CD6E00" w14:textId="77777777" w:rsidR="00FC17BC" w:rsidRPr="00DF3006" w:rsidRDefault="00FC17BC" w:rsidP="00025E55">
                  <w:pPr>
                    <w:pStyle w:val="Policyfollowingparas"/>
                    <w:spacing w:line="240" w:lineRule="auto"/>
                    <w:rPr>
                      <w:color w:val="414042" w:themeColor="text1"/>
                    </w:rPr>
                  </w:pPr>
                </w:p>
              </w:tc>
            </w:tr>
          </w:tbl>
          <w:p w14:paraId="0605F107" w14:textId="77777777" w:rsidR="00FC17BC" w:rsidRPr="00DF3006" w:rsidRDefault="00FC17BC" w:rsidP="00025E55">
            <w:pPr>
              <w:pStyle w:val="Normal115pttext"/>
              <w:spacing w:line="240" w:lineRule="auto"/>
              <w:jc w:val="both"/>
              <w:rPr>
                <w:color w:val="414042" w:themeColor="text1"/>
              </w:rPr>
            </w:pPr>
          </w:p>
          <w:p w14:paraId="2CFC5BDB" w14:textId="67529691" w:rsidR="00FC17BC" w:rsidRPr="00DF3006" w:rsidRDefault="00FC17BC" w:rsidP="001C06A7">
            <w:pPr>
              <w:pStyle w:val="Normal115pttext"/>
              <w:spacing w:line="240" w:lineRule="auto"/>
              <w:rPr>
                <w:color w:val="414042" w:themeColor="text1"/>
              </w:rPr>
            </w:pPr>
            <w:r w:rsidRPr="00DF3006">
              <w:rPr>
                <w:color w:val="414042" w:themeColor="text1"/>
              </w:rPr>
              <w:t>Note 8:  Intangible Assets (cont’d)</w:t>
            </w:r>
          </w:p>
          <w:p w14:paraId="666714E9" w14:textId="77777777" w:rsidR="00CC5BBF" w:rsidRPr="00DF3006" w:rsidRDefault="00CC5BBF" w:rsidP="00CC5BBF">
            <w:pPr>
              <w:pStyle w:val="Normaltabletextleft"/>
              <w:tabs>
                <w:tab w:val="left" w:pos="0"/>
              </w:tabs>
              <w:spacing w:line="240" w:lineRule="auto"/>
              <w:rPr>
                <w:color w:val="414042" w:themeColor="text1"/>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534A288A" w14:textId="77777777" w:rsidTr="00025E55">
              <w:trPr>
                <w:trHeight w:val="20"/>
              </w:trPr>
              <w:tc>
                <w:tcPr>
                  <w:tcW w:w="5529" w:type="dxa"/>
                  <w:tcBorders>
                    <w:top w:val="nil"/>
                    <w:left w:val="nil"/>
                    <w:bottom w:val="nil"/>
                  </w:tcBorders>
                  <w:noWrap/>
                  <w:tcMar>
                    <w:left w:w="0" w:type="dxa"/>
                    <w:right w:w="0" w:type="dxa"/>
                  </w:tcMar>
                  <w:vAlign w:val="bottom"/>
                </w:tcPr>
                <w:p w14:paraId="46FA9D27" w14:textId="77777777" w:rsidR="00FC17BC" w:rsidRPr="00DF3006" w:rsidRDefault="00FC17BC" w:rsidP="00025E55">
                  <w:pPr>
                    <w:pStyle w:val="Normaltabletextleft"/>
                    <w:tabs>
                      <w:tab w:val="left" w:pos="0"/>
                    </w:tabs>
                    <w:spacing w:line="240" w:lineRule="auto"/>
                    <w:rPr>
                      <w:color w:val="414042" w:themeColor="text1"/>
                      <w:lang w:eastAsia="en-AU"/>
                    </w:rPr>
                  </w:pPr>
                </w:p>
                <w:p w14:paraId="176BACD9"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18D2C5D8"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8FCAE1B"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40B03C5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406C897"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459A6B75" w14:textId="77777777" w:rsidTr="00025E55">
              <w:trPr>
                <w:trHeight w:val="20"/>
              </w:trPr>
              <w:tc>
                <w:tcPr>
                  <w:tcW w:w="5529" w:type="dxa"/>
                  <w:tcBorders>
                    <w:top w:val="nil"/>
                    <w:left w:val="nil"/>
                    <w:bottom w:val="nil"/>
                  </w:tcBorders>
                  <w:noWrap/>
                  <w:tcMar>
                    <w:left w:w="0" w:type="dxa"/>
                    <w:right w:w="0" w:type="dxa"/>
                  </w:tcMar>
                  <w:vAlign w:val="bottom"/>
                </w:tcPr>
                <w:p w14:paraId="5F020E3F"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6CE9781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3B168E4"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5811DEF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0A2EE3D"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4777A9EC" w14:textId="77777777" w:rsidTr="00025E55">
              <w:trPr>
                <w:trHeight w:val="20"/>
              </w:trPr>
              <w:tc>
                <w:tcPr>
                  <w:tcW w:w="5529" w:type="dxa"/>
                  <w:tcBorders>
                    <w:top w:val="nil"/>
                    <w:left w:val="nil"/>
                    <w:bottom w:val="nil"/>
                  </w:tcBorders>
                  <w:noWrap/>
                  <w:tcMar>
                    <w:left w:w="0" w:type="dxa"/>
                    <w:right w:w="0" w:type="dxa"/>
                  </w:tcMar>
                  <w:vAlign w:val="bottom"/>
                </w:tcPr>
                <w:p w14:paraId="5019446A"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Software purchased</w:t>
                  </w:r>
                </w:p>
              </w:tc>
              <w:tc>
                <w:tcPr>
                  <w:tcW w:w="567" w:type="dxa"/>
                  <w:tcBorders>
                    <w:top w:val="nil"/>
                    <w:bottom w:val="nil"/>
                  </w:tcBorders>
                  <w:noWrap/>
                  <w:tcMar>
                    <w:left w:w="0" w:type="dxa"/>
                    <w:right w:w="0" w:type="dxa"/>
                  </w:tcMar>
                  <w:vAlign w:val="bottom"/>
                </w:tcPr>
                <w:p w14:paraId="74627956"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0D5C87D"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24791AC9"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5054D69"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5F6FB7D5" w14:textId="77777777" w:rsidTr="00025E55">
              <w:trPr>
                <w:trHeight w:val="20"/>
              </w:trPr>
              <w:tc>
                <w:tcPr>
                  <w:tcW w:w="5529" w:type="dxa"/>
                  <w:tcBorders>
                    <w:top w:val="nil"/>
                    <w:left w:val="nil"/>
                    <w:bottom w:val="nil"/>
                  </w:tcBorders>
                  <w:noWrap/>
                  <w:tcMar>
                    <w:left w:w="0" w:type="dxa"/>
                    <w:right w:w="0" w:type="dxa"/>
                  </w:tcMar>
                  <w:vAlign w:val="bottom"/>
                </w:tcPr>
                <w:p w14:paraId="54BE8CC3" w14:textId="77777777" w:rsidR="00FC17BC" w:rsidRPr="00DF3006" w:rsidRDefault="00FC17BC" w:rsidP="00025E55">
                  <w:pPr>
                    <w:pStyle w:val="Normaltabletextleft"/>
                    <w:tabs>
                      <w:tab w:val="left" w:pos="0"/>
                    </w:tabs>
                    <w:spacing w:line="240" w:lineRule="auto"/>
                    <w:ind w:left="454"/>
                    <w:rPr>
                      <w:color w:val="414042" w:themeColor="text1"/>
                      <w:lang w:eastAsia="en-AU"/>
                    </w:rPr>
                  </w:pPr>
                  <w:r w:rsidRPr="00DF3006">
                    <w:rPr>
                      <w:color w:val="414042" w:themeColor="text1"/>
                      <w:lang w:eastAsia="en-AU"/>
                    </w:rPr>
                    <w:t>At cost</w:t>
                  </w:r>
                </w:p>
              </w:tc>
              <w:tc>
                <w:tcPr>
                  <w:tcW w:w="567" w:type="dxa"/>
                  <w:tcBorders>
                    <w:top w:val="nil"/>
                    <w:bottom w:val="nil"/>
                  </w:tcBorders>
                  <w:noWrap/>
                  <w:tcMar>
                    <w:left w:w="0" w:type="dxa"/>
                    <w:right w:w="0" w:type="dxa"/>
                  </w:tcMar>
                  <w:vAlign w:val="bottom"/>
                </w:tcPr>
                <w:p w14:paraId="2D2B005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5B9BC5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693</w:t>
                  </w:r>
                </w:p>
              </w:tc>
              <w:tc>
                <w:tcPr>
                  <w:tcW w:w="283" w:type="dxa"/>
                  <w:tcBorders>
                    <w:top w:val="nil"/>
                    <w:bottom w:val="nil"/>
                  </w:tcBorders>
                  <w:noWrap/>
                </w:tcPr>
                <w:p w14:paraId="217C07B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E3FC4D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693</w:t>
                  </w:r>
                </w:p>
              </w:tc>
            </w:tr>
            <w:tr w:rsidR="00DF3006" w:rsidRPr="00DF3006" w14:paraId="607467A7" w14:textId="77777777" w:rsidTr="00025E55">
              <w:trPr>
                <w:trHeight w:val="20"/>
              </w:trPr>
              <w:tc>
                <w:tcPr>
                  <w:tcW w:w="5529" w:type="dxa"/>
                  <w:tcBorders>
                    <w:top w:val="nil"/>
                    <w:left w:val="nil"/>
                    <w:bottom w:val="nil"/>
                  </w:tcBorders>
                  <w:noWrap/>
                  <w:tcMar>
                    <w:left w:w="0" w:type="dxa"/>
                    <w:right w:w="0" w:type="dxa"/>
                  </w:tcMar>
                  <w:vAlign w:val="bottom"/>
                </w:tcPr>
                <w:p w14:paraId="5BEC6202" w14:textId="77777777" w:rsidR="00FC17BC" w:rsidRPr="00DF3006" w:rsidRDefault="00FC17BC" w:rsidP="00025E55">
                  <w:pPr>
                    <w:pStyle w:val="Normaltabletextleft"/>
                    <w:tabs>
                      <w:tab w:val="left" w:pos="0"/>
                    </w:tabs>
                    <w:spacing w:line="240" w:lineRule="auto"/>
                    <w:ind w:left="454"/>
                    <w:rPr>
                      <w:color w:val="414042" w:themeColor="text1"/>
                      <w:lang w:eastAsia="en-AU"/>
                    </w:rPr>
                  </w:pPr>
                  <w:r w:rsidRPr="00DF3006">
                    <w:rPr>
                      <w:color w:val="414042" w:themeColor="text1"/>
                      <w:lang w:eastAsia="en-AU"/>
                    </w:rPr>
                    <w:t>Less: Accumulated amortisation</w:t>
                  </w:r>
                </w:p>
              </w:tc>
              <w:tc>
                <w:tcPr>
                  <w:tcW w:w="567" w:type="dxa"/>
                  <w:tcBorders>
                    <w:top w:val="nil"/>
                    <w:bottom w:val="nil"/>
                  </w:tcBorders>
                  <w:noWrap/>
                  <w:tcMar>
                    <w:left w:w="0" w:type="dxa"/>
                    <w:right w:w="0" w:type="dxa"/>
                  </w:tcMar>
                  <w:vAlign w:val="bottom"/>
                </w:tcPr>
                <w:p w14:paraId="1678DBB1"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single" w:sz="4" w:space="0" w:color="auto"/>
                  </w:tcBorders>
                  <w:shd w:val="clear" w:color="auto" w:fill="D9D9D9" w:themeFill="background1" w:themeFillShade="D9"/>
                  <w:noWrap/>
                  <w:tcMar>
                    <w:left w:w="0" w:type="dxa"/>
                    <w:right w:w="113" w:type="dxa"/>
                  </w:tcMar>
                  <w:vAlign w:val="bottom"/>
                </w:tcPr>
                <w:p w14:paraId="3590DD8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(684)</w:t>
                  </w:r>
                </w:p>
              </w:tc>
              <w:tc>
                <w:tcPr>
                  <w:tcW w:w="283" w:type="dxa"/>
                  <w:tcBorders>
                    <w:top w:val="nil"/>
                    <w:bottom w:val="nil"/>
                  </w:tcBorders>
                  <w:noWrap/>
                </w:tcPr>
                <w:p w14:paraId="118F8825"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4A66AFD5"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(677)</w:t>
                  </w:r>
                </w:p>
              </w:tc>
            </w:tr>
            <w:tr w:rsidR="00DF3006" w:rsidRPr="00DF3006" w14:paraId="21F415BD" w14:textId="77777777" w:rsidTr="00025E55">
              <w:trPr>
                <w:trHeight w:val="20"/>
              </w:trPr>
              <w:tc>
                <w:tcPr>
                  <w:tcW w:w="5529" w:type="dxa"/>
                  <w:tcBorders>
                    <w:top w:val="nil"/>
                    <w:left w:val="nil"/>
                    <w:bottom w:val="nil"/>
                  </w:tcBorders>
                  <w:noWrap/>
                  <w:tcMar>
                    <w:left w:w="0" w:type="dxa"/>
                    <w:right w:w="0" w:type="dxa"/>
                  </w:tcMar>
                  <w:vAlign w:val="bottom"/>
                </w:tcPr>
                <w:p w14:paraId="6CB9535F" w14:textId="77777777" w:rsidR="00FC17BC" w:rsidRPr="00DF3006" w:rsidRDefault="00FC17BC" w:rsidP="00025E55">
                  <w:pPr>
                    <w:pStyle w:val="Normaltabletextleft"/>
                    <w:tabs>
                      <w:tab w:val="left" w:pos="0"/>
                    </w:tabs>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1CC05E52"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nil"/>
                  </w:tcBorders>
                  <w:shd w:val="clear" w:color="auto" w:fill="D9D9D9" w:themeFill="background1" w:themeFillShade="D9"/>
                  <w:noWrap/>
                  <w:tcMar>
                    <w:left w:w="0" w:type="dxa"/>
                    <w:right w:w="113" w:type="dxa"/>
                  </w:tcMar>
                  <w:vAlign w:val="bottom"/>
                </w:tcPr>
                <w:p w14:paraId="1AEF3E8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9</w:t>
                  </w:r>
                </w:p>
              </w:tc>
              <w:tc>
                <w:tcPr>
                  <w:tcW w:w="283" w:type="dxa"/>
                  <w:tcBorders>
                    <w:top w:val="nil"/>
                    <w:bottom w:val="nil"/>
                  </w:tcBorders>
                  <w:noWrap/>
                </w:tcPr>
                <w:p w14:paraId="673F0A4C" w14:textId="77777777" w:rsidR="00FC17BC" w:rsidRPr="00DF3006" w:rsidRDefault="00FC17BC" w:rsidP="00025E55">
                  <w:pPr>
                    <w:pStyle w:val="Normaltabletextleft"/>
                    <w:spacing w:line="240" w:lineRule="auto"/>
                    <w:rPr>
                      <w:color w:val="414042" w:themeColor="text1"/>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787B017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16</w:t>
                  </w:r>
                </w:p>
              </w:tc>
            </w:tr>
            <w:tr w:rsidR="00DF3006" w:rsidRPr="00DF3006" w14:paraId="6945A9ED" w14:textId="77777777" w:rsidTr="00025E55">
              <w:trPr>
                <w:trHeight w:val="20"/>
              </w:trPr>
              <w:tc>
                <w:tcPr>
                  <w:tcW w:w="5529" w:type="dxa"/>
                  <w:tcBorders>
                    <w:top w:val="nil"/>
                    <w:left w:val="nil"/>
                    <w:bottom w:val="nil"/>
                  </w:tcBorders>
                  <w:noWrap/>
                  <w:tcMar>
                    <w:left w:w="0" w:type="dxa"/>
                    <w:right w:w="0" w:type="dxa"/>
                  </w:tcMar>
                  <w:vAlign w:val="bottom"/>
                </w:tcPr>
                <w:p w14:paraId="2BF2AF88"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Software internally generated¹</w:t>
                  </w:r>
                </w:p>
              </w:tc>
              <w:tc>
                <w:tcPr>
                  <w:tcW w:w="567" w:type="dxa"/>
                  <w:tcBorders>
                    <w:top w:val="nil"/>
                    <w:bottom w:val="nil"/>
                  </w:tcBorders>
                  <w:noWrap/>
                  <w:tcMar>
                    <w:left w:w="0" w:type="dxa"/>
                    <w:right w:w="0" w:type="dxa"/>
                  </w:tcMar>
                  <w:vAlign w:val="bottom"/>
                </w:tcPr>
                <w:p w14:paraId="1844ACE8"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DA9F21C"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Pr>
                <w:p w14:paraId="1BB9EDFF"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6EC1099"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7AC7F7F1" w14:textId="77777777" w:rsidTr="00025E55">
              <w:trPr>
                <w:trHeight w:val="20"/>
              </w:trPr>
              <w:tc>
                <w:tcPr>
                  <w:tcW w:w="5529" w:type="dxa"/>
                  <w:tcBorders>
                    <w:top w:val="nil"/>
                    <w:left w:val="nil"/>
                    <w:bottom w:val="nil"/>
                  </w:tcBorders>
                  <w:noWrap/>
                  <w:tcMar>
                    <w:left w:w="0" w:type="dxa"/>
                    <w:right w:w="0" w:type="dxa"/>
                  </w:tcMar>
                  <w:vAlign w:val="bottom"/>
                </w:tcPr>
                <w:p w14:paraId="3094DBF7"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color w:val="414042" w:themeColor="text1"/>
                      <w:lang w:eastAsia="en-AU"/>
                    </w:rPr>
                    <w:t xml:space="preserve">          At cost</w:t>
                  </w:r>
                </w:p>
              </w:tc>
              <w:tc>
                <w:tcPr>
                  <w:tcW w:w="567" w:type="dxa"/>
                  <w:tcBorders>
                    <w:top w:val="nil"/>
                    <w:bottom w:val="nil"/>
                  </w:tcBorders>
                  <w:noWrap/>
                  <w:tcMar>
                    <w:left w:w="0" w:type="dxa"/>
                    <w:right w:w="0" w:type="dxa"/>
                  </w:tcMar>
                  <w:vAlign w:val="bottom"/>
                </w:tcPr>
                <w:p w14:paraId="59C757AA"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4F7AF2C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1370</w:t>
                  </w:r>
                </w:p>
              </w:tc>
              <w:tc>
                <w:tcPr>
                  <w:tcW w:w="283" w:type="dxa"/>
                  <w:tcBorders>
                    <w:top w:val="nil"/>
                    <w:bottom w:val="nil"/>
                  </w:tcBorders>
                  <w:noWrap/>
                </w:tcPr>
                <w:p w14:paraId="3AC12E0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00F01E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1,370</w:t>
                  </w:r>
                </w:p>
              </w:tc>
            </w:tr>
            <w:tr w:rsidR="00DF3006" w:rsidRPr="00DF3006" w14:paraId="1DD83F61" w14:textId="77777777" w:rsidTr="00025E55">
              <w:trPr>
                <w:trHeight w:val="20"/>
              </w:trPr>
              <w:tc>
                <w:tcPr>
                  <w:tcW w:w="5529" w:type="dxa"/>
                  <w:tcBorders>
                    <w:top w:val="nil"/>
                    <w:left w:val="nil"/>
                    <w:bottom w:val="nil"/>
                  </w:tcBorders>
                  <w:noWrap/>
                  <w:tcMar>
                    <w:left w:w="0" w:type="dxa"/>
                    <w:right w:w="0" w:type="dxa"/>
                  </w:tcMar>
                  <w:vAlign w:val="bottom"/>
                </w:tcPr>
                <w:p w14:paraId="647FC545" w14:textId="77777777" w:rsidR="00FC17BC" w:rsidRPr="00DF3006" w:rsidRDefault="00FC17BC" w:rsidP="00025E55">
                  <w:pPr>
                    <w:pStyle w:val="Normaltabletextleft"/>
                    <w:tabs>
                      <w:tab w:val="left" w:pos="0"/>
                      <w:tab w:val="left" w:pos="426"/>
                    </w:tabs>
                    <w:spacing w:line="240" w:lineRule="auto"/>
                    <w:rPr>
                      <w:color w:val="414042" w:themeColor="text1"/>
                      <w:lang w:eastAsia="en-AU"/>
                    </w:rPr>
                  </w:pPr>
                  <w:r w:rsidRPr="00DF3006">
                    <w:rPr>
                      <w:color w:val="414042" w:themeColor="text1"/>
                      <w:lang w:eastAsia="en-AU"/>
                    </w:rPr>
                    <w:t xml:space="preserve">          Less: Accumulated amortisation</w:t>
                  </w:r>
                </w:p>
              </w:tc>
              <w:tc>
                <w:tcPr>
                  <w:tcW w:w="567" w:type="dxa"/>
                  <w:tcBorders>
                    <w:top w:val="nil"/>
                    <w:bottom w:val="nil"/>
                  </w:tcBorders>
                  <w:noWrap/>
                  <w:tcMar>
                    <w:left w:w="0" w:type="dxa"/>
                    <w:right w:w="0" w:type="dxa"/>
                  </w:tcMar>
                  <w:vAlign w:val="bottom"/>
                </w:tcPr>
                <w:p w14:paraId="14BFD77D"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nil"/>
                    <w:bottom w:val="single" w:sz="4" w:space="0" w:color="auto"/>
                  </w:tcBorders>
                  <w:shd w:val="clear" w:color="auto" w:fill="D9D9D9" w:themeFill="background1" w:themeFillShade="D9"/>
                  <w:noWrap/>
                  <w:tcMar>
                    <w:left w:w="0" w:type="dxa"/>
                    <w:right w:w="113" w:type="dxa"/>
                  </w:tcMar>
                  <w:vAlign w:val="bottom"/>
                </w:tcPr>
                <w:p w14:paraId="1EBA8DB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(773)</w:t>
                  </w:r>
                </w:p>
              </w:tc>
              <w:tc>
                <w:tcPr>
                  <w:tcW w:w="283" w:type="dxa"/>
                  <w:tcBorders>
                    <w:top w:val="nil"/>
                    <w:bottom w:val="nil"/>
                  </w:tcBorders>
                  <w:noWrap/>
                </w:tcPr>
                <w:p w14:paraId="75DB348A"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757B7F8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(496)</w:t>
                  </w:r>
                </w:p>
              </w:tc>
            </w:tr>
            <w:tr w:rsidR="00DF3006" w:rsidRPr="00DF3006" w14:paraId="40436FAB" w14:textId="77777777" w:rsidTr="00025E55">
              <w:trPr>
                <w:trHeight w:val="20"/>
              </w:trPr>
              <w:tc>
                <w:tcPr>
                  <w:tcW w:w="5529" w:type="dxa"/>
                  <w:tcBorders>
                    <w:top w:val="nil"/>
                    <w:left w:val="nil"/>
                    <w:bottom w:val="nil"/>
                  </w:tcBorders>
                  <w:noWrap/>
                  <w:tcMar>
                    <w:left w:w="0" w:type="dxa"/>
                    <w:right w:w="0" w:type="dxa"/>
                  </w:tcMar>
                  <w:vAlign w:val="bottom"/>
                </w:tcPr>
                <w:p w14:paraId="0C041DEB"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14FC8442"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nil"/>
                  </w:tcBorders>
                  <w:shd w:val="clear" w:color="auto" w:fill="D9D9D9" w:themeFill="background1" w:themeFillShade="D9"/>
                  <w:noWrap/>
                  <w:tcMar>
                    <w:left w:w="0" w:type="dxa"/>
                    <w:right w:w="113" w:type="dxa"/>
                  </w:tcMar>
                  <w:vAlign w:val="bottom"/>
                </w:tcPr>
                <w:p w14:paraId="366AA12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597</w:t>
                  </w:r>
                </w:p>
              </w:tc>
              <w:tc>
                <w:tcPr>
                  <w:tcW w:w="283" w:type="dxa"/>
                  <w:tcBorders>
                    <w:top w:val="nil"/>
                    <w:bottom w:val="nil"/>
                  </w:tcBorders>
                  <w:noWrap/>
                </w:tcPr>
                <w:p w14:paraId="33B64D4F" w14:textId="77777777" w:rsidR="00FC17BC" w:rsidRPr="00DF3006" w:rsidRDefault="00FC17BC" w:rsidP="00025E55">
                  <w:pPr>
                    <w:pStyle w:val="Normaltabletextleft"/>
                    <w:spacing w:line="240" w:lineRule="auto"/>
                    <w:rPr>
                      <w:color w:val="414042" w:themeColor="text1"/>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73C0A33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874</w:t>
                  </w:r>
                </w:p>
              </w:tc>
            </w:tr>
            <w:tr w:rsidR="00DF3006" w:rsidRPr="00DF3006" w14:paraId="22501468" w14:textId="77777777" w:rsidTr="00025E55">
              <w:trPr>
                <w:trHeight w:val="20"/>
              </w:trPr>
              <w:tc>
                <w:tcPr>
                  <w:tcW w:w="5529" w:type="dxa"/>
                  <w:tcBorders>
                    <w:top w:val="nil"/>
                    <w:left w:val="nil"/>
                    <w:bottom w:val="nil"/>
                  </w:tcBorders>
                  <w:noWrap/>
                  <w:tcMar>
                    <w:left w:w="0" w:type="dxa"/>
                    <w:right w:w="0" w:type="dxa"/>
                  </w:tcMar>
                  <w:vAlign w:val="bottom"/>
                </w:tcPr>
                <w:p w14:paraId="761FCD8E" w14:textId="77777777" w:rsidR="00FC17BC" w:rsidRPr="00DF3006" w:rsidRDefault="00FC17BC" w:rsidP="00025E55">
                  <w:pPr>
                    <w:pStyle w:val="Normaltabletextleft"/>
                    <w:tabs>
                      <w:tab w:val="left" w:pos="426"/>
                    </w:tabs>
                    <w:spacing w:line="240" w:lineRule="auto"/>
                    <w:ind w:left="426"/>
                    <w:rPr>
                      <w:color w:val="414042" w:themeColor="text1"/>
                      <w:lang w:eastAsia="en-AU"/>
                    </w:rPr>
                  </w:pPr>
                </w:p>
              </w:tc>
              <w:tc>
                <w:tcPr>
                  <w:tcW w:w="567" w:type="dxa"/>
                  <w:tcBorders>
                    <w:top w:val="nil"/>
                    <w:bottom w:val="nil"/>
                  </w:tcBorders>
                  <w:noWrap/>
                  <w:tcMar>
                    <w:left w:w="0" w:type="dxa"/>
                    <w:right w:w="0" w:type="dxa"/>
                  </w:tcMar>
                  <w:vAlign w:val="bottom"/>
                </w:tcPr>
                <w:p w14:paraId="3D1DCA01"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ADB674C"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Pr>
                <w:p w14:paraId="0E16ADC6"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7152C45"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2DC318CD" w14:textId="77777777" w:rsidTr="00025E55">
              <w:trPr>
                <w:trHeight w:val="20"/>
              </w:trPr>
              <w:tc>
                <w:tcPr>
                  <w:tcW w:w="5529" w:type="dxa"/>
                  <w:tcBorders>
                    <w:top w:val="nil"/>
                    <w:left w:val="nil"/>
                    <w:bottom w:val="nil"/>
                  </w:tcBorders>
                  <w:noWrap/>
                  <w:tcMar>
                    <w:left w:w="0" w:type="dxa"/>
                    <w:right w:w="0" w:type="dxa"/>
                  </w:tcMar>
                  <w:vAlign w:val="bottom"/>
                </w:tcPr>
                <w:p w14:paraId="752B9C3D"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2515D4C9"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5190E9FA"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606</w:t>
                  </w:r>
                </w:p>
              </w:tc>
              <w:tc>
                <w:tcPr>
                  <w:tcW w:w="283" w:type="dxa"/>
                  <w:tcBorders>
                    <w:top w:val="nil"/>
                    <w:bottom w:val="nil"/>
                  </w:tcBorders>
                  <w:noWrap/>
                </w:tcPr>
                <w:p w14:paraId="3F6CF62F"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22D4529"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890</w:t>
                  </w:r>
                </w:p>
              </w:tc>
            </w:tr>
          </w:tbl>
          <w:p w14:paraId="309B4152" w14:textId="77777777" w:rsidR="00FC17BC" w:rsidRPr="00DF3006" w:rsidRDefault="00FC17BC" w:rsidP="00025E55">
            <w:pPr>
              <w:pStyle w:val="Normal1stpara"/>
              <w:spacing w:line="240" w:lineRule="auto"/>
              <w:rPr>
                <w:color w:val="414042" w:themeColor="text1"/>
                <w:lang w:eastAsia="en-AU"/>
              </w:rPr>
            </w:pPr>
          </w:p>
          <w:p w14:paraId="4F25C041" w14:textId="77777777" w:rsidR="00FC17BC" w:rsidRPr="00DF3006" w:rsidRDefault="00FC17BC" w:rsidP="00025E55">
            <w:pPr>
              <w:pStyle w:val="Normal1stpara"/>
              <w:spacing w:line="240" w:lineRule="auto"/>
              <w:jc w:val="both"/>
              <w:rPr>
                <w:color w:val="414042" w:themeColor="text1"/>
                <w:lang w:eastAsia="en-AU"/>
              </w:rPr>
            </w:pPr>
          </w:p>
          <w:p w14:paraId="764D52CE" w14:textId="77777777" w:rsidR="00FC17BC" w:rsidRPr="00DF3006" w:rsidRDefault="00FC17BC" w:rsidP="00025E55">
            <w:pPr>
              <w:pStyle w:val="Normal1stpara"/>
              <w:spacing w:line="240" w:lineRule="auto"/>
              <w:ind w:left="284" w:hanging="284"/>
              <w:jc w:val="both"/>
              <w:rPr>
                <w:color w:val="414042" w:themeColor="text1"/>
                <w:sz w:val="17"/>
                <w:szCs w:val="17"/>
                <w:lang w:eastAsia="en-AU"/>
              </w:rPr>
            </w:pPr>
            <w:r w:rsidRPr="00DF3006">
              <w:rPr>
                <w:color w:val="414042" w:themeColor="text1"/>
                <w:sz w:val="17"/>
                <w:szCs w:val="17"/>
                <w:lang w:eastAsia="en-AU"/>
              </w:rPr>
              <w:t>¹      The CCC’s software internally generated comprises of various computer applications under the Digital Workplace Program (</w:t>
            </w:r>
            <w:proofErr w:type="spellStart"/>
            <w:r w:rsidRPr="00DF3006">
              <w:rPr>
                <w:color w:val="414042" w:themeColor="text1"/>
                <w:sz w:val="17"/>
                <w:szCs w:val="17"/>
                <w:lang w:eastAsia="en-AU"/>
              </w:rPr>
              <w:t>DWP</w:t>
            </w:r>
            <w:proofErr w:type="spellEnd"/>
            <w:r w:rsidRPr="00DF3006">
              <w:rPr>
                <w:color w:val="414042" w:themeColor="text1"/>
                <w:sz w:val="17"/>
                <w:szCs w:val="17"/>
                <w:lang w:eastAsia="en-AU"/>
              </w:rPr>
              <w:t xml:space="preserve">) as well as the data warehousing infrastructure. </w:t>
            </w:r>
          </w:p>
          <w:p w14:paraId="0F6E96D5" w14:textId="06BB5D55" w:rsidR="00FC17BC" w:rsidRPr="00DF3006" w:rsidRDefault="00FC17BC" w:rsidP="00025E55">
            <w:pPr>
              <w:pStyle w:val="Normal1stpara"/>
              <w:spacing w:line="240" w:lineRule="auto"/>
              <w:ind w:left="142" w:hanging="142"/>
              <w:jc w:val="both"/>
              <w:rPr>
                <w:color w:val="414042" w:themeColor="text1"/>
                <w:sz w:val="20"/>
                <w:szCs w:val="20"/>
                <w:lang w:eastAsia="en-AU"/>
              </w:rPr>
            </w:pPr>
          </w:p>
          <w:p w14:paraId="5CF83AB4" w14:textId="77777777" w:rsidR="00CC5BBF" w:rsidRPr="00DF3006" w:rsidRDefault="00CC5BBF" w:rsidP="00025E55">
            <w:pPr>
              <w:pStyle w:val="Normal1stpara"/>
              <w:spacing w:line="240" w:lineRule="auto"/>
              <w:ind w:left="142" w:hanging="142"/>
              <w:jc w:val="both"/>
              <w:rPr>
                <w:color w:val="414042" w:themeColor="text1"/>
                <w:sz w:val="20"/>
                <w:szCs w:val="20"/>
                <w:lang w:eastAsia="en-AU"/>
              </w:rPr>
            </w:pPr>
          </w:p>
          <w:p w14:paraId="4A23244B" w14:textId="77777777" w:rsidR="00FC17BC" w:rsidRPr="00DF3006" w:rsidRDefault="00FC17BC" w:rsidP="00025E55">
            <w:pPr>
              <w:pStyle w:val="Normal115pttext"/>
              <w:spacing w:line="240" w:lineRule="auto"/>
              <w:jc w:val="both"/>
              <w:rPr>
                <w:rFonts w:cstheme="minorHAnsi"/>
                <w:color w:val="414042" w:themeColor="text1"/>
                <w:sz w:val="21"/>
                <w:szCs w:val="21"/>
              </w:rPr>
            </w:pPr>
            <w:r w:rsidRPr="00DF3006">
              <w:rPr>
                <w:rFonts w:cstheme="minorHAnsi"/>
                <w:color w:val="414042" w:themeColor="text1"/>
                <w:sz w:val="21"/>
                <w:szCs w:val="21"/>
              </w:rPr>
              <w:t>Intangibles Reconciliation</w:t>
            </w:r>
          </w:p>
          <w:p w14:paraId="41343786" w14:textId="77777777" w:rsidR="00FC17BC" w:rsidRPr="00DF3006" w:rsidRDefault="00FC17BC" w:rsidP="00025E55">
            <w:pPr>
              <w:pStyle w:val="Normal115pttext"/>
              <w:spacing w:line="240" w:lineRule="auto"/>
              <w:rPr>
                <w:rFonts w:cstheme="minorHAnsi"/>
                <w:color w:val="414042" w:themeColor="text1"/>
                <w:sz w:val="16"/>
                <w:szCs w:val="16"/>
              </w:rPr>
            </w:pPr>
          </w:p>
          <w:tbl>
            <w:tblPr>
              <w:tblW w:w="8789" w:type="dxa"/>
              <w:tblLayout w:type="fixed"/>
              <w:tblLook w:val="04A0" w:firstRow="1" w:lastRow="0" w:firstColumn="1" w:lastColumn="0" w:noHBand="0" w:noVBand="1"/>
            </w:tblPr>
            <w:tblGrid>
              <w:gridCol w:w="2127"/>
              <w:gridCol w:w="832"/>
              <w:gridCol w:w="833"/>
              <w:gridCol w:w="833"/>
              <w:gridCol w:w="833"/>
              <w:gridCol w:w="832"/>
              <w:gridCol w:w="833"/>
              <w:gridCol w:w="833"/>
              <w:gridCol w:w="833"/>
            </w:tblGrid>
            <w:tr w:rsidR="00DF3006" w:rsidRPr="00DF3006" w14:paraId="26CFB709" w14:textId="77777777" w:rsidTr="00025E55">
              <w:trPr>
                <w:trHeight w:val="276"/>
              </w:trPr>
              <w:tc>
                <w:tcPr>
                  <w:tcW w:w="2127" w:type="dxa"/>
                  <w:tcBorders>
                    <w:top w:val="single" w:sz="8" w:space="0" w:color="auto"/>
                    <w:left w:val="nil"/>
                    <w:bottom w:val="nil"/>
                    <w:right w:val="single" w:sz="6" w:space="0" w:color="auto"/>
                  </w:tcBorders>
                  <w:shd w:val="clear" w:color="000000" w:fill="FFFFFF"/>
                  <w:vAlign w:val="center"/>
                  <w:hideMark/>
                </w:tcPr>
                <w:p w14:paraId="0B42E733" w14:textId="77777777" w:rsidR="00FC17BC" w:rsidRPr="00DF3006" w:rsidRDefault="00FC17BC" w:rsidP="00CC5BBF">
                  <w:pPr>
                    <w:spacing w:after="0"/>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 </w:t>
                  </w:r>
                </w:p>
              </w:tc>
              <w:tc>
                <w:tcPr>
                  <w:tcW w:w="1665" w:type="dxa"/>
                  <w:gridSpan w:val="2"/>
                  <w:tcBorders>
                    <w:top w:val="single" w:sz="8" w:space="0" w:color="auto"/>
                    <w:left w:val="single" w:sz="6" w:space="0" w:color="auto"/>
                    <w:bottom w:val="single" w:sz="8" w:space="0" w:color="auto"/>
                    <w:right w:val="single" w:sz="6" w:space="0" w:color="auto"/>
                  </w:tcBorders>
                  <w:shd w:val="clear" w:color="000000" w:fill="FFFFFF"/>
                  <w:vAlign w:val="center"/>
                </w:tcPr>
                <w:p w14:paraId="20AC4900" w14:textId="77777777" w:rsidR="00FC17BC" w:rsidRPr="00DF3006" w:rsidRDefault="00FC17BC" w:rsidP="00CC5BBF">
                  <w:pPr>
                    <w:spacing w:after="0"/>
                    <w:jc w:val="center"/>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Software Purchased</w:t>
                  </w:r>
                </w:p>
              </w:tc>
              <w:tc>
                <w:tcPr>
                  <w:tcW w:w="1666"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0C7944B1"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Software Internally Generated</w:t>
                  </w:r>
                </w:p>
              </w:tc>
              <w:tc>
                <w:tcPr>
                  <w:tcW w:w="1665"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234CFCEA"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 xml:space="preserve">Software </w:t>
                  </w:r>
                  <w:r w:rsidRPr="00DF3006">
                    <w:rPr>
                      <w:rFonts w:eastAsia="Times New Roman" w:cs="Arial"/>
                      <w:b/>
                      <w:bCs/>
                      <w:color w:val="414042" w:themeColor="text1"/>
                      <w:szCs w:val="20"/>
                      <w:lang w:eastAsia="en-AU"/>
                    </w:rPr>
                    <w:br/>
                    <w:t>Work in Progress</w:t>
                  </w:r>
                  <w:r w:rsidRPr="00DF3006">
                    <w:rPr>
                      <w:color w:val="414042" w:themeColor="text1"/>
                      <w:sz w:val="17"/>
                      <w:szCs w:val="17"/>
                      <w:vertAlign w:val="superscript"/>
                      <w:lang w:eastAsia="en-AU"/>
                    </w:rPr>
                    <w:t>2</w:t>
                  </w:r>
                </w:p>
              </w:tc>
              <w:tc>
                <w:tcPr>
                  <w:tcW w:w="1666" w:type="dxa"/>
                  <w:gridSpan w:val="2"/>
                  <w:tcBorders>
                    <w:top w:val="single" w:sz="8" w:space="0" w:color="auto"/>
                    <w:left w:val="single" w:sz="6" w:space="0" w:color="auto"/>
                    <w:bottom w:val="single" w:sz="8" w:space="0" w:color="auto"/>
                    <w:right w:val="nil"/>
                  </w:tcBorders>
                  <w:shd w:val="clear" w:color="000000" w:fill="FFFFFF"/>
                  <w:vAlign w:val="center"/>
                  <w:hideMark/>
                </w:tcPr>
                <w:p w14:paraId="5B8F62D7"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Total</w:t>
                  </w:r>
                </w:p>
              </w:tc>
            </w:tr>
            <w:tr w:rsidR="00DF3006" w:rsidRPr="00DF3006" w14:paraId="2AB34C35" w14:textId="77777777" w:rsidTr="00025E55">
              <w:trPr>
                <w:trHeight w:val="300"/>
              </w:trPr>
              <w:tc>
                <w:tcPr>
                  <w:tcW w:w="2127" w:type="dxa"/>
                  <w:tcBorders>
                    <w:top w:val="nil"/>
                    <w:left w:val="nil"/>
                    <w:bottom w:val="nil"/>
                    <w:right w:val="single" w:sz="6" w:space="0" w:color="auto"/>
                  </w:tcBorders>
                  <w:shd w:val="clear" w:color="000000" w:fill="FFFFFF"/>
                  <w:vAlign w:val="center"/>
                  <w:hideMark/>
                </w:tcPr>
                <w:p w14:paraId="09ADA173"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Arial"/>
                      <w:color w:val="414042" w:themeColor="text1"/>
                      <w:szCs w:val="20"/>
                      <w:lang w:eastAsia="en-AU"/>
                    </w:rPr>
                    <w:t> </w:t>
                  </w:r>
                </w:p>
              </w:tc>
              <w:tc>
                <w:tcPr>
                  <w:tcW w:w="832" w:type="dxa"/>
                  <w:tcBorders>
                    <w:top w:val="single" w:sz="8" w:space="0" w:color="auto"/>
                    <w:left w:val="single" w:sz="6" w:space="0" w:color="auto"/>
                  </w:tcBorders>
                  <w:shd w:val="clear" w:color="auto" w:fill="D9D9D9" w:themeFill="background1" w:themeFillShade="D9"/>
                  <w:vAlign w:val="center"/>
                </w:tcPr>
                <w:p w14:paraId="65176FB3" w14:textId="77777777" w:rsidR="00FC17BC" w:rsidRPr="00DF3006" w:rsidRDefault="00FC17BC" w:rsidP="00CC5BBF">
                  <w:pPr>
                    <w:spacing w:after="0"/>
                    <w:ind w:hanging="250"/>
                    <w:jc w:val="right"/>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2023</w:t>
                  </w:r>
                </w:p>
              </w:tc>
              <w:tc>
                <w:tcPr>
                  <w:tcW w:w="833" w:type="dxa"/>
                  <w:tcBorders>
                    <w:top w:val="single" w:sz="8" w:space="0" w:color="auto"/>
                    <w:right w:val="single" w:sz="6" w:space="0" w:color="auto"/>
                  </w:tcBorders>
                  <w:shd w:val="clear" w:color="auto" w:fill="auto"/>
                  <w:vAlign w:val="center"/>
                </w:tcPr>
                <w:p w14:paraId="4F250556" w14:textId="77777777" w:rsidR="00FC17BC" w:rsidRPr="00DF3006" w:rsidRDefault="00FC17BC" w:rsidP="00CC5BBF">
                  <w:pPr>
                    <w:spacing w:after="0"/>
                    <w:ind w:hanging="250"/>
                    <w:jc w:val="right"/>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2022</w:t>
                  </w:r>
                </w:p>
              </w:tc>
              <w:tc>
                <w:tcPr>
                  <w:tcW w:w="833" w:type="dxa"/>
                  <w:tcBorders>
                    <w:top w:val="single" w:sz="8" w:space="0" w:color="auto"/>
                    <w:left w:val="single" w:sz="6" w:space="0" w:color="auto"/>
                    <w:bottom w:val="nil"/>
                    <w:right w:val="nil"/>
                  </w:tcBorders>
                  <w:shd w:val="clear" w:color="auto" w:fill="D9D9D9" w:themeFill="background1" w:themeFillShade="D9"/>
                  <w:vAlign w:val="center"/>
                  <w:hideMark/>
                </w:tcPr>
                <w:p w14:paraId="5A4A8FE1" w14:textId="77777777" w:rsidR="00FC17BC" w:rsidRPr="00DF3006" w:rsidRDefault="00FC17BC" w:rsidP="00CC5BBF">
                  <w:pPr>
                    <w:spacing w:after="0"/>
                    <w:ind w:hanging="25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2023</w:t>
                  </w:r>
                </w:p>
              </w:tc>
              <w:tc>
                <w:tcPr>
                  <w:tcW w:w="833" w:type="dxa"/>
                  <w:tcBorders>
                    <w:top w:val="single" w:sz="8" w:space="0" w:color="auto"/>
                    <w:left w:val="nil"/>
                    <w:bottom w:val="nil"/>
                    <w:right w:val="single" w:sz="6" w:space="0" w:color="auto"/>
                  </w:tcBorders>
                  <w:shd w:val="clear" w:color="000000" w:fill="FFFFFF"/>
                  <w:vAlign w:val="center"/>
                  <w:hideMark/>
                </w:tcPr>
                <w:p w14:paraId="797E8A3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2022</w:t>
                  </w:r>
                </w:p>
              </w:tc>
              <w:tc>
                <w:tcPr>
                  <w:tcW w:w="832" w:type="dxa"/>
                  <w:tcBorders>
                    <w:top w:val="nil"/>
                    <w:left w:val="single" w:sz="6" w:space="0" w:color="auto"/>
                    <w:bottom w:val="nil"/>
                    <w:right w:val="nil"/>
                  </w:tcBorders>
                  <w:shd w:val="clear" w:color="auto" w:fill="D9D9D9" w:themeFill="background1" w:themeFillShade="D9"/>
                  <w:vAlign w:val="center"/>
                  <w:hideMark/>
                </w:tcPr>
                <w:p w14:paraId="068889BE"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2023</w:t>
                  </w:r>
                </w:p>
              </w:tc>
              <w:tc>
                <w:tcPr>
                  <w:tcW w:w="833" w:type="dxa"/>
                  <w:tcBorders>
                    <w:top w:val="nil"/>
                    <w:left w:val="nil"/>
                    <w:bottom w:val="nil"/>
                    <w:right w:val="single" w:sz="6" w:space="0" w:color="auto"/>
                  </w:tcBorders>
                  <w:shd w:val="clear" w:color="000000" w:fill="FFFFFF"/>
                  <w:vAlign w:val="center"/>
                  <w:hideMark/>
                </w:tcPr>
                <w:p w14:paraId="3F18EEF4"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2022</w:t>
                  </w:r>
                </w:p>
              </w:tc>
              <w:tc>
                <w:tcPr>
                  <w:tcW w:w="833" w:type="dxa"/>
                  <w:tcBorders>
                    <w:top w:val="nil"/>
                    <w:left w:val="single" w:sz="6" w:space="0" w:color="auto"/>
                    <w:bottom w:val="nil"/>
                    <w:right w:val="nil"/>
                  </w:tcBorders>
                  <w:shd w:val="clear" w:color="auto" w:fill="D9D9D9" w:themeFill="background1" w:themeFillShade="D9"/>
                  <w:vAlign w:val="center"/>
                  <w:hideMark/>
                </w:tcPr>
                <w:p w14:paraId="3A93D192" w14:textId="77777777" w:rsidR="00FC17BC" w:rsidRPr="00DF3006" w:rsidRDefault="00FC17BC" w:rsidP="00CC5BBF">
                  <w:pPr>
                    <w:spacing w:after="0"/>
                    <w:ind w:left="-37"/>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2023</w:t>
                  </w:r>
                </w:p>
              </w:tc>
              <w:tc>
                <w:tcPr>
                  <w:tcW w:w="833" w:type="dxa"/>
                  <w:tcBorders>
                    <w:top w:val="nil"/>
                    <w:left w:val="nil"/>
                    <w:bottom w:val="nil"/>
                    <w:right w:val="nil"/>
                  </w:tcBorders>
                  <w:shd w:val="clear" w:color="000000" w:fill="FFFFFF"/>
                  <w:vAlign w:val="center"/>
                  <w:hideMark/>
                </w:tcPr>
                <w:p w14:paraId="53DB9A17"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2022</w:t>
                  </w:r>
                </w:p>
              </w:tc>
            </w:tr>
            <w:tr w:rsidR="00DF3006" w:rsidRPr="00DF3006" w14:paraId="4AFF3684" w14:textId="77777777" w:rsidTr="00025E55">
              <w:trPr>
                <w:trHeight w:val="300"/>
              </w:trPr>
              <w:tc>
                <w:tcPr>
                  <w:tcW w:w="2127" w:type="dxa"/>
                  <w:tcBorders>
                    <w:top w:val="nil"/>
                    <w:left w:val="nil"/>
                    <w:bottom w:val="single" w:sz="8" w:space="0" w:color="auto"/>
                    <w:right w:val="single" w:sz="6" w:space="0" w:color="auto"/>
                  </w:tcBorders>
                  <w:shd w:val="clear" w:color="000000" w:fill="FFFFFF"/>
                  <w:vAlign w:val="center"/>
                  <w:hideMark/>
                </w:tcPr>
                <w:p w14:paraId="3B7F5DA7"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Arial"/>
                      <w:color w:val="414042" w:themeColor="text1"/>
                      <w:szCs w:val="20"/>
                      <w:lang w:eastAsia="en-AU"/>
                    </w:rPr>
                    <w:t> </w:t>
                  </w:r>
                </w:p>
              </w:tc>
              <w:tc>
                <w:tcPr>
                  <w:tcW w:w="832" w:type="dxa"/>
                  <w:tcBorders>
                    <w:top w:val="nil"/>
                    <w:left w:val="single" w:sz="6" w:space="0" w:color="auto"/>
                    <w:bottom w:val="single" w:sz="8" w:space="0" w:color="auto"/>
                  </w:tcBorders>
                  <w:shd w:val="clear" w:color="auto" w:fill="D9D9D9" w:themeFill="background1" w:themeFillShade="D9"/>
                  <w:vAlign w:val="center"/>
                </w:tcPr>
                <w:p w14:paraId="2038A5B0" w14:textId="77777777" w:rsidR="00FC17BC" w:rsidRPr="00DF3006" w:rsidRDefault="00FC17BC" w:rsidP="00CC5BBF">
                  <w:pPr>
                    <w:spacing w:after="0"/>
                    <w:jc w:val="right"/>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$’000</w:t>
                  </w:r>
                </w:p>
              </w:tc>
              <w:tc>
                <w:tcPr>
                  <w:tcW w:w="833" w:type="dxa"/>
                  <w:tcBorders>
                    <w:top w:val="nil"/>
                    <w:bottom w:val="single" w:sz="8" w:space="0" w:color="auto"/>
                    <w:right w:val="single" w:sz="6" w:space="0" w:color="auto"/>
                  </w:tcBorders>
                  <w:shd w:val="clear" w:color="auto" w:fill="auto"/>
                  <w:vAlign w:val="center"/>
                </w:tcPr>
                <w:p w14:paraId="3839187F" w14:textId="77777777" w:rsidR="00FC17BC" w:rsidRPr="00DF3006" w:rsidRDefault="00FC17BC" w:rsidP="00CC5BBF">
                  <w:pPr>
                    <w:spacing w:after="0"/>
                    <w:jc w:val="right"/>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$’000</w:t>
                  </w:r>
                </w:p>
              </w:tc>
              <w:tc>
                <w:tcPr>
                  <w:tcW w:w="833" w:type="dxa"/>
                  <w:tcBorders>
                    <w:top w:val="nil"/>
                    <w:left w:val="single" w:sz="6" w:space="0" w:color="auto"/>
                    <w:bottom w:val="single" w:sz="8" w:space="0" w:color="auto"/>
                    <w:right w:val="nil"/>
                  </w:tcBorders>
                  <w:shd w:val="clear" w:color="auto" w:fill="D9D9D9" w:themeFill="background1" w:themeFillShade="D9"/>
                  <w:vAlign w:val="center"/>
                  <w:hideMark/>
                </w:tcPr>
                <w:p w14:paraId="016D8586"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61A820CC"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$’000</w:t>
                  </w:r>
                </w:p>
              </w:tc>
              <w:tc>
                <w:tcPr>
                  <w:tcW w:w="832" w:type="dxa"/>
                  <w:tcBorders>
                    <w:top w:val="nil"/>
                    <w:left w:val="single" w:sz="6" w:space="0" w:color="auto"/>
                    <w:bottom w:val="single" w:sz="8" w:space="0" w:color="auto"/>
                    <w:right w:val="nil"/>
                  </w:tcBorders>
                  <w:shd w:val="clear" w:color="auto" w:fill="D9D9D9" w:themeFill="background1" w:themeFillShade="D9"/>
                  <w:vAlign w:val="center"/>
                  <w:hideMark/>
                </w:tcPr>
                <w:p w14:paraId="09FF1804"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1A491198"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$’000</w:t>
                  </w:r>
                </w:p>
              </w:tc>
              <w:tc>
                <w:tcPr>
                  <w:tcW w:w="833" w:type="dxa"/>
                  <w:tcBorders>
                    <w:top w:val="nil"/>
                    <w:left w:val="single" w:sz="6" w:space="0" w:color="auto"/>
                    <w:bottom w:val="single" w:sz="8" w:space="0" w:color="auto"/>
                    <w:right w:val="nil"/>
                  </w:tcBorders>
                  <w:shd w:val="clear" w:color="auto" w:fill="D9D9D9" w:themeFill="background1" w:themeFillShade="D9"/>
                  <w:vAlign w:val="center"/>
                  <w:hideMark/>
                </w:tcPr>
                <w:p w14:paraId="0034BA48" w14:textId="77777777" w:rsidR="00FC17BC" w:rsidRPr="00DF3006" w:rsidRDefault="00FC17BC" w:rsidP="00CC5BBF">
                  <w:pPr>
                    <w:spacing w:after="0"/>
                    <w:ind w:left="-37"/>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$’000</w:t>
                  </w:r>
                </w:p>
              </w:tc>
              <w:tc>
                <w:tcPr>
                  <w:tcW w:w="833" w:type="dxa"/>
                  <w:tcBorders>
                    <w:top w:val="nil"/>
                    <w:left w:val="nil"/>
                    <w:bottom w:val="single" w:sz="8" w:space="0" w:color="auto"/>
                    <w:right w:val="nil"/>
                  </w:tcBorders>
                  <w:shd w:val="clear" w:color="000000" w:fill="FFFFFF"/>
                  <w:vAlign w:val="center"/>
                  <w:hideMark/>
                </w:tcPr>
                <w:p w14:paraId="01DB0944"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$’000</w:t>
                  </w:r>
                </w:p>
              </w:tc>
            </w:tr>
            <w:tr w:rsidR="00DF3006" w:rsidRPr="00DF3006" w14:paraId="40DA0AEE" w14:textId="77777777" w:rsidTr="00025E55">
              <w:trPr>
                <w:trHeight w:val="300"/>
              </w:trPr>
              <w:tc>
                <w:tcPr>
                  <w:tcW w:w="2127" w:type="dxa"/>
                  <w:tcBorders>
                    <w:top w:val="nil"/>
                    <w:left w:val="nil"/>
                    <w:bottom w:val="nil"/>
                    <w:right w:val="single" w:sz="6" w:space="0" w:color="auto"/>
                  </w:tcBorders>
                  <w:shd w:val="clear" w:color="000000" w:fill="FFFFFF"/>
                  <w:vAlign w:val="center"/>
                </w:tcPr>
                <w:p w14:paraId="3BDB52BD" w14:textId="77777777" w:rsidR="00FC17BC" w:rsidRPr="00DF3006" w:rsidRDefault="00FC17BC" w:rsidP="00CC5BBF">
                  <w:pPr>
                    <w:spacing w:after="0"/>
                    <w:rPr>
                      <w:rFonts w:eastAsia="Times New Roman" w:cs="Arial"/>
                      <w:color w:val="414042" w:themeColor="text1"/>
                      <w:szCs w:val="20"/>
                      <w:lang w:eastAsia="en-AU"/>
                    </w:rPr>
                  </w:pPr>
                </w:p>
              </w:tc>
              <w:tc>
                <w:tcPr>
                  <w:tcW w:w="832" w:type="dxa"/>
                  <w:tcBorders>
                    <w:top w:val="single" w:sz="8" w:space="0" w:color="auto"/>
                    <w:left w:val="single" w:sz="6" w:space="0" w:color="auto"/>
                    <w:bottom w:val="nil"/>
                  </w:tcBorders>
                  <w:shd w:val="clear" w:color="auto" w:fill="D9D9D9" w:themeFill="background1" w:themeFillShade="D9"/>
                  <w:vAlign w:val="center"/>
                </w:tcPr>
                <w:p w14:paraId="6801ECAE" w14:textId="77777777" w:rsidR="00FC17BC" w:rsidRPr="00DF3006" w:rsidRDefault="00FC17BC" w:rsidP="00CC5BBF">
                  <w:pPr>
                    <w:spacing w:after="0"/>
                    <w:jc w:val="right"/>
                    <w:rPr>
                      <w:rFonts w:eastAsia="Times New Roman" w:cs="Arial"/>
                      <w:color w:val="414042" w:themeColor="text1"/>
                      <w:szCs w:val="20"/>
                      <w:lang w:eastAsia="en-AU"/>
                    </w:rPr>
                  </w:pPr>
                </w:p>
              </w:tc>
              <w:tc>
                <w:tcPr>
                  <w:tcW w:w="833" w:type="dxa"/>
                  <w:tcBorders>
                    <w:top w:val="single" w:sz="8" w:space="0" w:color="auto"/>
                    <w:bottom w:val="nil"/>
                    <w:right w:val="single" w:sz="6" w:space="0" w:color="auto"/>
                  </w:tcBorders>
                  <w:shd w:val="clear" w:color="auto" w:fill="auto"/>
                  <w:vAlign w:val="center"/>
                </w:tcPr>
                <w:p w14:paraId="2CE1CF1D" w14:textId="77777777" w:rsidR="00FC17BC" w:rsidRPr="00DF3006" w:rsidRDefault="00FC17BC" w:rsidP="00CC5BBF">
                  <w:pPr>
                    <w:spacing w:after="0"/>
                    <w:jc w:val="right"/>
                    <w:rPr>
                      <w:rFonts w:eastAsia="Times New Roman" w:cs="Arial"/>
                      <w:color w:val="414042" w:themeColor="text1"/>
                      <w:szCs w:val="20"/>
                      <w:lang w:eastAsia="en-AU"/>
                    </w:rPr>
                  </w:pPr>
                </w:p>
              </w:tc>
              <w:tc>
                <w:tcPr>
                  <w:tcW w:w="833" w:type="dxa"/>
                  <w:tcBorders>
                    <w:top w:val="nil"/>
                    <w:left w:val="single" w:sz="6" w:space="0" w:color="auto"/>
                    <w:bottom w:val="nil"/>
                    <w:right w:val="nil"/>
                  </w:tcBorders>
                  <w:shd w:val="clear" w:color="auto" w:fill="D9D9D9" w:themeFill="background1" w:themeFillShade="D9"/>
                  <w:vAlign w:val="center"/>
                </w:tcPr>
                <w:p w14:paraId="6DD367B2" w14:textId="77777777" w:rsidR="00FC17BC" w:rsidRPr="00DF3006" w:rsidRDefault="00FC17BC" w:rsidP="00CC5BBF">
                  <w:pPr>
                    <w:spacing w:after="0"/>
                    <w:jc w:val="right"/>
                    <w:rPr>
                      <w:rFonts w:eastAsia="Times New Roman" w:cs="Calibri"/>
                      <w:color w:val="414042" w:themeColor="text1"/>
                      <w:szCs w:val="20"/>
                      <w:lang w:eastAsia="en-AU"/>
                    </w:rPr>
                  </w:pPr>
                </w:p>
              </w:tc>
              <w:tc>
                <w:tcPr>
                  <w:tcW w:w="833" w:type="dxa"/>
                  <w:tcBorders>
                    <w:top w:val="nil"/>
                    <w:left w:val="nil"/>
                    <w:bottom w:val="nil"/>
                    <w:right w:val="single" w:sz="6" w:space="0" w:color="auto"/>
                  </w:tcBorders>
                  <w:shd w:val="clear" w:color="000000" w:fill="FFFFFF"/>
                  <w:vAlign w:val="center"/>
                </w:tcPr>
                <w:p w14:paraId="623E0189" w14:textId="77777777" w:rsidR="00FC17BC" w:rsidRPr="00DF3006" w:rsidRDefault="00FC17BC" w:rsidP="00CC5BBF">
                  <w:pPr>
                    <w:spacing w:after="0"/>
                    <w:jc w:val="right"/>
                    <w:rPr>
                      <w:rFonts w:eastAsia="Times New Roman" w:cstheme="minorHAnsi"/>
                      <w:color w:val="414042" w:themeColor="text1"/>
                      <w:szCs w:val="20"/>
                      <w:lang w:eastAsia="en-AU"/>
                    </w:rPr>
                  </w:pPr>
                </w:p>
              </w:tc>
              <w:tc>
                <w:tcPr>
                  <w:tcW w:w="832" w:type="dxa"/>
                  <w:tcBorders>
                    <w:top w:val="nil"/>
                    <w:left w:val="single" w:sz="6" w:space="0" w:color="auto"/>
                    <w:bottom w:val="nil"/>
                    <w:right w:val="nil"/>
                  </w:tcBorders>
                  <w:shd w:val="clear" w:color="auto" w:fill="D9D9D9" w:themeFill="background1" w:themeFillShade="D9"/>
                  <w:vAlign w:val="center"/>
                </w:tcPr>
                <w:p w14:paraId="7FCDD7EE" w14:textId="77777777" w:rsidR="00FC17BC" w:rsidRPr="00DF3006" w:rsidRDefault="00FC17BC" w:rsidP="00CC5BBF">
                  <w:pPr>
                    <w:spacing w:after="0"/>
                    <w:jc w:val="right"/>
                    <w:rPr>
                      <w:rFonts w:eastAsia="Times New Roman" w:cs="Calibri"/>
                      <w:color w:val="414042" w:themeColor="text1"/>
                      <w:szCs w:val="20"/>
                      <w:lang w:eastAsia="en-AU"/>
                    </w:rPr>
                  </w:pPr>
                </w:p>
              </w:tc>
              <w:tc>
                <w:tcPr>
                  <w:tcW w:w="833" w:type="dxa"/>
                  <w:tcBorders>
                    <w:top w:val="nil"/>
                    <w:left w:val="nil"/>
                    <w:bottom w:val="nil"/>
                    <w:right w:val="single" w:sz="6" w:space="0" w:color="auto"/>
                  </w:tcBorders>
                  <w:shd w:val="clear" w:color="000000" w:fill="FFFFFF"/>
                  <w:vAlign w:val="center"/>
                </w:tcPr>
                <w:p w14:paraId="16E1CCA2" w14:textId="77777777" w:rsidR="00FC17BC" w:rsidRPr="00DF3006" w:rsidRDefault="00FC17BC" w:rsidP="00CC5BBF">
                  <w:pPr>
                    <w:spacing w:after="0"/>
                    <w:jc w:val="right"/>
                    <w:rPr>
                      <w:rFonts w:eastAsia="Times New Roman" w:cs="Calibri"/>
                      <w:color w:val="414042" w:themeColor="text1"/>
                      <w:szCs w:val="20"/>
                      <w:lang w:eastAsia="en-AU"/>
                    </w:rPr>
                  </w:pPr>
                </w:p>
              </w:tc>
              <w:tc>
                <w:tcPr>
                  <w:tcW w:w="833" w:type="dxa"/>
                  <w:tcBorders>
                    <w:top w:val="nil"/>
                    <w:left w:val="single" w:sz="6" w:space="0" w:color="auto"/>
                    <w:bottom w:val="nil"/>
                    <w:right w:val="nil"/>
                  </w:tcBorders>
                  <w:shd w:val="clear" w:color="auto" w:fill="D9D9D9" w:themeFill="background1" w:themeFillShade="D9"/>
                  <w:vAlign w:val="center"/>
                </w:tcPr>
                <w:p w14:paraId="6F743066" w14:textId="77777777" w:rsidR="00FC17BC" w:rsidRPr="00DF3006" w:rsidRDefault="00FC17BC" w:rsidP="00CC5BBF">
                  <w:pPr>
                    <w:spacing w:after="0"/>
                    <w:ind w:left="-37"/>
                    <w:jc w:val="right"/>
                    <w:rPr>
                      <w:rFonts w:eastAsia="Times New Roman" w:cs="Calibri"/>
                      <w:color w:val="414042" w:themeColor="text1"/>
                      <w:szCs w:val="20"/>
                      <w:lang w:eastAsia="en-AU"/>
                    </w:rPr>
                  </w:pPr>
                </w:p>
              </w:tc>
              <w:tc>
                <w:tcPr>
                  <w:tcW w:w="833" w:type="dxa"/>
                  <w:tcBorders>
                    <w:top w:val="nil"/>
                    <w:left w:val="nil"/>
                    <w:bottom w:val="nil"/>
                    <w:right w:val="nil"/>
                  </w:tcBorders>
                  <w:shd w:val="clear" w:color="000000" w:fill="FFFFFF"/>
                  <w:vAlign w:val="center"/>
                </w:tcPr>
                <w:p w14:paraId="5771B92E"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20E8C8CB" w14:textId="77777777" w:rsidTr="00025E55">
              <w:trPr>
                <w:trHeight w:val="300"/>
              </w:trPr>
              <w:tc>
                <w:tcPr>
                  <w:tcW w:w="2127" w:type="dxa"/>
                  <w:tcBorders>
                    <w:top w:val="nil"/>
                    <w:left w:val="nil"/>
                    <w:bottom w:val="nil"/>
                    <w:right w:val="single" w:sz="6" w:space="0" w:color="auto"/>
                  </w:tcBorders>
                  <w:shd w:val="clear" w:color="000000" w:fill="FFFFFF"/>
                  <w:vAlign w:val="center"/>
                  <w:hideMark/>
                </w:tcPr>
                <w:p w14:paraId="07E2118C" w14:textId="77777777" w:rsidR="00FC17BC" w:rsidRPr="00DF3006" w:rsidRDefault="00FC17BC" w:rsidP="00CC5BBF">
                  <w:pPr>
                    <w:spacing w:after="0"/>
                    <w:rPr>
                      <w:rFonts w:eastAsia="Times New Roman" w:cs="Arial"/>
                      <w:color w:val="414042" w:themeColor="text1"/>
                      <w:szCs w:val="20"/>
                      <w:lang w:eastAsia="en-AU"/>
                    </w:rPr>
                  </w:pPr>
                  <w:r w:rsidRPr="00DF3006">
                    <w:rPr>
                      <w:rFonts w:eastAsia="Times New Roman" w:cs="Arial"/>
                      <w:color w:val="414042" w:themeColor="text1"/>
                      <w:szCs w:val="20"/>
                      <w:lang w:eastAsia="en-AU"/>
                    </w:rPr>
                    <w:t xml:space="preserve">Carrying amount at </w:t>
                  </w:r>
                </w:p>
                <w:p w14:paraId="06C7ED79"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Arial"/>
                      <w:color w:val="414042" w:themeColor="text1"/>
                      <w:szCs w:val="20"/>
                      <w:lang w:eastAsia="en-AU"/>
                    </w:rPr>
                    <w:t>1 July</w:t>
                  </w:r>
                </w:p>
              </w:tc>
              <w:tc>
                <w:tcPr>
                  <w:tcW w:w="832" w:type="dxa"/>
                  <w:tcBorders>
                    <w:top w:val="nil"/>
                    <w:left w:val="single" w:sz="6" w:space="0" w:color="auto"/>
                    <w:bottom w:val="nil"/>
                  </w:tcBorders>
                  <w:shd w:val="clear" w:color="auto" w:fill="D9D9D9" w:themeFill="background1" w:themeFillShade="D9"/>
                  <w:vAlign w:val="center"/>
                </w:tcPr>
                <w:p w14:paraId="3EEDE49E"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16</w:t>
                  </w:r>
                </w:p>
              </w:tc>
              <w:tc>
                <w:tcPr>
                  <w:tcW w:w="833" w:type="dxa"/>
                  <w:tcBorders>
                    <w:top w:val="nil"/>
                    <w:bottom w:val="nil"/>
                    <w:right w:val="single" w:sz="6" w:space="0" w:color="auto"/>
                  </w:tcBorders>
                  <w:shd w:val="clear" w:color="auto" w:fill="auto"/>
                  <w:vAlign w:val="center"/>
                </w:tcPr>
                <w:p w14:paraId="47685AF0"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51</w:t>
                  </w:r>
                </w:p>
              </w:tc>
              <w:tc>
                <w:tcPr>
                  <w:tcW w:w="833" w:type="dxa"/>
                  <w:tcBorders>
                    <w:top w:val="nil"/>
                    <w:left w:val="single" w:sz="6" w:space="0" w:color="auto"/>
                    <w:bottom w:val="nil"/>
                    <w:right w:val="nil"/>
                  </w:tcBorders>
                  <w:shd w:val="clear" w:color="auto" w:fill="D9D9D9" w:themeFill="background1" w:themeFillShade="D9"/>
                  <w:vAlign w:val="center"/>
                </w:tcPr>
                <w:p w14:paraId="0975855A"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874</w:t>
                  </w:r>
                </w:p>
              </w:tc>
              <w:tc>
                <w:tcPr>
                  <w:tcW w:w="833" w:type="dxa"/>
                  <w:tcBorders>
                    <w:top w:val="nil"/>
                    <w:left w:val="nil"/>
                    <w:bottom w:val="nil"/>
                    <w:right w:val="single" w:sz="6" w:space="0" w:color="auto"/>
                  </w:tcBorders>
                  <w:shd w:val="clear" w:color="000000" w:fill="FFFFFF"/>
                  <w:vAlign w:val="center"/>
                  <w:hideMark/>
                </w:tcPr>
                <w:p w14:paraId="7C89913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1,151</w:t>
                  </w:r>
                </w:p>
              </w:tc>
              <w:tc>
                <w:tcPr>
                  <w:tcW w:w="832" w:type="dxa"/>
                  <w:tcBorders>
                    <w:top w:val="nil"/>
                    <w:left w:val="single" w:sz="6" w:space="0" w:color="auto"/>
                    <w:bottom w:val="nil"/>
                    <w:right w:val="nil"/>
                  </w:tcBorders>
                  <w:shd w:val="clear" w:color="auto" w:fill="D9D9D9" w:themeFill="background1" w:themeFillShade="D9"/>
                  <w:vAlign w:val="center"/>
                </w:tcPr>
                <w:p w14:paraId="44946AF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hideMark/>
                </w:tcPr>
                <w:p w14:paraId="0CD8F90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2,275</w:t>
                  </w:r>
                </w:p>
              </w:tc>
              <w:tc>
                <w:tcPr>
                  <w:tcW w:w="833" w:type="dxa"/>
                  <w:tcBorders>
                    <w:top w:val="nil"/>
                    <w:left w:val="single" w:sz="6" w:space="0" w:color="auto"/>
                    <w:bottom w:val="nil"/>
                    <w:right w:val="nil"/>
                  </w:tcBorders>
                  <w:shd w:val="clear" w:color="auto" w:fill="D9D9D9" w:themeFill="background1" w:themeFillShade="D9"/>
                  <w:vAlign w:val="center"/>
                </w:tcPr>
                <w:p w14:paraId="7AD62CD9" w14:textId="77777777" w:rsidR="00FC17BC" w:rsidRPr="00DF3006" w:rsidRDefault="00FC17BC" w:rsidP="00CC5BBF">
                  <w:pPr>
                    <w:spacing w:after="0"/>
                    <w:ind w:left="-37"/>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890</w:t>
                  </w:r>
                </w:p>
              </w:tc>
              <w:tc>
                <w:tcPr>
                  <w:tcW w:w="833" w:type="dxa"/>
                  <w:tcBorders>
                    <w:top w:val="nil"/>
                    <w:left w:val="nil"/>
                    <w:bottom w:val="nil"/>
                    <w:right w:val="nil"/>
                  </w:tcBorders>
                  <w:shd w:val="clear" w:color="000000" w:fill="FFFFFF"/>
                  <w:vAlign w:val="center"/>
                  <w:hideMark/>
                </w:tcPr>
                <w:p w14:paraId="0583809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3,477</w:t>
                  </w:r>
                </w:p>
              </w:tc>
            </w:tr>
            <w:tr w:rsidR="00DF3006" w:rsidRPr="00DF3006" w14:paraId="1E4385C2" w14:textId="77777777" w:rsidTr="00025E55">
              <w:trPr>
                <w:trHeight w:val="300"/>
              </w:trPr>
              <w:tc>
                <w:tcPr>
                  <w:tcW w:w="2127" w:type="dxa"/>
                  <w:tcBorders>
                    <w:top w:val="nil"/>
                    <w:left w:val="nil"/>
                    <w:bottom w:val="nil"/>
                    <w:right w:val="single" w:sz="6" w:space="0" w:color="auto"/>
                  </w:tcBorders>
                  <w:shd w:val="clear" w:color="000000" w:fill="FFFFFF"/>
                  <w:vAlign w:val="center"/>
                  <w:hideMark/>
                </w:tcPr>
                <w:p w14:paraId="1D6BE678"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Arial"/>
                      <w:color w:val="414042" w:themeColor="text1"/>
                      <w:szCs w:val="20"/>
                      <w:lang w:eastAsia="en-AU"/>
                    </w:rPr>
                    <w:t>Acquisitions</w:t>
                  </w:r>
                </w:p>
              </w:tc>
              <w:tc>
                <w:tcPr>
                  <w:tcW w:w="832" w:type="dxa"/>
                  <w:tcBorders>
                    <w:top w:val="nil"/>
                    <w:left w:val="single" w:sz="6" w:space="0" w:color="auto"/>
                    <w:bottom w:val="nil"/>
                  </w:tcBorders>
                  <w:shd w:val="clear" w:color="auto" w:fill="D9D9D9" w:themeFill="background1" w:themeFillShade="D9"/>
                  <w:vAlign w:val="center"/>
                </w:tcPr>
                <w:p w14:paraId="4F755173"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bottom w:val="nil"/>
                    <w:right w:val="single" w:sz="6" w:space="0" w:color="auto"/>
                  </w:tcBorders>
                  <w:shd w:val="clear" w:color="auto" w:fill="auto"/>
                  <w:vAlign w:val="center"/>
                </w:tcPr>
                <w:p w14:paraId="62C28A0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left w:val="single" w:sz="6" w:space="0" w:color="auto"/>
                    <w:bottom w:val="nil"/>
                    <w:right w:val="nil"/>
                  </w:tcBorders>
                  <w:shd w:val="clear" w:color="auto" w:fill="D9D9D9" w:themeFill="background1" w:themeFillShade="D9"/>
                  <w:vAlign w:val="center"/>
                </w:tcPr>
                <w:p w14:paraId="5C364C4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hideMark/>
                </w:tcPr>
                <w:p w14:paraId="2A18B41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2" w:type="dxa"/>
                  <w:tcBorders>
                    <w:top w:val="nil"/>
                    <w:left w:val="single" w:sz="6" w:space="0" w:color="auto"/>
                    <w:bottom w:val="nil"/>
                    <w:right w:val="nil"/>
                  </w:tcBorders>
                  <w:shd w:val="clear" w:color="auto" w:fill="D9D9D9" w:themeFill="background1" w:themeFillShade="D9"/>
                  <w:vAlign w:val="center"/>
                </w:tcPr>
                <w:p w14:paraId="10C23CC3"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hideMark/>
                </w:tcPr>
                <w:p w14:paraId="06A1CD3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single" w:sz="6" w:space="0" w:color="auto"/>
                    <w:bottom w:val="nil"/>
                    <w:right w:val="nil"/>
                  </w:tcBorders>
                  <w:shd w:val="clear" w:color="auto" w:fill="D9D9D9" w:themeFill="background1" w:themeFillShade="D9"/>
                  <w:vAlign w:val="center"/>
                </w:tcPr>
                <w:p w14:paraId="084AC905" w14:textId="77777777" w:rsidR="00FC17BC" w:rsidRPr="00DF3006" w:rsidRDefault="00FC17BC" w:rsidP="00CC5BBF">
                  <w:pPr>
                    <w:spacing w:after="0"/>
                    <w:ind w:left="-37"/>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          -</w:t>
                  </w:r>
                </w:p>
              </w:tc>
              <w:tc>
                <w:tcPr>
                  <w:tcW w:w="833" w:type="dxa"/>
                  <w:tcBorders>
                    <w:top w:val="nil"/>
                    <w:left w:val="nil"/>
                    <w:bottom w:val="nil"/>
                    <w:right w:val="nil"/>
                  </w:tcBorders>
                  <w:shd w:val="clear" w:color="000000" w:fill="FFFFFF"/>
                  <w:vAlign w:val="center"/>
                  <w:hideMark/>
                </w:tcPr>
                <w:p w14:paraId="380E78F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r>
            <w:tr w:rsidR="00DF3006" w:rsidRPr="00DF3006" w14:paraId="12378354" w14:textId="77777777" w:rsidTr="00025E55">
              <w:trPr>
                <w:trHeight w:val="300"/>
              </w:trPr>
              <w:tc>
                <w:tcPr>
                  <w:tcW w:w="2127" w:type="dxa"/>
                  <w:tcBorders>
                    <w:top w:val="nil"/>
                    <w:left w:val="nil"/>
                    <w:right w:val="single" w:sz="6" w:space="0" w:color="auto"/>
                  </w:tcBorders>
                  <w:shd w:val="clear" w:color="000000" w:fill="FFFFFF"/>
                  <w:vAlign w:val="center"/>
                </w:tcPr>
                <w:p w14:paraId="1F6F17C7" w14:textId="77777777" w:rsidR="00FC17BC" w:rsidRPr="00DF3006" w:rsidRDefault="00FC17BC" w:rsidP="00CC5BBF">
                  <w:pPr>
                    <w:spacing w:after="0"/>
                    <w:rPr>
                      <w:rFonts w:eastAsia="Times New Roman" w:cs="Arial"/>
                      <w:color w:val="414042" w:themeColor="text1"/>
                      <w:szCs w:val="20"/>
                      <w:lang w:eastAsia="en-AU"/>
                    </w:rPr>
                  </w:pPr>
                  <w:r w:rsidRPr="00DF3006">
                    <w:rPr>
                      <w:rFonts w:eastAsia="Times New Roman" w:cs="Arial"/>
                      <w:color w:val="414042" w:themeColor="text1"/>
                      <w:szCs w:val="20"/>
                      <w:lang w:eastAsia="en-AU"/>
                    </w:rPr>
                    <w:t>Disposals</w:t>
                  </w:r>
                </w:p>
              </w:tc>
              <w:tc>
                <w:tcPr>
                  <w:tcW w:w="832" w:type="dxa"/>
                  <w:tcBorders>
                    <w:top w:val="nil"/>
                    <w:left w:val="single" w:sz="6" w:space="0" w:color="auto"/>
                  </w:tcBorders>
                  <w:shd w:val="clear" w:color="auto" w:fill="D9D9D9" w:themeFill="background1" w:themeFillShade="D9"/>
                  <w:vAlign w:val="center"/>
                </w:tcPr>
                <w:p w14:paraId="03EFFEE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right w:val="single" w:sz="6" w:space="0" w:color="auto"/>
                  </w:tcBorders>
                  <w:shd w:val="clear" w:color="auto" w:fill="auto"/>
                  <w:vAlign w:val="center"/>
                </w:tcPr>
                <w:p w14:paraId="29124340" w14:textId="77777777" w:rsidR="00FC17BC" w:rsidRPr="00DF3006" w:rsidRDefault="00FC17BC" w:rsidP="00CC5BBF">
                  <w:pPr>
                    <w:spacing w:after="0"/>
                    <w:jc w:val="right"/>
                    <w:rPr>
                      <w:rFonts w:eastAsia="Times New Roman" w:cstheme="minorHAns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left w:val="single" w:sz="6" w:space="0" w:color="auto"/>
                    <w:bottom w:val="nil"/>
                    <w:right w:val="nil"/>
                  </w:tcBorders>
                  <w:shd w:val="clear" w:color="auto" w:fill="D9D9D9" w:themeFill="background1" w:themeFillShade="D9"/>
                  <w:vAlign w:val="center"/>
                </w:tcPr>
                <w:p w14:paraId="3CAAC09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tcPr>
                <w:p w14:paraId="7DAB78F5" w14:textId="77777777" w:rsidR="00FC17BC" w:rsidRPr="00DF3006" w:rsidRDefault="00FC17BC" w:rsidP="00CC5BBF">
                  <w:pPr>
                    <w:spacing w:after="0"/>
                    <w:jc w:val="right"/>
                    <w:rPr>
                      <w:rFonts w:eastAsia="Times New Roman" w:cstheme="minorHAnsi"/>
                      <w:color w:val="414042" w:themeColor="text1"/>
                      <w:szCs w:val="20"/>
                      <w:lang w:eastAsia="en-AU"/>
                    </w:rPr>
                  </w:pPr>
                  <w:r w:rsidRPr="00DF3006">
                    <w:rPr>
                      <w:rFonts w:eastAsia="Times New Roman" w:cstheme="minorHAnsi"/>
                      <w:color w:val="414042" w:themeColor="text1"/>
                      <w:szCs w:val="20"/>
                      <w:lang w:eastAsia="en-AU"/>
                    </w:rPr>
                    <w:t>-</w:t>
                  </w:r>
                </w:p>
              </w:tc>
              <w:tc>
                <w:tcPr>
                  <w:tcW w:w="832" w:type="dxa"/>
                  <w:tcBorders>
                    <w:top w:val="nil"/>
                    <w:left w:val="single" w:sz="6" w:space="0" w:color="auto"/>
                    <w:bottom w:val="nil"/>
                    <w:right w:val="nil"/>
                  </w:tcBorders>
                  <w:shd w:val="clear" w:color="auto" w:fill="D9D9D9" w:themeFill="background1" w:themeFillShade="D9"/>
                  <w:vAlign w:val="center"/>
                </w:tcPr>
                <w:p w14:paraId="364C44DE"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tcPr>
                <w:p w14:paraId="26FAC7D9" w14:textId="77777777" w:rsidR="00FC17BC" w:rsidRPr="00DF3006" w:rsidRDefault="00FC17BC" w:rsidP="00CC5BBF">
                  <w:pPr>
                    <w:spacing w:after="0"/>
                    <w:ind w:right="25"/>
                    <w:jc w:val="right"/>
                    <w:rPr>
                      <w:rFonts w:eastAsia="Times New Roman" w:cstheme="minorHAns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single" w:sz="6" w:space="0" w:color="auto"/>
                    <w:bottom w:val="nil"/>
                    <w:right w:val="nil"/>
                  </w:tcBorders>
                  <w:shd w:val="clear" w:color="auto" w:fill="D9D9D9" w:themeFill="background1" w:themeFillShade="D9"/>
                  <w:vAlign w:val="center"/>
                </w:tcPr>
                <w:p w14:paraId="7DD1A971" w14:textId="77777777" w:rsidR="00FC17BC" w:rsidRPr="00DF3006" w:rsidRDefault="00FC17BC" w:rsidP="00CC5BBF">
                  <w:pPr>
                    <w:spacing w:after="0"/>
                    <w:ind w:left="-37"/>
                    <w:jc w:val="right"/>
                    <w:rPr>
                      <w:rFonts w:eastAsia="Times New Roman" w:cs="Arial"/>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nil"/>
                  </w:tcBorders>
                  <w:shd w:val="clear" w:color="000000" w:fill="FFFFFF"/>
                  <w:vAlign w:val="center"/>
                </w:tcPr>
                <w:p w14:paraId="6F5E5D8B" w14:textId="77777777" w:rsidR="00FC17BC" w:rsidRPr="00DF3006" w:rsidRDefault="00FC17BC" w:rsidP="00CC5BBF">
                  <w:pPr>
                    <w:spacing w:after="0"/>
                    <w:ind w:right="33"/>
                    <w:jc w:val="right"/>
                    <w:rPr>
                      <w:rFonts w:eastAsia="Times New Roman" w:cstheme="minorHAnsi"/>
                      <w:color w:val="414042" w:themeColor="text1"/>
                      <w:szCs w:val="20"/>
                      <w:lang w:eastAsia="en-AU"/>
                    </w:rPr>
                  </w:pPr>
                  <w:r w:rsidRPr="00DF3006">
                    <w:rPr>
                      <w:rFonts w:eastAsia="Times New Roman" w:cs="Calibri"/>
                      <w:color w:val="414042" w:themeColor="text1"/>
                      <w:szCs w:val="20"/>
                      <w:lang w:eastAsia="en-AU"/>
                    </w:rPr>
                    <w:t>-</w:t>
                  </w:r>
                </w:p>
              </w:tc>
            </w:tr>
            <w:tr w:rsidR="00DF3006" w:rsidRPr="00DF3006" w14:paraId="0ACCA66B" w14:textId="77777777" w:rsidTr="00025E55">
              <w:trPr>
                <w:trHeight w:val="300"/>
              </w:trPr>
              <w:tc>
                <w:tcPr>
                  <w:tcW w:w="2127" w:type="dxa"/>
                  <w:tcBorders>
                    <w:top w:val="nil"/>
                    <w:left w:val="nil"/>
                    <w:right w:val="single" w:sz="6" w:space="0" w:color="auto"/>
                  </w:tcBorders>
                  <w:shd w:val="clear" w:color="000000" w:fill="FFFFFF"/>
                  <w:vAlign w:val="center"/>
                </w:tcPr>
                <w:p w14:paraId="76B5DB4B" w14:textId="77777777" w:rsidR="00FC17BC" w:rsidRPr="00DF3006" w:rsidRDefault="00FC17BC" w:rsidP="00CC5BBF">
                  <w:pPr>
                    <w:spacing w:after="0"/>
                    <w:rPr>
                      <w:rFonts w:eastAsia="Times New Roman" w:cs="Arial"/>
                      <w:color w:val="414042" w:themeColor="text1"/>
                      <w:szCs w:val="20"/>
                      <w:lang w:eastAsia="en-AU"/>
                    </w:rPr>
                  </w:pPr>
                  <w:r w:rsidRPr="00DF3006">
                    <w:rPr>
                      <w:rFonts w:eastAsia="Times New Roman" w:cs="Arial"/>
                      <w:color w:val="414042" w:themeColor="text1"/>
                      <w:szCs w:val="20"/>
                      <w:lang w:eastAsia="en-AU"/>
                    </w:rPr>
                    <w:t xml:space="preserve">Impairment </w:t>
                  </w:r>
                </w:p>
              </w:tc>
              <w:tc>
                <w:tcPr>
                  <w:tcW w:w="832" w:type="dxa"/>
                  <w:tcBorders>
                    <w:top w:val="nil"/>
                    <w:left w:val="single" w:sz="6" w:space="0" w:color="auto"/>
                  </w:tcBorders>
                  <w:shd w:val="clear" w:color="auto" w:fill="D9D9D9" w:themeFill="background1" w:themeFillShade="D9"/>
                  <w:vAlign w:val="center"/>
                </w:tcPr>
                <w:p w14:paraId="39AACBC6" w14:textId="77777777" w:rsidR="00FC17BC" w:rsidRPr="00DF3006" w:rsidRDefault="00FC17BC" w:rsidP="00CC5BBF">
                  <w:pPr>
                    <w:spacing w:after="0"/>
                    <w:jc w:val="right"/>
                    <w:rPr>
                      <w:rFonts w:eastAsia="Times New Roman" w:cstheme="minorHAns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right w:val="single" w:sz="6" w:space="0" w:color="auto"/>
                  </w:tcBorders>
                  <w:shd w:val="clear" w:color="auto" w:fill="auto"/>
                  <w:vAlign w:val="center"/>
                </w:tcPr>
                <w:p w14:paraId="68584AC3" w14:textId="77777777" w:rsidR="00FC17BC" w:rsidRPr="00DF3006" w:rsidRDefault="00FC17BC" w:rsidP="00CC5BBF">
                  <w:pPr>
                    <w:spacing w:after="0"/>
                    <w:jc w:val="right"/>
                    <w:rPr>
                      <w:rFonts w:eastAsia="Times New Roman" w:cstheme="minorHAns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left w:val="single" w:sz="6" w:space="0" w:color="auto"/>
                    <w:bottom w:val="nil"/>
                    <w:right w:val="nil"/>
                  </w:tcBorders>
                  <w:shd w:val="clear" w:color="auto" w:fill="D9D9D9" w:themeFill="background1" w:themeFillShade="D9"/>
                  <w:vAlign w:val="center"/>
                </w:tcPr>
                <w:p w14:paraId="1E3900E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tcPr>
                <w:p w14:paraId="0BE413CE" w14:textId="77777777" w:rsidR="00FC17BC" w:rsidRPr="00DF3006" w:rsidRDefault="00FC17BC" w:rsidP="00CC5BBF">
                  <w:pPr>
                    <w:spacing w:after="0"/>
                    <w:jc w:val="right"/>
                    <w:rPr>
                      <w:rFonts w:eastAsia="Times New Roman" w:cstheme="minorHAnsi"/>
                      <w:color w:val="414042" w:themeColor="text1"/>
                      <w:szCs w:val="20"/>
                      <w:lang w:eastAsia="en-AU"/>
                    </w:rPr>
                  </w:pPr>
                  <w:r w:rsidRPr="00DF3006">
                    <w:rPr>
                      <w:rFonts w:eastAsia="Times New Roman" w:cstheme="minorHAnsi"/>
                      <w:color w:val="414042" w:themeColor="text1"/>
                      <w:szCs w:val="20"/>
                      <w:lang w:eastAsia="en-AU"/>
                    </w:rPr>
                    <w:t>-</w:t>
                  </w:r>
                </w:p>
              </w:tc>
              <w:tc>
                <w:tcPr>
                  <w:tcW w:w="832" w:type="dxa"/>
                  <w:tcBorders>
                    <w:top w:val="nil"/>
                    <w:left w:val="single" w:sz="6" w:space="0" w:color="auto"/>
                    <w:bottom w:val="nil"/>
                    <w:right w:val="nil"/>
                  </w:tcBorders>
                  <w:shd w:val="clear" w:color="auto" w:fill="D9D9D9" w:themeFill="background1" w:themeFillShade="D9"/>
                  <w:vAlign w:val="center"/>
                </w:tcPr>
                <w:p w14:paraId="47D88BAB"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tcPr>
                <w:p w14:paraId="5973040C" w14:textId="77777777" w:rsidR="00FC17BC" w:rsidRPr="00DF3006" w:rsidRDefault="00FC17BC" w:rsidP="00CC5BBF">
                  <w:pPr>
                    <w:spacing w:after="0"/>
                    <w:ind w:right="25"/>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(2,275)</w:t>
                  </w:r>
                </w:p>
              </w:tc>
              <w:tc>
                <w:tcPr>
                  <w:tcW w:w="833" w:type="dxa"/>
                  <w:tcBorders>
                    <w:top w:val="nil"/>
                    <w:left w:val="single" w:sz="6" w:space="0" w:color="auto"/>
                    <w:bottom w:val="nil"/>
                    <w:right w:val="nil"/>
                  </w:tcBorders>
                  <w:shd w:val="clear" w:color="auto" w:fill="D9D9D9" w:themeFill="background1" w:themeFillShade="D9"/>
                  <w:vAlign w:val="center"/>
                </w:tcPr>
                <w:p w14:paraId="2C6F33E6" w14:textId="77777777" w:rsidR="00FC17BC" w:rsidRPr="00DF3006" w:rsidRDefault="00FC17BC" w:rsidP="00CC5BBF">
                  <w:pPr>
                    <w:spacing w:after="0"/>
                    <w:ind w:left="-37"/>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w:t>
                  </w:r>
                </w:p>
              </w:tc>
              <w:tc>
                <w:tcPr>
                  <w:tcW w:w="833" w:type="dxa"/>
                  <w:tcBorders>
                    <w:top w:val="nil"/>
                    <w:left w:val="nil"/>
                    <w:bottom w:val="nil"/>
                    <w:right w:val="nil"/>
                  </w:tcBorders>
                  <w:shd w:val="clear" w:color="000000" w:fill="FFFFFF"/>
                  <w:vAlign w:val="center"/>
                </w:tcPr>
                <w:p w14:paraId="4126DBD7" w14:textId="77777777" w:rsidR="00FC17BC" w:rsidRPr="00DF3006" w:rsidRDefault="00FC17BC" w:rsidP="00CC5BBF">
                  <w:pPr>
                    <w:spacing w:after="0"/>
                    <w:ind w:right="33"/>
                    <w:jc w:val="right"/>
                    <w:rPr>
                      <w:rFonts w:eastAsia="Times New Roman" w:cstheme="minorHAnsi"/>
                      <w:color w:val="414042" w:themeColor="text1"/>
                      <w:szCs w:val="20"/>
                      <w:lang w:eastAsia="en-AU"/>
                    </w:rPr>
                  </w:pPr>
                  <w:r w:rsidRPr="00DF3006">
                    <w:rPr>
                      <w:rFonts w:eastAsia="Times New Roman" w:cs="Arial"/>
                      <w:color w:val="414042" w:themeColor="text1"/>
                      <w:szCs w:val="20"/>
                      <w:lang w:eastAsia="en-AU"/>
                    </w:rPr>
                    <w:t>(2,275)</w:t>
                  </w:r>
                </w:p>
              </w:tc>
            </w:tr>
            <w:tr w:rsidR="00DF3006" w:rsidRPr="00DF3006" w14:paraId="494C3CE9" w14:textId="77777777" w:rsidTr="00025E55">
              <w:trPr>
                <w:trHeight w:val="300"/>
              </w:trPr>
              <w:tc>
                <w:tcPr>
                  <w:tcW w:w="2127" w:type="dxa"/>
                  <w:tcBorders>
                    <w:top w:val="nil"/>
                    <w:left w:val="nil"/>
                    <w:right w:val="single" w:sz="6" w:space="0" w:color="auto"/>
                  </w:tcBorders>
                  <w:shd w:val="clear" w:color="000000" w:fill="FFFFFF"/>
                  <w:vAlign w:val="center"/>
                </w:tcPr>
                <w:p w14:paraId="68190C25" w14:textId="77777777" w:rsidR="00FC17BC" w:rsidRPr="00DF3006" w:rsidRDefault="00FC17BC" w:rsidP="00CC5BBF">
                  <w:pPr>
                    <w:spacing w:after="0"/>
                    <w:rPr>
                      <w:rFonts w:eastAsia="Times New Roman" w:cs="Arial"/>
                      <w:color w:val="414042" w:themeColor="text1"/>
                      <w:szCs w:val="20"/>
                      <w:lang w:eastAsia="en-AU"/>
                    </w:rPr>
                  </w:pPr>
                  <w:r w:rsidRPr="00DF3006">
                    <w:rPr>
                      <w:rFonts w:eastAsia="Times New Roman" w:cs="Arial"/>
                      <w:color w:val="414042" w:themeColor="text1"/>
                      <w:szCs w:val="20"/>
                      <w:lang w:eastAsia="en-AU"/>
                    </w:rPr>
                    <w:t>Transfers between classes</w:t>
                  </w:r>
                </w:p>
              </w:tc>
              <w:tc>
                <w:tcPr>
                  <w:tcW w:w="832" w:type="dxa"/>
                  <w:tcBorders>
                    <w:top w:val="nil"/>
                    <w:left w:val="single" w:sz="6" w:space="0" w:color="auto"/>
                  </w:tcBorders>
                  <w:shd w:val="clear" w:color="auto" w:fill="D9D9D9" w:themeFill="background1" w:themeFillShade="D9"/>
                  <w:vAlign w:val="center"/>
                </w:tcPr>
                <w:p w14:paraId="23F3C6E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right w:val="single" w:sz="6" w:space="0" w:color="auto"/>
                  </w:tcBorders>
                  <w:shd w:val="clear" w:color="auto" w:fill="auto"/>
                  <w:vAlign w:val="center"/>
                </w:tcPr>
                <w:p w14:paraId="5A224F21"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single" w:sz="6" w:space="0" w:color="auto"/>
                    <w:right w:val="nil"/>
                  </w:tcBorders>
                  <w:shd w:val="clear" w:color="auto" w:fill="D9D9D9" w:themeFill="background1" w:themeFillShade="D9"/>
                  <w:vAlign w:val="center"/>
                </w:tcPr>
                <w:p w14:paraId="71427C3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nil"/>
                    <w:right w:val="single" w:sz="6" w:space="0" w:color="auto"/>
                  </w:tcBorders>
                  <w:shd w:val="clear" w:color="000000" w:fill="FFFFFF"/>
                  <w:vAlign w:val="center"/>
                </w:tcPr>
                <w:p w14:paraId="1EA3C13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2" w:type="dxa"/>
                  <w:tcBorders>
                    <w:top w:val="nil"/>
                    <w:left w:val="single" w:sz="6" w:space="0" w:color="auto"/>
                    <w:right w:val="nil"/>
                  </w:tcBorders>
                  <w:shd w:val="clear" w:color="auto" w:fill="D9D9D9" w:themeFill="background1" w:themeFillShade="D9"/>
                  <w:vAlign w:val="center"/>
                </w:tcPr>
                <w:p w14:paraId="0B382B3B"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w:t>
                  </w:r>
                </w:p>
              </w:tc>
              <w:tc>
                <w:tcPr>
                  <w:tcW w:w="833" w:type="dxa"/>
                  <w:tcBorders>
                    <w:top w:val="nil"/>
                    <w:left w:val="nil"/>
                    <w:right w:val="single" w:sz="6" w:space="0" w:color="auto"/>
                  </w:tcBorders>
                  <w:shd w:val="clear" w:color="000000" w:fill="FFFFFF"/>
                  <w:vAlign w:val="center"/>
                </w:tcPr>
                <w:p w14:paraId="04DF3E85" w14:textId="77777777" w:rsidR="00FC17BC" w:rsidRPr="00DF3006" w:rsidRDefault="00FC17BC" w:rsidP="00CC5BBF">
                  <w:pPr>
                    <w:spacing w:after="0"/>
                    <w:ind w:right="25"/>
                    <w:jc w:val="right"/>
                    <w:rPr>
                      <w:rFonts w:eastAsia="Times New Roman" w:cs="Arial"/>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left w:val="single" w:sz="6" w:space="0" w:color="auto"/>
                    <w:right w:val="nil"/>
                  </w:tcBorders>
                  <w:shd w:val="clear" w:color="auto" w:fill="D9D9D9" w:themeFill="background1" w:themeFillShade="D9"/>
                  <w:vAlign w:val="center"/>
                </w:tcPr>
                <w:p w14:paraId="036E1DC1" w14:textId="77777777" w:rsidR="00FC17BC" w:rsidRPr="00DF3006" w:rsidRDefault="00FC17BC" w:rsidP="00CC5BBF">
                  <w:pPr>
                    <w:spacing w:after="0"/>
                    <w:ind w:left="-37"/>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w:t>
                  </w:r>
                </w:p>
              </w:tc>
              <w:tc>
                <w:tcPr>
                  <w:tcW w:w="833" w:type="dxa"/>
                  <w:tcBorders>
                    <w:top w:val="nil"/>
                    <w:left w:val="nil"/>
                    <w:right w:val="nil"/>
                  </w:tcBorders>
                  <w:shd w:val="clear" w:color="000000" w:fill="FFFFFF"/>
                  <w:vAlign w:val="center"/>
                </w:tcPr>
                <w:p w14:paraId="327839C0" w14:textId="77777777" w:rsidR="00FC17BC" w:rsidRPr="00DF3006" w:rsidRDefault="00FC17BC" w:rsidP="00CC5BBF">
                  <w:pPr>
                    <w:spacing w:after="0"/>
                    <w:ind w:right="33"/>
                    <w:jc w:val="right"/>
                    <w:rPr>
                      <w:rFonts w:eastAsia="Times New Roman" w:cs="Arial"/>
                      <w:color w:val="414042" w:themeColor="text1"/>
                      <w:szCs w:val="20"/>
                      <w:lang w:eastAsia="en-AU"/>
                    </w:rPr>
                  </w:pPr>
                  <w:r w:rsidRPr="00DF3006">
                    <w:rPr>
                      <w:rFonts w:eastAsia="Times New Roman" w:cs="Calibri"/>
                      <w:color w:val="414042" w:themeColor="text1"/>
                      <w:szCs w:val="20"/>
                      <w:lang w:eastAsia="en-AU"/>
                    </w:rPr>
                    <w:t>-</w:t>
                  </w:r>
                </w:p>
              </w:tc>
            </w:tr>
            <w:tr w:rsidR="00DF3006" w:rsidRPr="00DF3006" w14:paraId="288373D5" w14:textId="77777777" w:rsidTr="00025E55">
              <w:trPr>
                <w:trHeight w:val="300"/>
              </w:trPr>
              <w:tc>
                <w:tcPr>
                  <w:tcW w:w="2127" w:type="dxa"/>
                  <w:tcBorders>
                    <w:top w:val="nil"/>
                    <w:left w:val="nil"/>
                    <w:right w:val="single" w:sz="6" w:space="0" w:color="auto"/>
                  </w:tcBorders>
                  <w:shd w:val="clear" w:color="000000" w:fill="FFFFFF"/>
                  <w:vAlign w:val="center"/>
                  <w:hideMark/>
                </w:tcPr>
                <w:p w14:paraId="0CC99F66"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Arial"/>
                      <w:color w:val="414042" w:themeColor="text1"/>
                      <w:szCs w:val="20"/>
                      <w:lang w:eastAsia="en-AU"/>
                    </w:rPr>
                    <w:t>Amortisation¹</w:t>
                  </w:r>
                </w:p>
              </w:tc>
              <w:tc>
                <w:tcPr>
                  <w:tcW w:w="832" w:type="dxa"/>
                  <w:tcBorders>
                    <w:top w:val="nil"/>
                    <w:left w:val="single" w:sz="6" w:space="0" w:color="auto"/>
                  </w:tcBorders>
                  <w:shd w:val="clear" w:color="auto" w:fill="D9D9D9" w:themeFill="background1" w:themeFillShade="D9"/>
                  <w:vAlign w:val="center"/>
                </w:tcPr>
                <w:p w14:paraId="2DF4BCFC"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(7)</w:t>
                  </w:r>
                </w:p>
              </w:tc>
              <w:tc>
                <w:tcPr>
                  <w:tcW w:w="833" w:type="dxa"/>
                  <w:tcBorders>
                    <w:top w:val="nil"/>
                    <w:right w:val="single" w:sz="6" w:space="0" w:color="auto"/>
                  </w:tcBorders>
                  <w:shd w:val="clear" w:color="auto" w:fill="auto"/>
                  <w:vAlign w:val="center"/>
                </w:tcPr>
                <w:p w14:paraId="2102DA7A" w14:textId="77777777" w:rsidR="00FC17BC" w:rsidRPr="00DF3006" w:rsidRDefault="00FC17BC" w:rsidP="00CC5BBF">
                  <w:pPr>
                    <w:spacing w:after="0"/>
                    <w:jc w:val="right"/>
                    <w:rPr>
                      <w:rFonts w:eastAsia="Times New Roman" w:cs="Arial"/>
                      <w:color w:val="414042" w:themeColor="text1"/>
                      <w:szCs w:val="20"/>
                      <w:lang w:eastAsia="en-AU"/>
                    </w:rPr>
                  </w:pPr>
                  <w:r w:rsidRPr="00DF3006">
                    <w:rPr>
                      <w:rFonts w:eastAsia="Times New Roman" w:cs="Arial"/>
                      <w:color w:val="414042" w:themeColor="text1"/>
                      <w:szCs w:val="20"/>
                      <w:lang w:eastAsia="en-AU"/>
                    </w:rPr>
                    <w:t>(35)</w:t>
                  </w:r>
                </w:p>
              </w:tc>
              <w:tc>
                <w:tcPr>
                  <w:tcW w:w="833" w:type="dxa"/>
                  <w:tcBorders>
                    <w:top w:val="nil"/>
                    <w:left w:val="single" w:sz="6" w:space="0" w:color="auto"/>
                  </w:tcBorders>
                  <w:shd w:val="clear" w:color="auto" w:fill="D9D9D9" w:themeFill="background1" w:themeFillShade="D9"/>
                  <w:vAlign w:val="center"/>
                </w:tcPr>
                <w:p w14:paraId="0584466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(277)</w:t>
                  </w:r>
                </w:p>
              </w:tc>
              <w:tc>
                <w:tcPr>
                  <w:tcW w:w="833" w:type="dxa"/>
                  <w:tcBorders>
                    <w:top w:val="nil"/>
                    <w:right w:val="single" w:sz="6" w:space="0" w:color="auto"/>
                  </w:tcBorders>
                  <w:shd w:val="clear" w:color="000000" w:fill="FFFFFF"/>
                  <w:vAlign w:val="center"/>
                  <w:hideMark/>
                </w:tcPr>
                <w:p w14:paraId="3E8C925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(277)</w:t>
                  </w:r>
                </w:p>
              </w:tc>
              <w:tc>
                <w:tcPr>
                  <w:tcW w:w="832" w:type="dxa"/>
                  <w:tcBorders>
                    <w:top w:val="nil"/>
                    <w:left w:val="single" w:sz="6" w:space="0" w:color="auto"/>
                  </w:tcBorders>
                  <w:shd w:val="clear" w:color="auto" w:fill="D9D9D9" w:themeFill="background1" w:themeFillShade="D9"/>
                  <w:vAlign w:val="center"/>
                </w:tcPr>
                <w:p w14:paraId="31D7CA2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833" w:type="dxa"/>
                  <w:tcBorders>
                    <w:top w:val="nil"/>
                    <w:right w:val="single" w:sz="6" w:space="0" w:color="auto"/>
                  </w:tcBorders>
                  <w:shd w:val="clear" w:color="000000" w:fill="FFFFFF"/>
                  <w:vAlign w:val="center"/>
                  <w:hideMark/>
                </w:tcPr>
                <w:p w14:paraId="3E74431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theme="minorHAnsi"/>
                      <w:color w:val="414042" w:themeColor="text1"/>
                      <w:szCs w:val="20"/>
                      <w:lang w:eastAsia="en-AU"/>
                    </w:rPr>
                    <w:t>-</w:t>
                  </w:r>
                </w:p>
              </w:tc>
              <w:tc>
                <w:tcPr>
                  <w:tcW w:w="833" w:type="dxa"/>
                  <w:tcBorders>
                    <w:top w:val="nil"/>
                    <w:left w:val="single" w:sz="6" w:space="0" w:color="auto"/>
                  </w:tcBorders>
                  <w:shd w:val="clear" w:color="auto" w:fill="D9D9D9" w:themeFill="background1" w:themeFillShade="D9"/>
                  <w:vAlign w:val="center"/>
                </w:tcPr>
                <w:p w14:paraId="0D3EB747" w14:textId="77777777" w:rsidR="00FC17BC" w:rsidRPr="00DF3006" w:rsidRDefault="00FC17BC" w:rsidP="00CC5BBF">
                  <w:pPr>
                    <w:spacing w:after="0"/>
                    <w:ind w:left="-37"/>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(284)</w:t>
                  </w:r>
                </w:p>
              </w:tc>
              <w:tc>
                <w:tcPr>
                  <w:tcW w:w="833" w:type="dxa"/>
                  <w:tcBorders>
                    <w:top w:val="nil"/>
                    <w:right w:val="nil"/>
                  </w:tcBorders>
                  <w:shd w:val="clear" w:color="000000" w:fill="FFFFFF"/>
                  <w:vAlign w:val="center"/>
                  <w:hideMark/>
                </w:tcPr>
                <w:p w14:paraId="3A09E42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(312)</w:t>
                  </w:r>
                </w:p>
              </w:tc>
            </w:tr>
            <w:tr w:rsidR="00DF3006" w:rsidRPr="00DF3006" w14:paraId="6883C12B" w14:textId="77777777" w:rsidTr="00025E55">
              <w:trPr>
                <w:trHeight w:val="300"/>
              </w:trPr>
              <w:tc>
                <w:tcPr>
                  <w:tcW w:w="2127" w:type="dxa"/>
                  <w:tcBorders>
                    <w:left w:val="nil"/>
                    <w:bottom w:val="single" w:sz="6" w:space="0" w:color="auto"/>
                    <w:right w:val="single" w:sz="6" w:space="0" w:color="auto"/>
                  </w:tcBorders>
                  <w:shd w:val="clear" w:color="000000" w:fill="FFFFFF"/>
                  <w:vAlign w:val="center"/>
                </w:tcPr>
                <w:p w14:paraId="55FF71EB" w14:textId="77777777" w:rsidR="00FC17BC" w:rsidRPr="00DF3006" w:rsidRDefault="00FC17BC" w:rsidP="00CC5BBF">
                  <w:pPr>
                    <w:spacing w:after="0"/>
                    <w:rPr>
                      <w:rFonts w:eastAsia="Times New Roman" w:cs="Arial"/>
                      <w:color w:val="414042" w:themeColor="text1"/>
                      <w:szCs w:val="20"/>
                      <w:lang w:eastAsia="en-AU"/>
                    </w:rPr>
                  </w:pPr>
                </w:p>
              </w:tc>
              <w:tc>
                <w:tcPr>
                  <w:tcW w:w="832" w:type="dxa"/>
                  <w:tcBorders>
                    <w:left w:val="single" w:sz="6" w:space="0" w:color="auto"/>
                    <w:bottom w:val="single" w:sz="6" w:space="0" w:color="auto"/>
                  </w:tcBorders>
                  <w:shd w:val="clear" w:color="auto" w:fill="D9D9D9" w:themeFill="background1" w:themeFillShade="D9"/>
                  <w:vAlign w:val="center"/>
                </w:tcPr>
                <w:p w14:paraId="43C21F69" w14:textId="77777777" w:rsidR="00FC17BC" w:rsidRPr="00DF3006" w:rsidRDefault="00FC17BC" w:rsidP="00CC5BBF">
                  <w:pPr>
                    <w:spacing w:after="0"/>
                    <w:jc w:val="right"/>
                    <w:rPr>
                      <w:rFonts w:eastAsia="Times New Roman" w:cs="Arial"/>
                      <w:color w:val="414042" w:themeColor="text1"/>
                      <w:szCs w:val="20"/>
                      <w:lang w:eastAsia="en-AU"/>
                    </w:rPr>
                  </w:pPr>
                </w:p>
              </w:tc>
              <w:tc>
                <w:tcPr>
                  <w:tcW w:w="833" w:type="dxa"/>
                  <w:tcBorders>
                    <w:bottom w:val="single" w:sz="6" w:space="0" w:color="auto"/>
                    <w:right w:val="single" w:sz="6" w:space="0" w:color="auto"/>
                  </w:tcBorders>
                  <w:shd w:val="clear" w:color="auto" w:fill="auto"/>
                  <w:vAlign w:val="center"/>
                </w:tcPr>
                <w:p w14:paraId="093BCD39" w14:textId="77777777" w:rsidR="00FC17BC" w:rsidRPr="00DF3006" w:rsidRDefault="00FC17BC" w:rsidP="00CC5BBF">
                  <w:pPr>
                    <w:spacing w:after="0"/>
                    <w:jc w:val="right"/>
                    <w:rPr>
                      <w:rFonts w:eastAsia="Times New Roman" w:cs="Arial"/>
                      <w:color w:val="414042" w:themeColor="text1"/>
                      <w:szCs w:val="20"/>
                      <w:lang w:eastAsia="en-AU"/>
                    </w:rPr>
                  </w:pPr>
                </w:p>
              </w:tc>
              <w:tc>
                <w:tcPr>
                  <w:tcW w:w="833" w:type="dxa"/>
                  <w:tcBorders>
                    <w:left w:val="single" w:sz="6" w:space="0" w:color="auto"/>
                    <w:bottom w:val="single" w:sz="6" w:space="0" w:color="auto"/>
                  </w:tcBorders>
                  <w:shd w:val="clear" w:color="auto" w:fill="D9D9D9" w:themeFill="background1" w:themeFillShade="D9"/>
                  <w:vAlign w:val="center"/>
                </w:tcPr>
                <w:p w14:paraId="563CC186" w14:textId="77777777" w:rsidR="00FC17BC" w:rsidRPr="00DF3006" w:rsidRDefault="00FC17BC" w:rsidP="00CC5BBF">
                  <w:pPr>
                    <w:spacing w:after="0"/>
                    <w:jc w:val="right"/>
                    <w:rPr>
                      <w:rFonts w:eastAsia="Times New Roman" w:cs="Calibri"/>
                      <w:color w:val="414042" w:themeColor="text1"/>
                      <w:szCs w:val="20"/>
                      <w:lang w:eastAsia="en-AU"/>
                    </w:rPr>
                  </w:pPr>
                </w:p>
              </w:tc>
              <w:tc>
                <w:tcPr>
                  <w:tcW w:w="833" w:type="dxa"/>
                  <w:tcBorders>
                    <w:bottom w:val="single" w:sz="6" w:space="0" w:color="auto"/>
                    <w:right w:val="single" w:sz="6" w:space="0" w:color="auto"/>
                  </w:tcBorders>
                  <w:shd w:val="clear" w:color="000000" w:fill="FFFFFF"/>
                  <w:vAlign w:val="center"/>
                </w:tcPr>
                <w:p w14:paraId="73D905E5" w14:textId="77777777" w:rsidR="00FC17BC" w:rsidRPr="00DF3006" w:rsidRDefault="00FC17BC" w:rsidP="00CC5BBF">
                  <w:pPr>
                    <w:spacing w:after="0"/>
                    <w:jc w:val="right"/>
                    <w:rPr>
                      <w:rFonts w:eastAsia="Times New Roman" w:cs="Calibri"/>
                      <w:color w:val="414042" w:themeColor="text1"/>
                      <w:szCs w:val="20"/>
                      <w:lang w:eastAsia="en-AU"/>
                    </w:rPr>
                  </w:pPr>
                </w:p>
              </w:tc>
              <w:tc>
                <w:tcPr>
                  <w:tcW w:w="832" w:type="dxa"/>
                  <w:tcBorders>
                    <w:left w:val="single" w:sz="6" w:space="0" w:color="auto"/>
                    <w:bottom w:val="single" w:sz="6" w:space="0" w:color="auto"/>
                  </w:tcBorders>
                  <w:shd w:val="clear" w:color="auto" w:fill="D9D9D9" w:themeFill="background1" w:themeFillShade="D9"/>
                  <w:vAlign w:val="center"/>
                </w:tcPr>
                <w:p w14:paraId="67C428B0" w14:textId="77777777" w:rsidR="00FC17BC" w:rsidRPr="00DF3006" w:rsidRDefault="00FC17BC" w:rsidP="00CC5BBF">
                  <w:pPr>
                    <w:spacing w:after="0"/>
                    <w:jc w:val="right"/>
                    <w:rPr>
                      <w:rFonts w:eastAsia="Times New Roman" w:cs="Calibri"/>
                      <w:color w:val="414042" w:themeColor="text1"/>
                      <w:szCs w:val="20"/>
                      <w:lang w:eastAsia="en-AU"/>
                    </w:rPr>
                  </w:pPr>
                </w:p>
              </w:tc>
              <w:tc>
                <w:tcPr>
                  <w:tcW w:w="833" w:type="dxa"/>
                  <w:tcBorders>
                    <w:bottom w:val="single" w:sz="6" w:space="0" w:color="auto"/>
                    <w:right w:val="single" w:sz="6" w:space="0" w:color="auto"/>
                  </w:tcBorders>
                  <w:shd w:val="clear" w:color="000000" w:fill="FFFFFF"/>
                  <w:vAlign w:val="center"/>
                </w:tcPr>
                <w:p w14:paraId="6B59C393" w14:textId="77777777" w:rsidR="00FC17BC" w:rsidRPr="00DF3006" w:rsidRDefault="00FC17BC" w:rsidP="00CC5BBF">
                  <w:pPr>
                    <w:spacing w:after="0"/>
                    <w:jc w:val="right"/>
                    <w:rPr>
                      <w:rFonts w:eastAsia="Times New Roman" w:cstheme="minorHAnsi"/>
                      <w:color w:val="414042" w:themeColor="text1"/>
                      <w:szCs w:val="20"/>
                      <w:lang w:eastAsia="en-AU"/>
                    </w:rPr>
                  </w:pPr>
                </w:p>
              </w:tc>
              <w:tc>
                <w:tcPr>
                  <w:tcW w:w="833" w:type="dxa"/>
                  <w:tcBorders>
                    <w:left w:val="single" w:sz="6" w:space="0" w:color="auto"/>
                    <w:bottom w:val="single" w:sz="6" w:space="0" w:color="auto"/>
                  </w:tcBorders>
                  <w:shd w:val="clear" w:color="auto" w:fill="D9D9D9" w:themeFill="background1" w:themeFillShade="D9"/>
                  <w:vAlign w:val="center"/>
                </w:tcPr>
                <w:p w14:paraId="6DB0BDDC" w14:textId="77777777" w:rsidR="00FC17BC" w:rsidRPr="00DF3006" w:rsidRDefault="00FC17BC" w:rsidP="00CC5BBF">
                  <w:pPr>
                    <w:spacing w:after="0"/>
                    <w:ind w:left="-37"/>
                    <w:jc w:val="right"/>
                    <w:rPr>
                      <w:rFonts w:eastAsia="Times New Roman" w:cs="Calibri"/>
                      <w:color w:val="414042" w:themeColor="text1"/>
                      <w:szCs w:val="20"/>
                      <w:lang w:eastAsia="en-AU"/>
                    </w:rPr>
                  </w:pPr>
                </w:p>
              </w:tc>
              <w:tc>
                <w:tcPr>
                  <w:tcW w:w="833" w:type="dxa"/>
                  <w:tcBorders>
                    <w:bottom w:val="single" w:sz="6" w:space="0" w:color="auto"/>
                    <w:right w:val="nil"/>
                  </w:tcBorders>
                  <w:shd w:val="clear" w:color="000000" w:fill="FFFFFF"/>
                  <w:vAlign w:val="center"/>
                </w:tcPr>
                <w:p w14:paraId="30708AA6"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595879A3" w14:textId="77777777" w:rsidTr="00025E55">
              <w:trPr>
                <w:trHeight w:val="300"/>
              </w:trPr>
              <w:tc>
                <w:tcPr>
                  <w:tcW w:w="2127" w:type="dxa"/>
                  <w:tcBorders>
                    <w:top w:val="single" w:sz="6" w:space="0" w:color="auto"/>
                    <w:left w:val="nil"/>
                    <w:bottom w:val="double" w:sz="4" w:space="0" w:color="auto"/>
                    <w:right w:val="single" w:sz="6" w:space="0" w:color="auto"/>
                  </w:tcBorders>
                  <w:shd w:val="clear" w:color="000000" w:fill="FFFFFF"/>
                  <w:vAlign w:val="center"/>
                  <w:hideMark/>
                </w:tcPr>
                <w:p w14:paraId="219677AC" w14:textId="77777777" w:rsidR="00FC17BC" w:rsidRPr="00DF3006" w:rsidRDefault="00FC17BC" w:rsidP="00CC5BBF">
                  <w:pPr>
                    <w:spacing w:after="0"/>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 xml:space="preserve">Carrying amount at </w:t>
                  </w:r>
                </w:p>
                <w:p w14:paraId="2479CE4A" w14:textId="77777777" w:rsidR="00FC17BC" w:rsidRPr="00DF3006" w:rsidRDefault="00FC17BC" w:rsidP="00CC5BBF">
                  <w:pPr>
                    <w:spacing w:after="0"/>
                    <w:rPr>
                      <w:rFonts w:eastAsia="Times New Roman" w:cs="Calibri"/>
                      <w:b/>
                      <w:bCs/>
                      <w:color w:val="414042" w:themeColor="text1"/>
                      <w:szCs w:val="20"/>
                      <w:lang w:eastAsia="en-AU"/>
                    </w:rPr>
                  </w:pPr>
                  <w:r w:rsidRPr="00DF3006">
                    <w:rPr>
                      <w:rFonts w:eastAsia="Times New Roman" w:cs="Arial"/>
                      <w:b/>
                      <w:bCs/>
                      <w:color w:val="414042" w:themeColor="text1"/>
                      <w:szCs w:val="20"/>
                      <w:lang w:eastAsia="en-AU"/>
                    </w:rPr>
                    <w:t xml:space="preserve">30 June </w:t>
                  </w:r>
                </w:p>
              </w:tc>
              <w:tc>
                <w:tcPr>
                  <w:tcW w:w="832" w:type="dxa"/>
                  <w:tcBorders>
                    <w:top w:val="single" w:sz="6" w:space="0" w:color="auto"/>
                    <w:left w:val="single" w:sz="6" w:space="0" w:color="auto"/>
                    <w:bottom w:val="double" w:sz="4" w:space="0" w:color="auto"/>
                  </w:tcBorders>
                  <w:shd w:val="clear" w:color="auto" w:fill="D9D9D9" w:themeFill="background1" w:themeFillShade="D9"/>
                  <w:vAlign w:val="center"/>
                </w:tcPr>
                <w:p w14:paraId="6FEBA753" w14:textId="77777777" w:rsidR="00FC17BC" w:rsidRPr="00DF3006" w:rsidRDefault="00FC17BC" w:rsidP="00CC5BBF">
                  <w:pPr>
                    <w:spacing w:after="0"/>
                    <w:jc w:val="right"/>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9</w:t>
                  </w:r>
                </w:p>
              </w:tc>
              <w:tc>
                <w:tcPr>
                  <w:tcW w:w="833" w:type="dxa"/>
                  <w:tcBorders>
                    <w:top w:val="single" w:sz="6" w:space="0" w:color="auto"/>
                    <w:bottom w:val="double" w:sz="4" w:space="0" w:color="auto"/>
                    <w:right w:val="single" w:sz="6" w:space="0" w:color="auto"/>
                  </w:tcBorders>
                  <w:shd w:val="clear" w:color="auto" w:fill="auto"/>
                  <w:vAlign w:val="center"/>
                </w:tcPr>
                <w:p w14:paraId="3E7F0F11" w14:textId="77777777" w:rsidR="00FC17BC" w:rsidRPr="00DF3006" w:rsidRDefault="00FC17BC" w:rsidP="00CC5BBF">
                  <w:pPr>
                    <w:spacing w:after="0"/>
                    <w:jc w:val="right"/>
                    <w:rPr>
                      <w:rFonts w:eastAsia="Times New Roman" w:cs="Arial"/>
                      <w:b/>
                      <w:bCs/>
                      <w:color w:val="414042" w:themeColor="text1"/>
                      <w:szCs w:val="20"/>
                      <w:lang w:eastAsia="en-AU"/>
                    </w:rPr>
                  </w:pPr>
                  <w:r w:rsidRPr="00DF3006">
                    <w:rPr>
                      <w:rFonts w:eastAsia="Times New Roman" w:cs="Arial"/>
                      <w:b/>
                      <w:bCs/>
                      <w:color w:val="414042" w:themeColor="text1"/>
                      <w:szCs w:val="20"/>
                      <w:lang w:eastAsia="en-AU"/>
                    </w:rPr>
                    <w:t>16</w:t>
                  </w:r>
                </w:p>
              </w:tc>
              <w:tc>
                <w:tcPr>
                  <w:tcW w:w="833" w:type="dxa"/>
                  <w:tcBorders>
                    <w:top w:val="single" w:sz="6" w:space="0" w:color="auto"/>
                    <w:left w:val="single" w:sz="6" w:space="0" w:color="auto"/>
                    <w:bottom w:val="double" w:sz="4" w:space="0" w:color="auto"/>
                  </w:tcBorders>
                  <w:shd w:val="clear" w:color="auto" w:fill="D9D9D9" w:themeFill="background1" w:themeFillShade="D9"/>
                  <w:vAlign w:val="center"/>
                </w:tcPr>
                <w:p w14:paraId="2B71D904"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597</w:t>
                  </w:r>
                </w:p>
              </w:tc>
              <w:tc>
                <w:tcPr>
                  <w:tcW w:w="833" w:type="dxa"/>
                  <w:tcBorders>
                    <w:top w:val="single" w:sz="6" w:space="0" w:color="auto"/>
                    <w:bottom w:val="double" w:sz="4" w:space="0" w:color="auto"/>
                    <w:right w:val="single" w:sz="6" w:space="0" w:color="auto"/>
                  </w:tcBorders>
                  <w:shd w:val="clear" w:color="000000" w:fill="FFFFFF"/>
                  <w:vAlign w:val="center"/>
                  <w:hideMark/>
                </w:tcPr>
                <w:p w14:paraId="499F4020"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874</w:t>
                  </w:r>
                </w:p>
              </w:tc>
              <w:tc>
                <w:tcPr>
                  <w:tcW w:w="832" w:type="dxa"/>
                  <w:tcBorders>
                    <w:top w:val="single" w:sz="6" w:space="0" w:color="auto"/>
                    <w:left w:val="single" w:sz="6" w:space="0" w:color="auto"/>
                    <w:bottom w:val="double" w:sz="4" w:space="0" w:color="auto"/>
                  </w:tcBorders>
                  <w:shd w:val="clear" w:color="auto" w:fill="D9D9D9" w:themeFill="background1" w:themeFillShade="D9"/>
                  <w:vAlign w:val="center"/>
                </w:tcPr>
                <w:p w14:paraId="7D6BE503"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w:t>
                  </w:r>
                </w:p>
              </w:tc>
              <w:tc>
                <w:tcPr>
                  <w:tcW w:w="833" w:type="dxa"/>
                  <w:tcBorders>
                    <w:top w:val="single" w:sz="6" w:space="0" w:color="auto"/>
                    <w:bottom w:val="double" w:sz="4" w:space="0" w:color="auto"/>
                    <w:right w:val="single" w:sz="6" w:space="0" w:color="auto"/>
                  </w:tcBorders>
                  <w:shd w:val="clear" w:color="000000" w:fill="FFFFFF"/>
                  <w:vAlign w:val="center"/>
                  <w:hideMark/>
                </w:tcPr>
                <w:p w14:paraId="2F3D98AE"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w:t>
                  </w:r>
                </w:p>
              </w:tc>
              <w:tc>
                <w:tcPr>
                  <w:tcW w:w="833" w:type="dxa"/>
                  <w:tcBorders>
                    <w:top w:val="single" w:sz="6" w:space="0" w:color="auto"/>
                    <w:left w:val="single" w:sz="6" w:space="0" w:color="auto"/>
                    <w:bottom w:val="double" w:sz="4" w:space="0" w:color="auto"/>
                  </w:tcBorders>
                  <w:shd w:val="clear" w:color="auto" w:fill="D9D9D9" w:themeFill="background1" w:themeFillShade="D9"/>
                  <w:vAlign w:val="center"/>
                </w:tcPr>
                <w:p w14:paraId="691716F6" w14:textId="77777777" w:rsidR="00FC17BC" w:rsidRPr="00DF3006" w:rsidRDefault="00FC17BC" w:rsidP="00CC5BBF">
                  <w:pPr>
                    <w:spacing w:after="0"/>
                    <w:ind w:left="-37"/>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606</w:t>
                  </w:r>
                </w:p>
              </w:tc>
              <w:tc>
                <w:tcPr>
                  <w:tcW w:w="833" w:type="dxa"/>
                  <w:tcBorders>
                    <w:top w:val="single" w:sz="6" w:space="0" w:color="auto"/>
                    <w:bottom w:val="double" w:sz="4" w:space="0" w:color="auto"/>
                    <w:right w:val="nil"/>
                  </w:tcBorders>
                  <w:shd w:val="clear" w:color="000000" w:fill="FFFFFF"/>
                  <w:vAlign w:val="center"/>
                  <w:hideMark/>
                </w:tcPr>
                <w:p w14:paraId="35D8CDB5"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890</w:t>
                  </w:r>
                </w:p>
              </w:tc>
            </w:tr>
          </w:tbl>
          <w:p w14:paraId="323F36BC" w14:textId="77777777" w:rsidR="00FC17BC" w:rsidRPr="00DF3006" w:rsidRDefault="00FC17BC" w:rsidP="00025E55">
            <w:pPr>
              <w:pStyle w:val="Normal115pttext"/>
              <w:spacing w:line="240" w:lineRule="auto"/>
              <w:ind w:left="284" w:hanging="284"/>
              <w:rPr>
                <w:rFonts w:cstheme="minorHAnsi"/>
                <w:color w:val="414042" w:themeColor="text1"/>
                <w:sz w:val="18"/>
                <w:szCs w:val="18"/>
              </w:rPr>
            </w:pPr>
            <w:r w:rsidRPr="00DF3006">
              <w:rPr>
                <w:rFonts w:cstheme="minorHAnsi"/>
                <w:b w:val="0"/>
                <w:bCs/>
                <w:color w:val="414042" w:themeColor="text1"/>
                <w:sz w:val="18"/>
                <w:szCs w:val="18"/>
              </w:rPr>
              <w:t xml:space="preserve">¹      </w:t>
            </w:r>
            <w:r w:rsidRPr="00DF3006">
              <w:rPr>
                <w:rFonts w:cstheme="minorHAnsi"/>
                <w:b w:val="0"/>
                <w:color w:val="414042" w:themeColor="text1"/>
                <w:sz w:val="17"/>
                <w:szCs w:val="17"/>
              </w:rPr>
              <w:t>Amortisation of intangibles is included in the line item “Depreciation and amortisation” in the Statement of Comprehensive income.</w:t>
            </w:r>
            <w:r w:rsidRPr="00DF3006">
              <w:rPr>
                <w:rFonts w:cstheme="minorHAnsi"/>
                <w:color w:val="414042" w:themeColor="text1"/>
                <w:sz w:val="18"/>
                <w:szCs w:val="18"/>
              </w:rPr>
              <w:t xml:space="preserve"> </w:t>
            </w:r>
          </w:p>
          <w:p w14:paraId="3E239FF1" w14:textId="77777777" w:rsidR="00FC17BC" w:rsidRPr="00DF3006" w:rsidRDefault="00FC17BC" w:rsidP="00025E55">
            <w:pPr>
              <w:pStyle w:val="Normal1stpara"/>
              <w:spacing w:line="240" w:lineRule="auto"/>
              <w:ind w:left="284" w:hanging="284"/>
              <w:jc w:val="both"/>
              <w:rPr>
                <w:color w:val="414042" w:themeColor="text1"/>
                <w:sz w:val="17"/>
                <w:szCs w:val="17"/>
                <w:lang w:eastAsia="en-AU"/>
              </w:rPr>
            </w:pPr>
            <w:r w:rsidRPr="00DF3006">
              <w:rPr>
                <w:color w:val="414042" w:themeColor="text1"/>
                <w:sz w:val="17"/>
                <w:szCs w:val="17"/>
                <w:vertAlign w:val="superscript"/>
                <w:lang w:eastAsia="en-AU"/>
              </w:rPr>
              <w:t>2</w:t>
            </w:r>
            <w:r w:rsidRPr="00DF3006">
              <w:rPr>
                <w:color w:val="414042" w:themeColor="text1"/>
                <w:sz w:val="17"/>
                <w:szCs w:val="17"/>
                <w:lang w:eastAsia="en-AU"/>
              </w:rPr>
              <w:t xml:space="preserve">     The Integrated Case Management System (ICMS) project was impaired in financial year 2021-22.  Refer to note 9 Impairment Losses</w:t>
            </w:r>
          </w:p>
          <w:p w14:paraId="77BBABA0" w14:textId="77777777" w:rsidR="00FC17BC" w:rsidRPr="00DF3006" w:rsidRDefault="00FC17BC" w:rsidP="00025E55">
            <w:pPr>
              <w:pStyle w:val="Normal115pttext"/>
              <w:spacing w:line="240" w:lineRule="auto"/>
              <w:ind w:left="284" w:hanging="284"/>
              <w:rPr>
                <w:rFonts w:cstheme="minorHAnsi"/>
                <w:color w:val="414042" w:themeColor="text1"/>
                <w:sz w:val="18"/>
                <w:szCs w:val="18"/>
              </w:rPr>
            </w:pPr>
          </w:p>
          <w:p w14:paraId="75B41979" w14:textId="1C4149EB" w:rsidR="00FC17BC" w:rsidRPr="00DF3006" w:rsidRDefault="00FC17BC" w:rsidP="00025E55">
            <w:pPr>
              <w:pStyle w:val="Normal115pttext"/>
              <w:spacing w:line="240" w:lineRule="auto"/>
              <w:jc w:val="both"/>
              <w:rPr>
                <w:color w:val="414042" w:themeColor="text1"/>
              </w:rPr>
            </w:pPr>
          </w:p>
          <w:p w14:paraId="0FBD8E7F" w14:textId="77777777" w:rsidR="00CC5BBF" w:rsidRPr="00DF3006" w:rsidRDefault="00CC5BBF" w:rsidP="00025E55">
            <w:pPr>
              <w:pStyle w:val="Normal115pttext"/>
              <w:spacing w:line="240" w:lineRule="auto"/>
              <w:jc w:val="both"/>
              <w:rPr>
                <w:color w:val="414042" w:themeColor="text1"/>
              </w:rPr>
            </w:pPr>
          </w:p>
          <w:p w14:paraId="19423D02" w14:textId="77777777" w:rsidR="00FC17BC" w:rsidRPr="00DF3006" w:rsidRDefault="00FC17BC" w:rsidP="00025E55">
            <w:pPr>
              <w:pStyle w:val="Normal115pttext"/>
              <w:spacing w:line="240" w:lineRule="auto"/>
              <w:jc w:val="both"/>
              <w:rPr>
                <w:color w:val="414042" w:themeColor="text1"/>
              </w:rPr>
            </w:pPr>
          </w:p>
          <w:p w14:paraId="1D2B278E" w14:textId="77777777" w:rsidR="00FC17BC" w:rsidRPr="00DF3006" w:rsidRDefault="00FC17BC" w:rsidP="001C06A7">
            <w:pPr>
              <w:pStyle w:val="Normal115pttext"/>
              <w:spacing w:line="240" w:lineRule="auto"/>
              <w:rPr>
                <w:color w:val="414042" w:themeColor="text1"/>
              </w:rPr>
            </w:pPr>
            <w:r w:rsidRPr="00DF3006">
              <w:rPr>
                <w:color w:val="414042" w:themeColor="text1"/>
              </w:rPr>
              <w:t>Note 9:  Impairment Losses</w:t>
            </w:r>
          </w:p>
          <w:p w14:paraId="1B994469" w14:textId="77777777" w:rsidR="00FC17BC" w:rsidRPr="00DF3006" w:rsidRDefault="00FC17BC" w:rsidP="00025E55">
            <w:pPr>
              <w:pStyle w:val="Normal1stpara"/>
              <w:spacing w:line="240" w:lineRule="auto"/>
              <w:jc w:val="both"/>
              <w:rPr>
                <w:color w:val="414042" w:themeColor="text1"/>
              </w:rPr>
            </w:pP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DF3006" w:rsidRPr="00DF3006" w14:paraId="6D1F209B" w14:textId="77777777" w:rsidTr="00025E55">
              <w:tc>
                <w:tcPr>
                  <w:tcW w:w="9067" w:type="dxa"/>
                </w:tcPr>
                <w:p w14:paraId="61E2311B"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3D82C528" w14:textId="77777777" w:rsidR="00FC17BC" w:rsidRPr="00DF3006" w:rsidRDefault="00FC17BC" w:rsidP="00025E55">
                  <w:pPr>
                    <w:pStyle w:val="Policyfollowingparas"/>
                    <w:spacing w:line="240" w:lineRule="auto"/>
                    <w:rPr>
                      <w:b/>
                      <w:i/>
                      <w:color w:val="414042" w:themeColor="text1"/>
                    </w:rPr>
                  </w:pPr>
                </w:p>
                <w:p w14:paraId="5CD25C08" w14:textId="77777777" w:rsidR="00FC17BC" w:rsidRPr="00DF3006" w:rsidRDefault="00FC17BC" w:rsidP="00025E55">
                  <w:pPr>
                    <w:pStyle w:val="Policyfollowingparas"/>
                    <w:rPr>
                      <w:color w:val="414042" w:themeColor="text1"/>
                    </w:rPr>
                  </w:pPr>
                  <w:r w:rsidRPr="00DF3006">
                    <w:rPr>
                      <w:b/>
                      <w:i/>
                      <w:color w:val="414042" w:themeColor="text1"/>
                    </w:rPr>
                    <w:t xml:space="preserve">Property, </w:t>
                  </w:r>
                  <w:proofErr w:type="gramStart"/>
                  <w:r w:rsidRPr="00DF3006">
                    <w:rPr>
                      <w:b/>
                      <w:i/>
                      <w:color w:val="414042" w:themeColor="text1"/>
                    </w:rPr>
                    <w:t>plant</w:t>
                  </w:r>
                  <w:proofErr w:type="gramEnd"/>
                  <w:r w:rsidRPr="00DF3006">
                    <w:rPr>
                      <w:b/>
                      <w:i/>
                      <w:color w:val="414042" w:themeColor="text1"/>
                    </w:rPr>
                    <w:t xml:space="preserve"> and equipment – </w:t>
                  </w:r>
                  <w:r w:rsidRPr="00DF3006">
                    <w:rPr>
                      <w:color w:val="414042" w:themeColor="text1"/>
                    </w:rPr>
                    <w:t>Impairment of non-current physical assets is the decline in the service potential of an asset over and above the use reflected through depreciation.</w:t>
                  </w:r>
                </w:p>
                <w:p w14:paraId="0D218A35" w14:textId="77777777" w:rsidR="00FC17BC" w:rsidRPr="00DF3006" w:rsidRDefault="00FC17BC" w:rsidP="00025E55">
                  <w:pPr>
                    <w:pStyle w:val="Policyfollowingparas"/>
                    <w:spacing w:line="240" w:lineRule="auto"/>
                    <w:rPr>
                      <w:color w:val="414042" w:themeColor="text1"/>
                    </w:rPr>
                  </w:pPr>
                  <w:r w:rsidRPr="00DF3006">
                    <w:rPr>
                      <w:color w:val="414042" w:themeColor="text1"/>
                    </w:rPr>
                    <w:t>All non-current physical assets are assessed for indicators of impairment on an annual basis. If an indicator of possible impairment exists, the CCC determines the assets recoverable amount. Any amount by which the asset’s carrying amount exceeds the recoverable amount is recorded as an impairment loss. An impairment loss is recognised immediately in the Statement of Comprehensive Income.</w:t>
                  </w:r>
                </w:p>
                <w:p w14:paraId="5ABFCAED" w14:textId="77777777" w:rsidR="00FC17BC" w:rsidRPr="00DF3006" w:rsidRDefault="00FC17BC" w:rsidP="00025E55">
                  <w:pPr>
                    <w:pStyle w:val="Policyfollowingparas"/>
                    <w:spacing w:line="240" w:lineRule="auto"/>
                    <w:rPr>
                      <w:b/>
                      <w:i/>
                      <w:color w:val="414042" w:themeColor="text1"/>
                    </w:rPr>
                  </w:pPr>
                  <w:r w:rsidRPr="00DF3006">
                    <w:rPr>
                      <w:color w:val="414042" w:themeColor="text1"/>
                    </w:rPr>
                    <w:t>As part of the stocktake process, impairment was assessed over all CCC assets. The result of this review was that no physical asset was impaired.</w:t>
                  </w:r>
                </w:p>
                <w:p w14:paraId="0AD8BE5E" w14:textId="77777777" w:rsidR="00FC17BC" w:rsidRPr="00DF3006" w:rsidRDefault="00FC17BC" w:rsidP="00025E55">
                  <w:pPr>
                    <w:pStyle w:val="Policyfollowingparas"/>
                    <w:spacing w:line="240" w:lineRule="auto"/>
                    <w:rPr>
                      <w:b/>
                      <w:i/>
                      <w:color w:val="414042" w:themeColor="text1"/>
                    </w:rPr>
                  </w:pPr>
                </w:p>
                <w:p w14:paraId="380BCE93" w14:textId="77777777" w:rsidR="00FC17BC" w:rsidRPr="00DF3006" w:rsidRDefault="00FC17BC" w:rsidP="00025E55">
                  <w:pPr>
                    <w:pStyle w:val="Policyfollowingparas"/>
                    <w:spacing w:line="240" w:lineRule="auto"/>
                    <w:rPr>
                      <w:color w:val="414042" w:themeColor="text1"/>
                    </w:rPr>
                  </w:pPr>
                  <w:r w:rsidRPr="00DF3006">
                    <w:rPr>
                      <w:b/>
                      <w:i/>
                      <w:color w:val="414042" w:themeColor="text1"/>
                    </w:rPr>
                    <w:t xml:space="preserve">Intangible assets – </w:t>
                  </w:r>
                  <w:r w:rsidRPr="00DF3006">
                    <w:rPr>
                      <w:color w:val="414042" w:themeColor="text1"/>
                    </w:rPr>
                    <w:t xml:space="preserve">All intangible assets are assessed for indicators of impairment on an annual basis. If an indicator of possible impairment exists, the CCC determines the asset’s recoverable amount. Any amount by which the asset’s carrying amount exceeds the recoverable amount is recorded as an impairment loss. </w:t>
                  </w:r>
                </w:p>
                <w:p w14:paraId="3800C09C" w14:textId="77777777" w:rsidR="00FC17BC" w:rsidRPr="00DF3006" w:rsidRDefault="00FC17BC" w:rsidP="00025E55">
                  <w:pPr>
                    <w:pStyle w:val="Policyfollowingparas"/>
                    <w:spacing w:line="240" w:lineRule="auto"/>
                    <w:rPr>
                      <w:color w:val="414042" w:themeColor="text1"/>
                      <w:sz w:val="28"/>
                      <w:szCs w:val="28"/>
                    </w:rPr>
                  </w:pPr>
                </w:p>
                <w:p w14:paraId="0FE9E708" w14:textId="77777777" w:rsidR="00FC17BC" w:rsidRPr="00DF3006" w:rsidRDefault="00FC17BC" w:rsidP="00025E55">
                  <w:pPr>
                    <w:pStyle w:val="Policyheading"/>
                    <w:spacing w:line="240" w:lineRule="auto"/>
                    <w:rPr>
                      <w:color w:val="414042" w:themeColor="text1"/>
                    </w:rPr>
                  </w:pPr>
                  <w:r w:rsidRPr="00DF3006">
                    <w:rPr>
                      <w:color w:val="414042" w:themeColor="text1"/>
                    </w:rPr>
                    <w:t>Impairment event (Intangible asset):</w:t>
                  </w:r>
                </w:p>
                <w:p w14:paraId="1B50E6E4" w14:textId="77777777" w:rsidR="00FC17BC" w:rsidRPr="00DF3006" w:rsidRDefault="00FC17BC" w:rsidP="00025E55">
                  <w:pPr>
                    <w:rPr>
                      <w:color w:val="414042" w:themeColor="text1"/>
                    </w:rPr>
                  </w:pPr>
                  <w:r w:rsidRPr="00DF3006">
                    <w:rPr>
                      <w:color w:val="414042" w:themeColor="text1"/>
                    </w:rPr>
                    <w:t xml:space="preserve">In September 2018, the CCC commenced the build of an Integrated Case Management System (ICMS). During 2020 work had been completed with </w:t>
                  </w:r>
                  <w:proofErr w:type="gramStart"/>
                  <w:r w:rsidRPr="00DF3006">
                    <w:rPr>
                      <w:color w:val="414042" w:themeColor="text1"/>
                    </w:rPr>
                    <w:t>a number of</w:t>
                  </w:r>
                  <w:proofErr w:type="gramEnd"/>
                  <w:r w:rsidRPr="00DF3006">
                    <w:rPr>
                      <w:color w:val="414042" w:themeColor="text1"/>
                    </w:rPr>
                    <w:t xml:space="preserve"> Project Change Requests issued by the vendor. However, in late 2020 several security vulnerabilities were then detected within components of the ICMS. </w:t>
                  </w:r>
                </w:p>
                <w:p w14:paraId="09B66929" w14:textId="77777777" w:rsidR="00FC17BC" w:rsidRPr="00DF3006" w:rsidRDefault="00FC17BC" w:rsidP="00025E55">
                  <w:pPr>
                    <w:rPr>
                      <w:color w:val="414042" w:themeColor="text1"/>
                    </w:rPr>
                  </w:pPr>
                  <w:r w:rsidRPr="00DF3006">
                    <w:rPr>
                      <w:color w:val="414042" w:themeColor="text1"/>
                    </w:rPr>
                    <w:t xml:space="preserve">During further assessment of the ICMS product in August 2021, it was identified that the software required significant reconfiguration to address the security vulnerabilities. This resulted in the project being abandoned in September 2021. </w:t>
                  </w:r>
                </w:p>
                <w:p w14:paraId="35ED0371" w14:textId="77777777" w:rsidR="00FC17BC" w:rsidRPr="00DF3006" w:rsidRDefault="00FC17BC" w:rsidP="00025E55">
                  <w:pPr>
                    <w:rPr>
                      <w:color w:val="414042" w:themeColor="text1"/>
                    </w:rPr>
                  </w:pPr>
                  <w:r w:rsidRPr="00DF3006">
                    <w:rPr>
                      <w:color w:val="414042" w:themeColor="text1"/>
                    </w:rPr>
                    <w:t xml:space="preserve">Consequently, an impairment loss of $2.275 million was recognised in the statement of comprehensive income equal to the development costs incurred previously and recorded as work-in-progress. There was no recoverable amount for any intangible assets </w:t>
                  </w:r>
                  <w:proofErr w:type="gramStart"/>
                  <w:r w:rsidRPr="00DF3006">
                    <w:rPr>
                      <w:color w:val="414042" w:themeColor="text1"/>
                    </w:rPr>
                    <w:t>at</w:t>
                  </w:r>
                  <w:proofErr w:type="gramEnd"/>
                  <w:r w:rsidRPr="00DF3006">
                    <w:rPr>
                      <w:color w:val="414042" w:themeColor="text1"/>
                    </w:rPr>
                    <w:t xml:space="preserve"> 30 June 2022 as no assets were completed in the 2021-22 financial year. There’re no impairment losses in financial year 2022-23. </w:t>
                  </w:r>
                </w:p>
                <w:p w14:paraId="60A9CCB5" w14:textId="77777777" w:rsidR="00FC17BC" w:rsidRPr="00DF3006" w:rsidRDefault="00FC17BC" w:rsidP="00025E55">
                  <w:pPr>
                    <w:pStyle w:val="Policyfollowingparas"/>
                    <w:spacing w:line="240" w:lineRule="auto"/>
                    <w:rPr>
                      <w:color w:val="414042" w:themeColor="text1"/>
                    </w:rPr>
                  </w:pPr>
                </w:p>
              </w:tc>
            </w:tr>
          </w:tbl>
          <w:p w14:paraId="5E32C6E1" w14:textId="77777777" w:rsidR="00FC17BC" w:rsidRPr="00DF3006" w:rsidRDefault="00FC17BC" w:rsidP="00025E55">
            <w:pPr>
              <w:pStyle w:val="Normal115pttext"/>
              <w:spacing w:line="240" w:lineRule="auto"/>
              <w:jc w:val="both"/>
              <w:rPr>
                <w:color w:val="414042" w:themeColor="text1"/>
              </w:rPr>
            </w:pPr>
          </w:p>
          <w:p w14:paraId="5D048738" w14:textId="77777777" w:rsidR="00FC17BC" w:rsidRPr="00DF3006" w:rsidRDefault="00FC17BC" w:rsidP="00025E55">
            <w:pPr>
              <w:pStyle w:val="Normal115pttext"/>
              <w:spacing w:line="240" w:lineRule="auto"/>
              <w:rPr>
                <w:color w:val="414042" w:themeColor="text1"/>
              </w:rPr>
            </w:pPr>
            <w:r w:rsidRPr="00DF3006">
              <w:rPr>
                <w:color w:val="414042" w:themeColor="text1"/>
              </w:rPr>
              <w:t>Impairment Losses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2B144D74" w14:textId="77777777" w:rsidTr="00025E55">
              <w:trPr>
                <w:trHeight w:val="20"/>
              </w:trPr>
              <w:tc>
                <w:tcPr>
                  <w:tcW w:w="5529" w:type="dxa"/>
                  <w:tcBorders>
                    <w:top w:val="nil"/>
                    <w:left w:val="nil"/>
                    <w:bottom w:val="nil"/>
                  </w:tcBorders>
                  <w:noWrap/>
                  <w:tcMar>
                    <w:left w:w="0" w:type="dxa"/>
                    <w:right w:w="0" w:type="dxa"/>
                  </w:tcMar>
                  <w:vAlign w:val="bottom"/>
                </w:tcPr>
                <w:p w14:paraId="11C45540"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34072CE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2534E2D"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20EAD22A"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B8D697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2A219B35" w14:textId="77777777" w:rsidTr="00025E55">
              <w:trPr>
                <w:trHeight w:val="20"/>
              </w:trPr>
              <w:tc>
                <w:tcPr>
                  <w:tcW w:w="5529" w:type="dxa"/>
                  <w:tcBorders>
                    <w:top w:val="nil"/>
                    <w:left w:val="nil"/>
                    <w:bottom w:val="nil"/>
                  </w:tcBorders>
                  <w:noWrap/>
                  <w:tcMar>
                    <w:left w:w="0" w:type="dxa"/>
                    <w:right w:w="0" w:type="dxa"/>
                  </w:tcMar>
                  <w:vAlign w:val="bottom"/>
                </w:tcPr>
                <w:p w14:paraId="44EC36C7"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34FE4FC1"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B466254"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7636E15E"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270BD79"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429DCC66" w14:textId="77777777" w:rsidTr="00025E55">
              <w:trPr>
                <w:trHeight w:val="20"/>
              </w:trPr>
              <w:tc>
                <w:tcPr>
                  <w:tcW w:w="5529" w:type="dxa"/>
                  <w:tcBorders>
                    <w:top w:val="nil"/>
                    <w:left w:val="nil"/>
                    <w:bottom w:val="nil"/>
                  </w:tcBorders>
                  <w:noWrap/>
                  <w:tcMar>
                    <w:left w:w="0" w:type="dxa"/>
                    <w:right w:w="0" w:type="dxa"/>
                  </w:tcMar>
                </w:tcPr>
                <w:p w14:paraId="664C0855" w14:textId="77777777" w:rsidR="00FC17BC" w:rsidRPr="00DF3006" w:rsidRDefault="00FC17BC" w:rsidP="00025E55">
                  <w:pPr>
                    <w:pStyle w:val="Normaltabletextleft"/>
                    <w:spacing w:line="240" w:lineRule="auto"/>
                    <w:rPr>
                      <w:bCs w:val="0"/>
                      <w:color w:val="414042" w:themeColor="text1"/>
                      <w:lang w:eastAsia="en-AU"/>
                    </w:rPr>
                  </w:pPr>
                </w:p>
              </w:tc>
              <w:tc>
                <w:tcPr>
                  <w:tcW w:w="567" w:type="dxa"/>
                  <w:tcBorders>
                    <w:top w:val="nil"/>
                    <w:bottom w:val="nil"/>
                  </w:tcBorders>
                  <w:noWrap/>
                  <w:tcMar>
                    <w:left w:w="0" w:type="dxa"/>
                    <w:right w:w="0" w:type="dxa"/>
                  </w:tcMar>
                  <w:vAlign w:val="bottom"/>
                </w:tcPr>
                <w:p w14:paraId="0DE89B0B"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F90B9A2"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5E2E3E0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F0DE1D7"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685958A0" w14:textId="77777777" w:rsidTr="00025E55">
              <w:trPr>
                <w:trHeight w:val="20"/>
              </w:trPr>
              <w:tc>
                <w:tcPr>
                  <w:tcW w:w="5529" w:type="dxa"/>
                  <w:tcBorders>
                    <w:top w:val="nil"/>
                    <w:left w:val="nil"/>
                    <w:bottom w:val="nil"/>
                  </w:tcBorders>
                  <w:noWrap/>
                  <w:tcMar>
                    <w:left w:w="0" w:type="dxa"/>
                    <w:right w:w="0" w:type="dxa"/>
                  </w:tcMar>
                </w:tcPr>
                <w:p w14:paraId="3AB72FFC" w14:textId="77777777" w:rsidR="00FC17BC" w:rsidRPr="00DF3006" w:rsidRDefault="00FC17BC" w:rsidP="00025E55">
                  <w:pPr>
                    <w:pStyle w:val="Normaltabletextleft"/>
                    <w:spacing w:line="240" w:lineRule="auto"/>
                    <w:rPr>
                      <w:bCs w:val="0"/>
                      <w:color w:val="414042" w:themeColor="text1"/>
                      <w:lang w:eastAsia="en-AU"/>
                    </w:rPr>
                  </w:pPr>
                </w:p>
              </w:tc>
              <w:tc>
                <w:tcPr>
                  <w:tcW w:w="567" w:type="dxa"/>
                  <w:tcBorders>
                    <w:top w:val="nil"/>
                    <w:bottom w:val="nil"/>
                  </w:tcBorders>
                  <w:noWrap/>
                  <w:tcMar>
                    <w:left w:w="0" w:type="dxa"/>
                    <w:right w:w="0" w:type="dxa"/>
                  </w:tcMar>
                  <w:vAlign w:val="bottom"/>
                </w:tcPr>
                <w:p w14:paraId="20B8A29A"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642AF6E"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275105B9"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A556039"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6AB1A34F" w14:textId="77777777" w:rsidTr="00025E55">
              <w:trPr>
                <w:trHeight w:val="20"/>
              </w:trPr>
              <w:tc>
                <w:tcPr>
                  <w:tcW w:w="5529" w:type="dxa"/>
                  <w:tcBorders>
                    <w:top w:val="nil"/>
                    <w:left w:val="nil"/>
                    <w:bottom w:val="nil"/>
                  </w:tcBorders>
                  <w:noWrap/>
                  <w:tcMar>
                    <w:left w:w="0" w:type="dxa"/>
                    <w:right w:w="0" w:type="dxa"/>
                  </w:tcMar>
                </w:tcPr>
                <w:p w14:paraId="46A9DDDF" w14:textId="77777777" w:rsidR="00FC17BC" w:rsidRPr="00DF3006" w:rsidRDefault="00FC17BC" w:rsidP="00025E55">
                  <w:pPr>
                    <w:pStyle w:val="Normaltabletextleft"/>
                    <w:spacing w:line="240" w:lineRule="auto"/>
                    <w:rPr>
                      <w:bCs w:val="0"/>
                      <w:color w:val="414042" w:themeColor="text1"/>
                      <w:lang w:eastAsia="en-AU"/>
                    </w:rPr>
                  </w:pPr>
                  <w:r w:rsidRPr="00DF3006">
                    <w:rPr>
                      <w:bCs w:val="0"/>
                      <w:color w:val="414042" w:themeColor="text1"/>
                      <w:lang w:eastAsia="en-AU"/>
                    </w:rPr>
                    <w:t>Intangibles</w:t>
                  </w:r>
                </w:p>
              </w:tc>
              <w:tc>
                <w:tcPr>
                  <w:tcW w:w="567" w:type="dxa"/>
                  <w:tcBorders>
                    <w:top w:val="nil"/>
                    <w:bottom w:val="nil"/>
                  </w:tcBorders>
                  <w:noWrap/>
                  <w:tcMar>
                    <w:left w:w="0" w:type="dxa"/>
                    <w:right w:w="0" w:type="dxa"/>
                  </w:tcMar>
                  <w:vAlign w:val="bottom"/>
                </w:tcPr>
                <w:p w14:paraId="7DB1957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0C0E8A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c>
                <w:tcPr>
                  <w:tcW w:w="283" w:type="dxa"/>
                  <w:tcBorders>
                    <w:top w:val="nil"/>
                    <w:bottom w:val="nil"/>
                  </w:tcBorders>
                  <w:noWrap/>
                </w:tcPr>
                <w:p w14:paraId="23AB0FE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48D458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 xml:space="preserve">           2,275</w:t>
                  </w:r>
                </w:p>
              </w:tc>
            </w:tr>
            <w:tr w:rsidR="00DF3006" w:rsidRPr="00DF3006" w14:paraId="6A6820C8" w14:textId="77777777" w:rsidTr="00025E55">
              <w:trPr>
                <w:trHeight w:val="20"/>
              </w:trPr>
              <w:tc>
                <w:tcPr>
                  <w:tcW w:w="5529" w:type="dxa"/>
                  <w:tcBorders>
                    <w:top w:val="nil"/>
                    <w:left w:val="nil"/>
                    <w:bottom w:val="nil"/>
                  </w:tcBorders>
                  <w:noWrap/>
                  <w:tcMar>
                    <w:left w:w="0" w:type="dxa"/>
                    <w:right w:w="0" w:type="dxa"/>
                  </w:tcMar>
                  <w:vAlign w:val="bottom"/>
                </w:tcPr>
                <w:p w14:paraId="3BD3085B" w14:textId="77777777" w:rsidR="00FC17BC" w:rsidRPr="00DF3006" w:rsidRDefault="00FC17BC" w:rsidP="00025E55">
                  <w:pPr>
                    <w:pStyle w:val="Normaltabletextleft"/>
                    <w:tabs>
                      <w:tab w:val="left" w:pos="0"/>
                    </w:tabs>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29F47229"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nil"/>
                    <w:bottom w:val="single" w:sz="4" w:space="0" w:color="auto"/>
                  </w:tcBorders>
                  <w:shd w:val="clear" w:color="auto" w:fill="D9D9D9" w:themeFill="background1" w:themeFillShade="D9"/>
                  <w:noWrap/>
                  <w:tcMar>
                    <w:left w:w="0" w:type="dxa"/>
                    <w:right w:w="113" w:type="dxa"/>
                  </w:tcMar>
                  <w:vAlign w:val="bottom"/>
                </w:tcPr>
                <w:p w14:paraId="21CC6657" w14:textId="77777777" w:rsidR="00FC17BC" w:rsidRPr="00DF3006" w:rsidRDefault="00FC17BC" w:rsidP="00025E55">
                  <w:pPr>
                    <w:pStyle w:val="Normaltabletext1stpararight"/>
                    <w:spacing w:line="240" w:lineRule="auto"/>
                    <w:rPr>
                      <w:b/>
                      <w:iCs/>
                      <w:color w:val="414042" w:themeColor="text1"/>
                      <w:lang w:eastAsia="en-AU"/>
                    </w:rPr>
                  </w:pPr>
                </w:p>
              </w:tc>
              <w:tc>
                <w:tcPr>
                  <w:tcW w:w="283" w:type="dxa"/>
                  <w:tcBorders>
                    <w:top w:val="nil"/>
                    <w:bottom w:val="single" w:sz="4" w:space="0" w:color="auto"/>
                  </w:tcBorders>
                  <w:noWrap/>
                </w:tcPr>
                <w:p w14:paraId="397ECA1C" w14:textId="77777777" w:rsidR="00FC17BC" w:rsidRPr="00DF3006" w:rsidRDefault="00FC17BC" w:rsidP="00025E55">
                  <w:pPr>
                    <w:pStyle w:val="Normaltabletextleft"/>
                    <w:spacing w:line="240" w:lineRule="auto"/>
                    <w:rPr>
                      <w:b/>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501C57FB" w14:textId="77777777" w:rsidR="00FC17BC" w:rsidRPr="00DF3006" w:rsidRDefault="00FC17BC" w:rsidP="00025E55">
                  <w:pPr>
                    <w:pStyle w:val="Normaltabletext1stpararight"/>
                    <w:spacing w:line="240" w:lineRule="auto"/>
                    <w:rPr>
                      <w:b/>
                      <w:iCs/>
                      <w:color w:val="414042" w:themeColor="text1"/>
                      <w:lang w:eastAsia="en-AU"/>
                    </w:rPr>
                  </w:pPr>
                </w:p>
              </w:tc>
            </w:tr>
            <w:tr w:rsidR="00DF3006" w:rsidRPr="00DF3006" w14:paraId="7AB78942" w14:textId="77777777" w:rsidTr="00025E55">
              <w:trPr>
                <w:trHeight w:val="20"/>
              </w:trPr>
              <w:tc>
                <w:tcPr>
                  <w:tcW w:w="5529" w:type="dxa"/>
                  <w:tcBorders>
                    <w:top w:val="nil"/>
                    <w:left w:val="nil"/>
                    <w:bottom w:val="nil"/>
                  </w:tcBorders>
                  <w:noWrap/>
                  <w:tcMar>
                    <w:left w:w="0" w:type="dxa"/>
                    <w:right w:w="0" w:type="dxa"/>
                  </w:tcMar>
                  <w:vAlign w:val="bottom"/>
                </w:tcPr>
                <w:p w14:paraId="37BE8860"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23829E0C"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64F5FDA9"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w:t>
                  </w:r>
                </w:p>
              </w:tc>
              <w:tc>
                <w:tcPr>
                  <w:tcW w:w="283" w:type="dxa"/>
                  <w:tcBorders>
                    <w:top w:val="single" w:sz="4" w:space="0" w:color="auto"/>
                    <w:bottom w:val="double" w:sz="4" w:space="0" w:color="auto"/>
                  </w:tcBorders>
                  <w:noWrap/>
                </w:tcPr>
                <w:p w14:paraId="4C112B4A"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49B68921" w14:textId="77777777" w:rsidR="00FC17BC" w:rsidRPr="00DF3006" w:rsidRDefault="00FC17BC" w:rsidP="00025E55">
                  <w:pPr>
                    <w:pStyle w:val="Normaltabletext1stpararight"/>
                    <w:spacing w:line="240" w:lineRule="auto"/>
                    <w:rPr>
                      <w:bCs w:val="0"/>
                      <w:iCs/>
                      <w:color w:val="414042" w:themeColor="text1"/>
                      <w:lang w:eastAsia="en-AU"/>
                    </w:rPr>
                  </w:pPr>
                  <w:r w:rsidRPr="00DF3006">
                    <w:rPr>
                      <w:b/>
                      <w:iCs/>
                      <w:color w:val="414042" w:themeColor="text1"/>
                      <w:lang w:eastAsia="en-AU"/>
                    </w:rPr>
                    <w:t>2,275</w:t>
                  </w:r>
                </w:p>
              </w:tc>
            </w:tr>
          </w:tbl>
          <w:p w14:paraId="6E1993BF" w14:textId="77777777" w:rsidR="00FC17BC" w:rsidRPr="00DF3006" w:rsidRDefault="00FC17BC" w:rsidP="00025E55">
            <w:pPr>
              <w:pStyle w:val="Normal115pttext"/>
              <w:spacing w:line="240" w:lineRule="auto"/>
              <w:rPr>
                <w:color w:val="414042" w:themeColor="text1"/>
              </w:rPr>
            </w:pPr>
          </w:p>
          <w:p w14:paraId="66460071" w14:textId="77777777" w:rsidR="00FC17BC" w:rsidRPr="00DF3006" w:rsidRDefault="00FC17BC" w:rsidP="00025E55">
            <w:pPr>
              <w:pStyle w:val="Normal115pttext"/>
              <w:spacing w:line="240" w:lineRule="auto"/>
              <w:jc w:val="both"/>
              <w:rPr>
                <w:color w:val="414042" w:themeColor="text1"/>
              </w:rPr>
            </w:pPr>
          </w:p>
          <w:p w14:paraId="268BEB35" w14:textId="77777777" w:rsidR="00FC17BC" w:rsidRPr="00DF3006" w:rsidRDefault="00FC17BC" w:rsidP="00025E55">
            <w:pPr>
              <w:pStyle w:val="Normal115pttext"/>
              <w:spacing w:line="240" w:lineRule="auto"/>
              <w:jc w:val="both"/>
              <w:rPr>
                <w:color w:val="414042" w:themeColor="text1"/>
              </w:rPr>
            </w:pPr>
          </w:p>
          <w:p w14:paraId="60CB2944" w14:textId="77777777" w:rsidR="00FC17BC" w:rsidRPr="00DF3006" w:rsidRDefault="00FC17BC" w:rsidP="00025E55">
            <w:pPr>
              <w:pStyle w:val="Normal115pttext"/>
              <w:spacing w:line="240" w:lineRule="auto"/>
              <w:jc w:val="both"/>
              <w:rPr>
                <w:color w:val="414042" w:themeColor="text1"/>
              </w:rPr>
            </w:pPr>
          </w:p>
          <w:p w14:paraId="6CFB0DD0" w14:textId="77777777" w:rsidR="00FC17BC" w:rsidRPr="00DF3006" w:rsidRDefault="00FC17BC" w:rsidP="00025E55">
            <w:pPr>
              <w:pStyle w:val="Normal115pttext"/>
              <w:spacing w:line="240" w:lineRule="auto"/>
              <w:jc w:val="both"/>
              <w:rPr>
                <w:color w:val="414042" w:themeColor="text1"/>
              </w:rPr>
            </w:pPr>
          </w:p>
          <w:p w14:paraId="764DC4EB" w14:textId="77777777" w:rsidR="00FC17BC" w:rsidRPr="00DF3006" w:rsidRDefault="00FC17BC" w:rsidP="001C06A7">
            <w:pPr>
              <w:pStyle w:val="Normal115pttext"/>
              <w:spacing w:line="240" w:lineRule="auto"/>
              <w:rPr>
                <w:color w:val="414042" w:themeColor="text1"/>
              </w:rPr>
            </w:pPr>
            <w:r w:rsidRPr="00DF3006">
              <w:rPr>
                <w:color w:val="414042" w:themeColor="text1"/>
              </w:rPr>
              <w:t>Note 10:  Property, Plant and Equipment</w:t>
            </w:r>
          </w:p>
          <w:p w14:paraId="20885BFE" w14:textId="77777777" w:rsidR="00FC17BC" w:rsidRPr="00DF3006" w:rsidRDefault="00FC17BC" w:rsidP="00025E55">
            <w:pPr>
              <w:pStyle w:val="Noteswithhangingindent"/>
              <w:spacing w:line="240" w:lineRule="auto"/>
              <w:jc w:val="both"/>
            </w:pPr>
          </w:p>
        </w:tc>
      </w:tr>
    </w:tbl>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DF3006" w:rsidRPr="00DF3006" w14:paraId="52FFB5E7" w14:textId="77777777" w:rsidTr="00025E55">
        <w:tc>
          <w:tcPr>
            <w:tcW w:w="9067" w:type="dxa"/>
            <w:tcBorders>
              <w:bottom w:val="single" w:sz="4" w:space="0" w:color="auto"/>
            </w:tcBorders>
          </w:tcPr>
          <w:bookmarkEnd w:id="1940"/>
          <w:p w14:paraId="20D660E8"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5B506D2F" w14:textId="77777777" w:rsidR="00FC17BC" w:rsidRPr="00DF3006" w:rsidRDefault="00FC17BC" w:rsidP="00025E55">
            <w:pPr>
              <w:pStyle w:val="Policyfollowingparas"/>
              <w:spacing w:line="240" w:lineRule="auto"/>
              <w:rPr>
                <w:bCs/>
                <w:iCs/>
                <w:color w:val="414042" w:themeColor="text1"/>
              </w:rPr>
            </w:pPr>
            <w:r w:rsidRPr="00DF3006">
              <w:rPr>
                <w:b/>
                <w:i/>
                <w:color w:val="414042" w:themeColor="text1"/>
              </w:rPr>
              <w:t xml:space="preserve">Recognition – </w:t>
            </w:r>
            <w:r w:rsidRPr="00DF3006">
              <w:rPr>
                <w:bCs/>
                <w:iCs/>
                <w:color w:val="414042" w:themeColor="text1"/>
              </w:rPr>
              <w:t xml:space="preserve">All property, plant and equipment are initially recognised and subsequently measured at cost. Cost comprises purchase price plus additional expenditure incurred to maintain the asset in the condition necessary to be used as intended. </w:t>
            </w:r>
          </w:p>
          <w:p w14:paraId="37799A29" w14:textId="77777777" w:rsidR="00FC17BC" w:rsidRPr="00DF3006" w:rsidRDefault="00FC17BC" w:rsidP="00025E55">
            <w:pPr>
              <w:pStyle w:val="Policyfollowingparas"/>
              <w:spacing w:line="240" w:lineRule="auto"/>
              <w:rPr>
                <w:bCs/>
                <w:iCs/>
                <w:color w:val="414042" w:themeColor="text1"/>
              </w:rPr>
            </w:pPr>
            <w:r w:rsidRPr="00DF3006">
              <w:rPr>
                <w:bCs/>
                <w:iCs/>
                <w:color w:val="414042" w:themeColor="text1"/>
              </w:rPr>
              <w:t xml:space="preserve">Items of Property, Plant and Equipment (PPE) are recognised in the Statement of Financial Position where their initial acquisition costs equal or exceed $5,000. Items with a lesser value are expensed in the year of acquisition. </w:t>
            </w:r>
          </w:p>
          <w:p w14:paraId="4F1BFAEC" w14:textId="77777777" w:rsidR="00FC17BC" w:rsidRPr="00DF3006" w:rsidRDefault="00FC17BC" w:rsidP="00025E55">
            <w:pPr>
              <w:pStyle w:val="Policyfollowingparas"/>
              <w:spacing w:line="240" w:lineRule="auto"/>
              <w:rPr>
                <w:bCs/>
                <w:iCs/>
                <w:color w:val="414042" w:themeColor="text1"/>
              </w:rPr>
            </w:pPr>
          </w:p>
          <w:p w14:paraId="7F761C60" w14:textId="77777777" w:rsidR="00FC17BC" w:rsidRPr="00DF3006" w:rsidRDefault="00FC17BC" w:rsidP="00025E55">
            <w:pPr>
              <w:pStyle w:val="Policyfollowingparas"/>
              <w:spacing w:line="240" w:lineRule="auto"/>
              <w:rPr>
                <w:color w:val="414042" w:themeColor="text1"/>
              </w:rPr>
            </w:pPr>
            <w:r w:rsidRPr="00DF3006">
              <w:rPr>
                <w:b/>
                <w:i/>
                <w:color w:val="414042" w:themeColor="text1"/>
              </w:rPr>
              <w:t xml:space="preserve">Measurement – </w:t>
            </w:r>
            <w:r w:rsidRPr="00DF3006">
              <w:rPr>
                <w:color w:val="414042" w:themeColor="text1"/>
              </w:rPr>
              <w:t>The CCC uses the historical cost model to measure assets after they are recognised, which means that assets are carried at their acquisition cost less accumulated depreciation and any accumulated impairment losses. The carrying amounts for plant and equipment measured at cost approximate their fair value at reporting date.</w:t>
            </w:r>
          </w:p>
          <w:p w14:paraId="712B9D9C" w14:textId="77777777" w:rsidR="00FC17BC" w:rsidRPr="00DF3006" w:rsidRDefault="00FC17BC" w:rsidP="00025E55">
            <w:pPr>
              <w:pStyle w:val="Policyfollowingparas"/>
              <w:spacing w:line="240" w:lineRule="auto"/>
              <w:rPr>
                <w:bCs/>
                <w:iCs/>
                <w:color w:val="414042" w:themeColor="text1"/>
              </w:rPr>
            </w:pPr>
          </w:p>
          <w:p w14:paraId="314A6AED" w14:textId="77777777" w:rsidR="00FC17BC" w:rsidRPr="00DF3006" w:rsidRDefault="00FC17BC" w:rsidP="00025E55">
            <w:pPr>
              <w:pStyle w:val="Policyfollowingparas"/>
              <w:spacing w:line="240" w:lineRule="auto"/>
              <w:rPr>
                <w:bCs/>
                <w:iCs/>
                <w:color w:val="414042" w:themeColor="text1"/>
              </w:rPr>
            </w:pPr>
            <w:r w:rsidRPr="00DF3006">
              <w:rPr>
                <w:b/>
                <w:i/>
                <w:color w:val="414042" w:themeColor="text1"/>
              </w:rPr>
              <w:t xml:space="preserve">Depreciation Expense – </w:t>
            </w:r>
            <w:r w:rsidRPr="00DF3006">
              <w:rPr>
                <w:bCs/>
                <w:iCs/>
                <w:color w:val="414042" w:themeColor="text1"/>
              </w:rPr>
              <w:t xml:space="preserve">Property, Plant and Equipment is depreciated on a straight-line basis to allocate the net cost of each asset, less any estimated residual value, progressively over its estimated useful life to the CCC. Any expenditure that increases the originally assessed capacity or service potential of an asset is capitalised and the new depreciable amount is depreciated over the remaining useful life of the asset to the CCC. </w:t>
            </w:r>
          </w:p>
          <w:p w14:paraId="0EF4C651" w14:textId="77777777" w:rsidR="00FC17BC" w:rsidRPr="00DF3006" w:rsidRDefault="00FC17BC" w:rsidP="00025E55">
            <w:pPr>
              <w:pStyle w:val="Policyfollowingparas"/>
              <w:spacing w:line="240" w:lineRule="auto"/>
              <w:rPr>
                <w:color w:val="414042" w:themeColor="text1"/>
              </w:rPr>
            </w:pPr>
            <w:r w:rsidRPr="00DF3006">
              <w:rPr>
                <w:color w:val="414042" w:themeColor="text1"/>
              </w:rPr>
              <w:t>Assets under construction (work-in-progress) are not depreciated until they reach service delivery capacity, that is, when the asset is available for use and is operating in the manner intended by management. These assets are then reclassified to the relevant asset class.</w:t>
            </w:r>
          </w:p>
          <w:p w14:paraId="5F68B816" w14:textId="77777777" w:rsidR="00FC17BC" w:rsidRPr="00DF3006" w:rsidRDefault="00FC17BC" w:rsidP="00025E55">
            <w:pPr>
              <w:pStyle w:val="Policyfollowingparas"/>
              <w:spacing w:line="240" w:lineRule="auto"/>
              <w:rPr>
                <w:color w:val="414042" w:themeColor="text1"/>
              </w:rPr>
            </w:pPr>
            <w:r w:rsidRPr="00DF3006">
              <w:rPr>
                <w:color w:val="414042" w:themeColor="text1"/>
              </w:rPr>
              <w:t>Each class of depreciable and intangible assets is depreciated or amortised based on the following useful lives.</w:t>
            </w:r>
          </w:p>
          <w:p w14:paraId="4F6B19B4" w14:textId="77777777" w:rsidR="00FC17BC" w:rsidRPr="00DF3006" w:rsidRDefault="00FC17BC" w:rsidP="00025E55">
            <w:pPr>
              <w:pStyle w:val="Policyfollowingparas"/>
              <w:spacing w:line="240" w:lineRule="auto"/>
              <w:rPr>
                <w:i/>
                <w:color w:val="414042" w:themeColor="text1"/>
              </w:rPr>
            </w:pPr>
            <w:r w:rsidRPr="00DF3006">
              <w:rPr>
                <w:i/>
                <w:color w:val="414042" w:themeColor="text1"/>
              </w:rPr>
              <w:t>Plant and Equipment:</w:t>
            </w:r>
          </w:p>
          <w:p w14:paraId="5AC5F5F1" w14:textId="77777777" w:rsidR="00FC17BC" w:rsidRPr="00DF3006" w:rsidRDefault="00FC17BC" w:rsidP="00025E55">
            <w:pPr>
              <w:pStyle w:val="Policyindented"/>
              <w:tabs>
                <w:tab w:val="clear" w:pos="4536"/>
                <w:tab w:val="left" w:pos="4820"/>
              </w:tabs>
              <w:spacing w:line="240" w:lineRule="auto"/>
              <w:rPr>
                <w:color w:val="414042" w:themeColor="text1"/>
                <w:shd w:val="clear" w:color="auto" w:fill="FFFF00"/>
              </w:rPr>
            </w:pPr>
            <w:r w:rsidRPr="00DF3006">
              <w:rPr>
                <w:color w:val="414042" w:themeColor="text1"/>
              </w:rPr>
              <w:t>Motor Vehicles</w:t>
            </w:r>
            <w:r w:rsidRPr="00DF3006">
              <w:rPr>
                <w:color w:val="414042" w:themeColor="text1"/>
              </w:rPr>
              <w:tab/>
              <w:t>2–5 years</w:t>
            </w:r>
          </w:p>
          <w:p w14:paraId="7778F970" w14:textId="77777777" w:rsidR="00FC17BC" w:rsidRPr="00DF3006" w:rsidRDefault="00FC17BC" w:rsidP="00025E55">
            <w:pPr>
              <w:pStyle w:val="Policyindented"/>
              <w:tabs>
                <w:tab w:val="clear" w:pos="4536"/>
                <w:tab w:val="left" w:pos="4820"/>
              </w:tabs>
              <w:spacing w:line="240" w:lineRule="auto"/>
              <w:rPr>
                <w:color w:val="414042" w:themeColor="text1"/>
                <w:shd w:val="clear" w:color="auto" w:fill="FFFF00"/>
              </w:rPr>
            </w:pPr>
            <w:r w:rsidRPr="00DF3006">
              <w:rPr>
                <w:color w:val="414042" w:themeColor="text1"/>
              </w:rPr>
              <w:t>Computer Equipment</w:t>
            </w:r>
            <w:r w:rsidRPr="00DF3006">
              <w:rPr>
                <w:color w:val="414042" w:themeColor="text1"/>
              </w:rPr>
              <w:tab/>
              <w:t>3–8 years</w:t>
            </w:r>
          </w:p>
          <w:p w14:paraId="77062430" w14:textId="77777777" w:rsidR="00FC17BC" w:rsidRPr="00DF3006" w:rsidRDefault="00FC17BC" w:rsidP="00025E55">
            <w:pPr>
              <w:pStyle w:val="Policyindented"/>
              <w:tabs>
                <w:tab w:val="clear" w:pos="4536"/>
                <w:tab w:val="left" w:pos="4820"/>
              </w:tabs>
              <w:spacing w:line="240" w:lineRule="auto"/>
              <w:rPr>
                <w:color w:val="414042" w:themeColor="text1"/>
                <w:shd w:val="clear" w:color="auto" w:fill="FFFF00"/>
              </w:rPr>
            </w:pPr>
            <w:r w:rsidRPr="00DF3006">
              <w:rPr>
                <w:color w:val="414042" w:themeColor="text1"/>
              </w:rPr>
              <w:t>General and Technical Equipment</w:t>
            </w:r>
            <w:r w:rsidRPr="00DF3006">
              <w:rPr>
                <w:color w:val="414042" w:themeColor="text1"/>
              </w:rPr>
              <w:tab/>
              <w:t>3–15 years</w:t>
            </w:r>
          </w:p>
          <w:p w14:paraId="41A731DC" w14:textId="77777777" w:rsidR="00FC17BC" w:rsidRPr="00DF3006" w:rsidRDefault="00FC17BC" w:rsidP="00025E55">
            <w:pPr>
              <w:pStyle w:val="Policyindented"/>
              <w:tabs>
                <w:tab w:val="clear" w:pos="4536"/>
                <w:tab w:val="left" w:pos="4820"/>
              </w:tabs>
              <w:spacing w:line="240" w:lineRule="auto"/>
              <w:rPr>
                <w:color w:val="414042" w:themeColor="text1"/>
                <w:shd w:val="clear" w:color="auto" w:fill="FFFF00"/>
              </w:rPr>
            </w:pPr>
            <w:r w:rsidRPr="00DF3006">
              <w:rPr>
                <w:color w:val="414042" w:themeColor="text1"/>
              </w:rPr>
              <w:t>Leasehold Improvements</w:t>
            </w:r>
            <w:r w:rsidRPr="00DF3006">
              <w:rPr>
                <w:color w:val="414042" w:themeColor="text1"/>
              </w:rPr>
              <w:tab/>
              <w:t>9–18 years</w:t>
            </w:r>
          </w:p>
          <w:p w14:paraId="46309878" w14:textId="77777777" w:rsidR="00FC17BC" w:rsidRPr="00DF3006" w:rsidRDefault="00FC17BC" w:rsidP="00025E55">
            <w:pPr>
              <w:pStyle w:val="Policyfollowingparas"/>
              <w:spacing w:line="240" w:lineRule="auto"/>
              <w:rPr>
                <w:color w:val="414042" w:themeColor="text1"/>
              </w:rPr>
            </w:pPr>
          </w:p>
          <w:p w14:paraId="5155FB60" w14:textId="77777777" w:rsidR="00FC17BC" w:rsidRPr="00DF3006" w:rsidRDefault="00FC17BC" w:rsidP="00025E55">
            <w:pPr>
              <w:pStyle w:val="Policyfollowingparas"/>
              <w:spacing w:line="240" w:lineRule="auto"/>
              <w:rPr>
                <w:color w:val="414042" w:themeColor="text1"/>
              </w:rPr>
            </w:pPr>
            <w:r w:rsidRPr="00DF3006">
              <w:rPr>
                <w:color w:val="414042" w:themeColor="text1"/>
              </w:rPr>
              <w:t>The useful lives of plant and equipment assets were reviewed during the reporting period and adjusted where necessary.</w:t>
            </w:r>
          </w:p>
          <w:p w14:paraId="6A996C29" w14:textId="77777777" w:rsidR="00FC17BC" w:rsidRPr="00DF3006" w:rsidRDefault="00FC17BC" w:rsidP="00025E55">
            <w:pPr>
              <w:pStyle w:val="Policyfollowingparas"/>
              <w:spacing w:line="240" w:lineRule="auto"/>
              <w:rPr>
                <w:color w:val="414042" w:themeColor="text1"/>
              </w:rPr>
            </w:pPr>
          </w:p>
          <w:p w14:paraId="1AD75C61" w14:textId="77777777" w:rsidR="00FC17BC" w:rsidRPr="00DF3006" w:rsidRDefault="00FC17BC" w:rsidP="00025E55">
            <w:pPr>
              <w:pStyle w:val="Policyfollowingparas"/>
              <w:spacing w:line="240" w:lineRule="auto"/>
              <w:rPr>
                <w:color w:val="414042" w:themeColor="text1"/>
              </w:rPr>
            </w:pPr>
          </w:p>
        </w:tc>
      </w:tr>
    </w:tbl>
    <w:p w14:paraId="36F22F64" w14:textId="77777777" w:rsidR="00FC17BC" w:rsidRPr="00DF3006" w:rsidRDefault="00FC17BC" w:rsidP="00FC17BC">
      <w:pPr>
        <w:rPr>
          <w:color w:val="414042" w:themeColor="text1"/>
        </w:rPr>
      </w:pPr>
      <w:r w:rsidRPr="00DF3006">
        <w:rPr>
          <w:rFonts w:ascii="Calibri" w:hAnsi="Calibri"/>
          <w:b/>
          <w:color w:val="414042" w:themeColor="text1"/>
          <w:sz w:val="22"/>
        </w:rPr>
        <w:br w:type="page"/>
      </w:r>
    </w:p>
    <w:tbl>
      <w:tblPr>
        <w:tblStyle w:val="TableGrid"/>
        <w:tblW w:w="9067" w:type="dxa"/>
        <w:tblInd w:w="5" w:type="dxa"/>
        <w:tblLayout w:type="fixed"/>
        <w:tblCellMar>
          <w:top w:w="113" w:type="dxa"/>
          <w:bottom w:w="113" w:type="dxa"/>
        </w:tblCellMar>
        <w:tblLook w:val="04A0" w:firstRow="1" w:lastRow="0" w:firstColumn="1" w:lastColumn="0" w:noHBand="0" w:noVBand="1"/>
      </w:tblPr>
      <w:tblGrid>
        <w:gridCol w:w="9067"/>
      </w:tblGrid>
      <w:tr w:rsidR="00DF3006" w:rsidRPr="00DF3006" w14:paraId="19364D4E" w14:textId="77777777" w:rsidTr="00025E55">
        <w:tc>
          <w:tcPr>
            <w:tcW w:w="9067" w:type="dxa"/>
            <w:tcBorders>
              <w:top w:val="nil"/>
              <w:left w:val="nil"/>
              <w:bottom w:val="nil"/>
              <w:right w:val="nil"/>
            </w:tcBorders>
          </w:tcPr>
          <w:p w14:paraId="0410EC51" w14:textId="77777777" w:rsidR="00FC17BC" w:rsidRPr="00DF3006" w:rsidRDefault="00FC17BC" w:rsidP="00025E55">
            <w:pPr>
              <w:pStyle w:val="Normal115pttext"/>
              <w:spacing w:line="240" w:lineRule="auto"/>
              <w:rPr>
                <w:color w:val="414042" w:themeColor="text1"/>
              </w:rPr>
            </w:pPr>
          </w:p>
          <w:p w14:paraId="1846A2DD" w14:textId="77777777" w:rsidR="00FC17BC" w:rsidRPr="00DF3006" w:rsidRDefault="00FC17BC" w:rsidP="00025E55">
            <w:pPr>
              <w:pStyle w:val="Normal115pttext"/>
              <w:spacing w:line="240" w:lineRule="auto"/>
              <w:rPr>
                <w:color w:val="414042" w:themeColor="text1"/>
              </w:rPr>
            </w:pPr>
            <w:r w:rsidRPr="00DF3006">
              <w:rPr>
                <w:color w:val="414042" w:themeColor="text1"/>
              </w:rPr>
              <w:t>Note 10:  Property, Plant and Equipment (cont’d)</w:t>
            </w:r>
          </w:p>
          <w:p w14:paraId="68E2BE0B" w14:textId="77777777" w:rsidR="00FC17BC" w:rsidRPr="00DF3006" w:rsidRDefault="00FC17BC" w:rsidP="00025E55">
            <w:pPr>
              <w:pStyle w:val="Policyheading"/>
              <w:spacing w:line="240" w:lineRule="auto"/>
              <w:rPr>
                <w:color w:val="414042" w:themeColor="text1"/>
              </w:rPr>
            </w:pPr>
          </w:p>
          <w:p w14:paraId="5DA189F4" w14:textId="77777777" w:rsidR="00FC17BC" w:rsidRPr="00DF3006" w:rsidRDefault="00FC17BC" w:rsidP="00025E55">
            <w:pPr>
              <w:pStyle w:val="Policyheading"/>
              <w:spacing w:line="240" w:lineRule="auto"/>
              <w:rPr>
                <w:color w:val="414042" w:themeColor="text1"/>
              </w:rPr>
            </w:pPr>
          </w:p>
        </w:tc>
      </w:tr>
    </w:tbl>
    <w:tbl>
      <w:tblPr>
        <w:tblW w:w="9072" w:type="dxa"/>
        <w:tblLayout w:type="fixed"/>
        <w:tblLook w:val="04A0" w:firstRow="1" w:lastRow="0" w:firstColumn="1" w:lastColumn="0" w:noHBand="0" w:noVBand="1"/>
      </w:tblPr>
      <w:tblGrid>
        <w:gridCol w:w="2460"/>
        <w:gridCol w:w="4061"/>
        <w:gridCol w:w="1276"/>
        <w:gridCol w:w="1101"/>
        <w:gridCol w:w="174"/>
      </w:tblGrid>
      <w:tr w:rsidR="00DF3006" w:rsidRPr="00DF3006" w14:paraId="0EFA42A4"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53405FE2"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67AB43EE"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hideMark/>
          </w:tcPr>
          <w:p w14:paraId="3059F1B4"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1101" w:type="dxa"/>
            <w:tcBorders>
              <w:top w:val="nil"/>
              <w:left w:val="nil"/>
              <w:bottom w:val="nil"/>
              <w:right w:val="nil"/>
            </w:tcBorders>
            <w:shd w:val="clear" w:color="000000" w:fill="FFFFFF"/>
            <w:noWrap/>
            <w:vAlign w:val="center"/>
            <w:hideMark/>
          </w:tcPr>
          <w:p w14:paraId="059A63FB"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r>
      <w:tr w:rsidR="00DF3006" w:rsidRPr="00DF3006" w14:paraId="32CAE5BB"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31DB58BB"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46E7DEE4"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hideMark/>
          </w:tcPr>
          <w:p w14:paraId="485EAC51"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1101" w:type="dxa"/>
            <w:tcBorders>
              <w:top w:val="nil"/>
              <w:left w:val="nil"/>
              <w:bottom w:val="nil"/>
              <w:right w:val="nil"/>
            </w:tcBorders>
            <w:shd w:val="clear" w:color="000000" w:fill="FFFFFF"/>
            <w:noWrap/>
            <w:vAlign w:val="center"/>
            <w:hideMark/>
          </w:tcPr>
          <w:p w14:paraId="730570F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r>
      <w:tr w:rsidR="00DF3006" w:rsidRPr="00DF3006" w14:paraId="32D8A61D"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2CDC0D7A"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Motor vehicles:</w:t>
            </w:r>
          </w:p>
        </w:tc>
        <w:tc>
          <w:tcPr>
            <w:tcW w:w="4061" w:type="dxa"/>
            <w:tcBorders>
              <w:top w:val="nil"/>
              <w:left w:val="nil"/>
              <w:bottom w:val="nil"/>
              <w:right w:val="nil"/>
            </w:tcBorders>
            <w:shd w:val="clear" w:color="000000" w:fill="FFFFFF"/>
            <w:noWrap/>
            <w:vAlign w:val="center"/>
            <w:hideMark/>
          </w:tcPr>
          <w:p w14:paraId="10FDD34C"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hideMark/>
          </w:tcPr>
          <w:p w14:paraId="749FB32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101" w:type="dxa"/>
            <w:tcBorders>
              <w:top w:val="nil"/>
              <w:left w:val="nil"/>
              <w:bottom w:val="nil"/>
              <w:right w:val="nil"/>
            </w:tcBorders>
            <w:shd w:val="clear" w:color="000000" w:fill="FFFFFF"/>
            <w:noWrap/>
            <w:vAlign w:val="center"/>
            <w:hideMark/>
          </w:tcPr>
          <w:p w14:paraId="2DA8768C"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78C2F06F"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3C69646D"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At cost</w:t>
            </w:r>
          </w:p>
        </w:tc>
        <w:tc>
          <w:tcPr>
            <w:tcW w:w="4061" w:type="dxa"/>
            <w:tcBorders>
              <w:top w:val="nil"/>
              <w:left w:val="nil"/>
              <w:bottom w:val="nil"/>
              <w:right w:val="nil"/>
            </w:tcBorders>
            <w:shd w:val="clear" w:color="000000" w:fill="FFFFFF"/>
            <w:noWrap/>
            <w:vAlign w:val="center"/>
            <w:hideMark/>
          </w:tcPr>
          <w:p w14:paraId="323E84C9"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2378EF0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2,107</w:t>
            </w:r>
          </w:p>
        </w:tc>
        <w:tc>
          <w:tcPr>
            <w:tcW w:w="1101" w:type="dxa"/>
            <w:tcBorders>
              <w:top w:val="nil"/>
              <w:left w:val="nil"/>
              <w:bottom w:val="nil"/>
              <w:right w:val="nil"/>
            </w:tcBorders>
            <w:shd w:val="clear" w:color="000000" w:fill="FFFFFF"/>
            <w:noWrap/>
            <w:vAlign w:val="center"/>
            <w:hideMark/>
          </w:tcPr>
          <w:p w14:paraId="7176E1D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1,986</w:t>
            </w:r>
          </w:p>
        </w:tc>
      </w:tr>
      <w:tr w:rsidR="00DF3006" w:rsidRPr="00DF3006" w14:paraId="2799B882" w14:textId="77777777" w:rsidTr="00025E5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698ED1ED"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Less: Accumulated depreciation</w:t>
            </w:r>
          </w:p>
        </w:tc>
        <w:tc>
          <w:tcPr>
            <w:tcW w:w="1276" w:type="dxa"/>
            <w:tcBorders>
              <w:top w:val="nil"/>
              <w:left w:val="nil"/>
              <w:bottom w:val="single" w:sz="8" w:space="0" w:color="auto"/>
              <w:right w:val="nil"/>
            </w:tcBorders>
            <w:shd w:val="clear" w:color="auto" w:fill="D9D9D9" w:themeFill="background1" w:themeFillShade="D9"/>
            <w:noWrap/>
            <w:vAlign w:val="center"/>
          </w:tcPr>
          <w:p w14:paraId="271857D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(438)</w:t>
            </w:r>
          </w:p>
        </w:tc>
        <w:tc>
          <w:tcPr>
            <w:tcW w:w="1101" w:type="dxa"/>
            <w:tcBorders>
              <w:top w:val="nil"/>
              <w:left w:val="nil"/>
              <w:bottom w:val="single" w:sz="8" w:space="0" w:color="auto"/>
              <w:right w:val="nil"/>
            </w:tcBorders>
            <w:shd w:val="clear" w:color="000000" w:fill="FFFFFF"/>
            <w:noWrap/>
            <w:vAlign w:val="center"/>
            <w:hideMark/>
          </w:tcPr>
          <w:p w14:paraId="6BEE149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(445)</w:t>
            </w:r>
          </w:p>
        </w:tc>
      </w:tr>
      <w:tr w:rsidR="00DF3006" w:rsidRPr="00DF3006" w14:paraId="6B37693C"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4F48153D"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1B639FFA"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57FCF2F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1,669</w:t>
            </w:r>
          </w:p>
        </w:tc>
        <w:tc>
          <w:tcPr>
            <w:tcW w:w="1101" w:type="dxa"/>
            <w:tcBorders>
              <w:top w:val="nil"/>
              <w:left w:val="nil"/>
              <w:bottom w:val="nil"/>
              <w:right w:val="nil"/>
            </w:tcBorders>
            <w:shd w:val="clear" w:color="000000" w:fill="FFFFFF"/>
            <w:noWrap/>
            <w:vAlign w:val="center"/>
            <w:hideMark/>
          </w:tcPr>
          <w:p w14:paraId="1E02C47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1,541</w:t>
            </w:r>
          </w:p>
        </w:tc>
      </w:tr>
      <w:tr w:rsidR="00DF3006" w:rsidRPr="00DF3006" w14:paraId="39916ECC"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47CD0D7F"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Computer equipment:</w:t>
            </w:r>
          </w:p>
        </w:tc>
        <w:tc>
          <w:tcPr>
            <w:tcW w:w="4061" w:type="dxa"/>
            <w:tcBorders>
              <w:top w:val="nil"/>
              <w:left w:val="nil"/>
              <w:bottom w:val="nil"/>
              <w:right w:val="nil"/>
            </w:tcBorders>
            <w:shd w:val="clear" w:color="000000" w:fill="FFFFFF"/>
            <w:noWrap/>
            <w:vAlign w:val="center"/>
            <w:hideMark/>
          </w:tcPr>
          <w:p w14:paraId="208B8DCA"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24CB5141" w14:textId="77777777" w:rsidR="00FC17BC" w:rsidRPr="00DF3006" w:rsidRDefault="00FC17BC" w:rsidP="00CC5BBF">
            <w:pPr>
              <w:spacing w:after="0"/>
              <w:jc w:val="right"/>
              <w:rPr>
                <w:rFonts w:eastAsia="Times New Roman" w:cs="Calibri"/>
                <w:color w:val="414042" w:themeColor="text1"/>
                <w:szCs w:val="20"/>
                <w:lang w:eastAsia="en-AU"/>
              </w:rPr>
            </w:pPr>
          </w:p>
        </w:tc>
        <w:tc>
          <w:tcPr>
            <w:tcW w:w="1101" w:type="dxa"/>
            <w:tcBorders>
              <w:top w:val="nil"/>
              <w:left w:val="nil"/>
              <w:bottom w:val="nil"/>
              <w:right w:val="nil"/>
            </w:tcBorders>
            <w:shd w:val="clear" w:color="000000" w:fill="FFFFFF"/>
            <w:noWrap/>
            <w:vAlign w:val="center"/>
            <w:hideMark/>
          </w:tcPr>
          <w:p w14:paraId="26F90068"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17A62F3C"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1B5459DC"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At cost</w:t>
            </w:r>
          </w:p>
        </w:tc>
        <w:tc>
          <w:tcPr>
            <w:tcW w:w="4061" w:type="dxa"/>
            <w:tcBorders>
              <w:top w:val="nil"/>
              <w:left w:val="nil"/>
              <w:bottom w:val="nil"/>
              <w:right w:val="nil"/>
            </w:tcBorders>
            <w:shd w:val="clear" w:color="000000" w:fill="FFFFFF"/>
            <w:noWrap/>
            <w:vAlign w:val="center"/>
            <w:hideMark/>
          </w:tcPr>
          <w:p w14:paraId="0E0806EB"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64FE2F7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3,195</w:t>
            </w:r>
          </w:p>
        </w:tc>
        <w:tc>
          <w:tcPr>
            <w:tcW w:w="1101" w:type="dxa"/>
            <w:tcBorders>
              <w:top w:val="nil"/>
              <w:left w:val="nil"/>
              <w:bottom w:val="nil"/>
              <w:right w:val="nil"/>
            </w:tcBorders>
            <w:shd w:val="clear" w:color="000000" w:fill="FFFFFF"/>
            <w:noWrap/>
            <w:vAlign w:val="center"/>
            <w:hideMark/>
          </w:tcPr>
          <w:p w14:paraId="0670277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3,168</w:t>
            </w:r>
          </w:p>
        </w:tc>
      </w:tr>
      <w:tr w:rsidR="00DF3006" w:rsidRPr="00DF3006" w14:paraId="040B7417" w14:textId="77777777" w:rsidTr="00025E5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5D6EDD13"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Less: Accumulated depreciation</w:t>
            </w:r>
          </w:p>
        </w:tc>
        <w:tc>
          <w:tcPr>
            <w:tcW w:w="1276" w:type="dxa"/>
            <w:tcBorders>
              <w:top w:val="nil"/>
              <w:left w:val="nil"/>
              <w:bottom w:val="single" w:sz="8" w:space="0" w:color="auto"/>
              <w:right w:val="nil"/>
            </w:tcBorders>
            <w:shd w:val="clear" w:color="auto" w:fill="D9D9D9" w:themeFill="background1" w:themeFillShade="D9"/>
            <w:noWrap/>
            <w:vAlign w:val="center"/>
          </w:tcPr>
          <w:p w14:paraId="0123F84C"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(2,794)</w:t>
            </w:r>
          </w:p>
        </w:tc>
        <w:tc>
          <w:tcPr>
            <w:tcW w:w="1101" w:type="dxa"/>
            <w:tcBorders>
              <w:top w:val="nil"/>
              <w:left w:val="nil"/>
              <w:bottom w:val="single" w:sz="8" w:space="0" w:color="auto"/>
              <w:right w:val="nil"/>
            </w:tcBorders>
            <w:shd w:val="clear" w:color="000000" w:fill="FFFFFF"/>
            <w:noWrap/>
            <w:vAlign w:val="center"/>
            <w:hideMark/>
          </w:tcPr>
          <w:p w14:paraId="5BF93FA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(2,407)</w:t>
            </w:r>
          </w:p>
        </w:tc>
      </w:tr>
      <w:tr w:rsidR="00DF3006" w:rsidRPr="00DF3006" w14:paraId="52E3267C"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46713873"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008F600F"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1764CF7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401</w:t>
            </w:r>
          </w:p>
        </w:tc>
        <w:tc>
          <w:tcPr>
            <w:tcW w:w="1101" w:type="dxa"/>
            <w:tcBorders>
              <w:top w:val="nil"/>
              <w:left w:val="nil"/>
              <w:bottom w:val="nil"/>
              <w:right w:val="nil"/>
            </w:tcBorders>
            <w:shd w:val="clear" w:color="000000" w:fill="FFFFFF"/>
            <w:noWrap/>
            <w:vAlign w:val="center"/>
            <w:hideMark/>
          </w:tcPr>
          <w:p w14:paraId="117865B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761</w:t>
            </w:r>
          </w:p>
        </w:tc>
      </w:tr>
      <w:tr w:rsidR="00DF3006" w:rsidRPr="00DF3006" w14:paraId="75C65838" w14:textId="77777777" w:rsidTr="00025E55">
        <w:trPr>
          <w:gridAfter w:val="1"/>
          <w:wAfter w:w="174" w:type="dxa"/>
          <w:trHeight w:val="285"/>
        </w:trPr>
        <w:tc>
          <w:tcPr>
            <w:tcW w:w="6521" w:type="dxa"/>
            <w:gridSpan w:val="2"/>
            <w:tcBorders>
              <w:top w:val="nil"/>
              <w:left w:val="nil"/>
              <w:bottom w:val="nil"/>
              <w:right w:val="nil"/>
            </w:tcBorders>
            <w:shd w:val="clear" w:color="000000" w:fill="FFFFFF"/>
            <w:noWrap/>
            <w:vAlign w:val="center"/>
            <w:hideMark/>
          </w:tcPr>
          <w:p w14:paraId="6F48550C"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General and technical equipment:</w:t>
            </w:r>
          </w:p>
        </w:tc>
        <w:tc>
          <w:tcPr>
            <w:tcW w:w="1276" w:type="dxa"/>
            <w:tcBorders>
              <w:top w:val="nil"/>
              <w:left w:val="nil"/>
              <w:bottom w:val="nil"/>
              <w:right w:val="nil"/>
            </w:tcBorders>
            <w:shd w:val="clear" w:color="auto" w:fill="D9D9D9" w:themeFill="background1" w:themeFillShade="D9"/>
            <w:noWrap/>
            <w:vAlign w:val="center"/>
          </w:tcPr>
          <w:p w14:paraId="44F3A864" w14:textId="77777777" w:rsidR="00FC17BC" w:rsidRPr="00DF3006" w:rsidRDefault="00FC17BC" w:rsidP="00CC5BBF">
            <w:pPr>
              <w:spacing w:after="0"/>
              <w:jc w:val="right"/>
              <w:rPr>
                <w:rFonts w:eastAsia="Times New Roman" w:cs="Calibri"/>
                <w:color w:val="414042" w:themeColor="text1"/>
                <w:szCs w:val="20"/>
                <w:lang w:eastAsia="en-AU"/>
              </w:rPr>
            </w:pPr>
          </w:p>
        </w:tc>
        <w:tc>
          <w:tcPr>
            <w:tcW w:w="1101" w:type="dxa"/>
            <w:tcBorders>
              <w:top w:val="nil"/>
              <w:left w:val="nil"/>
              <w:bottom w:val="nil"/>
              <w:right w:val="nil"/>
            </w:tcBorders>
            <w:shd w:val="clear" w:color="000000" w:fill="FFFFFF"/>
            <w:noWrap/>
            <w:vAlign w:val="center"/>
            <w:hideMark/>
          </w:tcPr>
          <w:p w14:paraId="528FE80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4AB90F09"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55335534"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At cost</w:t>
            </w:r>
          </w:p>
        </w:tc>
        <w:tc>
          <w:tcPr>
            <w:tcW w:w="4061" w:type="dxa"/>
            <w:tcBorders>
              <w:top w:val="nil"/>
              <w:left w:val="nil"/>
              <w:bottom w:val="nil"/>
              <w:right w:val="nil"/>
            </w:tcBorders>
            <w:shd w:val="clear" w:color="000000" w:fill="FFFFFF"/>
            <w:noWrap/>
            <w:vAlign w:val="center"/>
            <w:hideMark/>
          </w:tcPr>
          <w:p w14:paraId="2D588548"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37FDE962"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2,375</w:t>
            </w:r>
          </w:p>
        </w:tc>
        <w:tc>
          <w:tcPr>
            <w:tcW w:w="1101" w:type="dxa"/>
            <w:tcBorders>
              <w:top w:val="nil"/>
              <w:left w:val="nil"/>
              <w:bottom w:val="nil"/>
              <w:right w:val="nil"/>
            </w:tcBorders>
            <w:shd w:val="clear" w:color="000000" w:fill="FFFFFF"/>
            <w:noWrap/>
            <w:vAlign w:val="center"/>
            <w:hideMark/>
          </w:tcPr>
          <w:p w14:paraId="22EF205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2,427</w:t>
            </w:r>
          </w:p>
        </w:tc>
      </w:tr>
      <w:tr w:rsidR="00DF3006" w:rsidRPr="00DF3006" w14:paraId="7199CD34" w14:textId="77777777" w:rsidTr="00025E5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3882AD27"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Less: Accumulated depreciation</w:t>
            </w:r>
          </w:p>
        </w:tc>
        <w:tc>
          <w:tcPr>
            <w:tcW w:w="1276" w:type="dxa"/>
            <w:tcBorders>
              <w:top w:val="nil"/>
              <w:left w:val="nil"/>
              <w:bottom w:val="single" w:sz="8" w:space="0" w:color="auto"/>
              <w:right w:val="nil"/>
            </w:tcBorders>
            <w:shd w:val="clear" w:color="auto" w:fill="D9D9D9" w:themeFill="background1" w:themeFillShade="D9"/>
            <w:noWrap/>
            <w:vAlign w:val="center"/>
          </w:tcPr>
          <w:p w14:paraId="083985B1"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(1,293)</w:t>
            </w:r>
          </w:p>
        </w:tc>
        <w:tc>
          <w:tcPr>
            <w:tcW w:w="1101" w:type="dxa"/>
            <w:tcBorders>
              <w:top w:val="nil"/>
              <w:left w:val="nil"/>
              <w:bottom w:val="single" w:sz="8" w:space="0" w:color="auto"/>
              <w:right w:val="nil"/>
            </w:tcBorders>
            <w:shd w:val="clear" w:color="000000" w:fill="FFFFFF"/>
            <w:noWrap/>
            <w:vAlign w:val="center"/>
            <w:hideMark/>
          </w:tcPr>
          <w:p w14:paraId="21CA869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(1,609)</w:t>
            </w:r>
          </w:p>
        </w:tc>
      </w:tr>
      <w:tr w:rsidR="00DF3006" w:rsidRPr="00DF3006" w14:paraId="4D818D3B"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3462443E"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38E0DE35"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25B96F5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1,082</w:t>
            </w:r>
          </w:p>
        </w:tc>
        <w:tc>
          <w:tcPr>
            <w:tcW w:w="1101" w:type="dxa"/>
            <w:tcBorders>
              <w:top w:val="nil"/>
              <w:left w:val="nil"/>
              <w:bottom w:val="nil"/>
              <w:right w:val="nil"/>
            </w:tcBorders>
            <w:shd w:val="clear" w:color="000000" w:fill="FFFFFF"/>
            <w:noWrap/>
            <w:vAlign w:val="center"/>
            <w:hideMark/>
          </w:tcPr>
          <w:p w14:paraId="55F25A5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818</w:t>
            </w:r>
          </w:p>
        </w:tc>
      </w:tr>
      <w:tr w:rsidR="00DF3006" w:rsidRPr="00DF3006" w14:paraId="51A4534B"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7E13FC67"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Leasehold improvements:</w:t>
            </w:r>
          </w:p>
        </w:tc>
        <w:tc>
          <w:tcPr>
            <w:tcW w:w="4061" w:type="dxa"/>
            <w:tcBorders>
              <w:top w:val="nil"/>
              <w:left w:val="nil"/>
              <w:bottom w:val="nil"/>
              <w:right w:val="nil"/>
            </w:tcBorders>
            <w:shd w:val="clear" w:color="000000" w:fill="FFFFFF"/>
            <w:noWrap/>
            <w:vAlign w:val="center"/>
            <w:hideMark/>
          </w:tcPr>
          <w:p w14:paraId="5FC6F1CE"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6E37455F" w14:textId="77777777" w:rsidR="00FC17BC" w:rsidRPr="00DF3006" w:rsidRDefault="00FC17BC" w:rsidP="00CC5BBF">
            <w:pPr>
              <w:spacing w:after="0"/>
              <w:jc w:val="right"/>
              <w:rPr>
                <w:rFonts w:eastAsia="Times New Roman" w:cs="Calibri"/>
                <w:color w:val="414042" w:themeColor="text1"/>
                <w:szCs w:val="20"/>
                <w:lang w:eastAsia="en-AU"/>
              </w:rPr>
            </w:pPr>
          </w:p>
        </w:tc>
        <w:tc>
          <w:tcPr>
            <w:tcW w:w="1101" w:type="dxa"/>
            <w:tcBorders>
              <w:top w:val="nil"/>
              <w:left w:val="nil"/>
              <w:bottom w:val="nil"/>
              <w:right w:val="nil"/>
            </w:tcBorders>
            <w:shd w:val="clear" w:color="000000" w:fill="FFFFFF"/>
            <w:noWrap/>
            <w:vAlign w:val="center"/>
            <w:hideMark/>
          </w:tcPr>
          <w:p w14:paraId="596D5009"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630719B7"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281C3EE9"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At cost</w:t>
            </w:r>
          </w:p>
        </w:tc>
        <w:tc>
          <w:tcPr>
            <w:tcW w:w="4061" w:type="dxa"/>
            <w:tcBorders>
              <w:top w:val="nil"/>
              <w:left w:val="nil"/>
              <w:bottom w:val="nil"/>
              <w:right w:val="nil"/>
            </w:tcBorders>
            <w:shd w:val="clear" w:color="000000" w:fill="FFFFFF"/>
            <w:noWrap/>
            <w:vAlign w:val="center"/>
            <w:hideMark/>
          </w:tcPr>
          <w:p w14:paraId="5EA6423D"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2B4816F2"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15,346</w:t>
            </w:r>
          </w:p>
        </w:tc>
        <w:tc>
          <w:tcPr>
            <w:tcW w:w="1101" w:type="dxa"/>
            <w:tcBorders>
              <w:top w:val="nil"/>
              <w:left w:val="nil"/>
              <w:bottom w:val="nil"/>
              <w:right w:val="nil"/>
            </w:tcBorders>
            <w:shd w:val="clear" w:color="000000" w:fill="FFFFFF"/>
            <w:noWrap/>
            <w:vAlign w:val="center"/>
            <w:hideMark/>
          </w:tcPr>
          <w:p w14:paraId="07A5144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15,175</w:t>
            </w:r>
          </w:p>
        </w:tc>
      </w:tr>
      <w:tr w:rsidR="00DF3006" w:rsidRPr="00DF3006" w14:paraId="47D44009" w14:textId="77777777" w:rsidTr="00025E5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22727758"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Less: Accumulated depreciation</w:t>
            </w:r>
          </w:p>
        </w:tc>
        <w:tc>
          <w:tcPr>
            <w:tcW w:w="1276" w:type="dxa"/>
            <w:tcBorders>
              <w:top w:val="nil"/>
              <w:left w:val="nil"/>
              <w:bottom w:val="nil"/>
              <w:right w:val="nil"/>
            </w:tcBorders>
            <w:shd w:val="clear" w:color="auto" w:fill="D9D9D9" w:themeFill="background1" w:themeFillShade="D9"/>
            <w:noWrap/>
            <w:vAlign w:val="center"/>
          </w:tcPr>
          <w:p w14:paraId="1C593A1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(13,396)</w:t>
            </w:r>
          </w:p>
        </w:tc>
        <w:tc>
          <w:tcPr>
            <w:tcW w:w="1101" w:type="dxa"/>
            <w:tcBorders>
              <w:top w:val="nil"/>
              <w:left w:val="nil"/>
              <w:bottom w:val="single" w:sz="8" w:space="0" w:color="auto"/>
              <w:right w:val="nil"/>
            </w:tcBorders>
            <w:shd w:val="clear" w:color="000000" w:fill="FFFFFF"/>
            <w:noWrap/>
            <w:vAlign w:val="center"/>
            <w:hideMark/>
          </w:tcPr>
          <w:p w14:paraId="26167D5E"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(12,814)</w:t>
            </w:r>
          </w:p>
        </w:tc>
      </w:tr>
      <w:tr w:rsidR="00DF3006" w:rsidRPr="00DF3006" w14:paraId="5A3D1B62" w14:textId="77777777" w:rsidTr="00025E55">
        <w:trPr>
          <w:gridAfter w:val="1"/>
          <w:wAfter w:w="174" w:type="dxa"/>
          <w:trHeight w:val="285"/>
        </w:trPr>
        <w:tc>
          <w:tcPr>
            <w:tcW w:w="2460" w:type="dxa"/>
            <w:tcBorders>
              <w:top w:val="nil"/>
              <w:left w:val="nil"/>
              <w:bottom w:val="nil"/>
              <w:right w:val="nil"/>
            </w:tcBorders>
            <w:shd w:val="clear" w:color="000000" w:fill="FFFFFF"/>
            <w:noWrap/>
            <w:vAlign w:val="center"/>
            <w:hideMark/>
          </w:tcPr>
          <w:p w14:paraId="34A97EA6"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656C76ED"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single" w:sz="8" w:space="0" w:color="auto"/>
              <w:left w:val="nil"/>
              <w:bottom w:val="nil"/>
              <w:right w:val="nil"/>
            </w:tcBorders>
            <w:shd w:val="clear" w:color="auto" w:fill="D9D9D9" w:themeFill="background1" w:themeFillShade="D9"/>
            <w:noWrap/>
            <w:vAlign w:val="center"/>
          </w:tcPr>
          <w:p w14:paraId="0D1B4D06"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1,950</w:t>
            </w:r>
          </w:p>
        </w:tc>
        <w:tc>
          <w:tcPr>
            <w:tcW w:w="1101" w:type="dxa"/>
            <w:tcBorders>
              <w:top w:val="nil"/>
              <w:left w:val="nil"/>
              <w:bottom w:val="nil"/>
              <w:right w:val="nil"/>
            </w:tcBorders>
            <w:shd w:val="clear" w:color="000000" w:fill="FFFFFF"/>
            <w:noWrap/>
            <w:vAlign w:val="center"/>
            <w:hideMark/>
          </w:tcPr>
          <w:p w14:paraId="6B669A5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2,361</w:t>
            </w:r>
          </w:p>
        </w:tc>
      </w:tr>
      <w:tr w:rsidR="00DF3006" w:rsidRPr="00DF3006" w14:paraId="1D4201EF" w14:textId="77777777" w:rsidTr="00025E55">
        <w:trPr>
          <w:gridAfter w:val="1"/>
          <w:wAfter w:w="174" w:type="dxa"/>
          <w:trHeight w:val="293"/>
        </w:trPr>
        <w:tc>
          <w:tcPr>
            <w:tcW w:w="2460" w:type="dxa"/>
            <w:tcBorders>
              <w:top w:val="nil"/>
              <w:left w:val="nil"/>
              <w:bottom w:val="nil"/>
              <w:right w:val="nil"/>
            </w:tcBorders>
            <w:shd w:val="clear" w:color="000000" w:fill="FFFFFF"/>
            <w:noWrap/>
            <w:vAlign w:val="center"/>
          </w:tcPr>
          <w:p w14:paraId="75505597" w14:textId="77777777" w:rsidR="00FC17BC" w:rsidRPr="00DF3006" w:rsidRDefault="00FC17BC" w:rsidP="00CC5BBF">
            <w:pPr>
              <w:spacing w:after="0"/>
              <w:ind w:firstLineChars="18" w:firstLine="36"/>
              <w:rPr>
                <w:rFonts w:eastAsia="Times New Roman" w:cs="Calibri"/>
                <w:color w:val="414042" w:themeColor="text1"/>
                <w:szCs w:val="20"/>
                <w:lang w:eastAsia="en-AU"/>
              </w:rPr>
            </w:pPr>
            <w:r w:rsidRPr="00DF3006">
              <w:rPr>
                <w:rFonts w:eastAsia="Times New Roman" w:cs="Calibri"/>
                <w:color w:val="414042" w:themeColor="text1"/>
                <w:szCs w:val="20"/>
                <w:lang w:eastAsia="en-AU"/>
              </w:rPr>
              <w:t>Work in Progress</w:t>
            </w:r>
          </w:p>
        </w:tc>
        <w:tc>
          <w:tcPr>
            <w:tcW w:w="4061" w:type="dxa"/>
            <w:tcBorders>
              <w:top w:val="nil"/>
              <w:left w:val="nil"/>
              <w:bottom w:val="nil"/>
              <w:right w:val="nil"/>
            </w:tcBorders>
            <w:shd w:val="clear" w:color="000000" w:fill="FFFFFF"/>
            <w:noWrap/>
            <w:vAlign w:val="center"/>
          </w:tcPr>
          <w:p w14:paraId="25F07DA4" w14:textId="77777777" w:rsidR="00FC17BC" w:rsidRPr="00DF3006" w:rsidRDefault="00FC17BC" w:rsidP="00CC5BBF">
            <w:pPr>
              <w:spacing w:after="0"/>
              <w:jc w:val="center"/>
              <w:rPr>
                <w:rFonts w:eastAsia="Times New Roman" w:cs="Calibri"/>
                <w:color w:val="414042" w:themeColor="text1"/>
                <w:szCs w:val="20"/>
                <w:lang w:eastAsia="en-AU"/>
              </w:rPr>
            </w:pPr>
          </w:p>
        </w:tc>
        <w:tc>
          <w:tcPr>
            <w:tcW w:w="1276" w:type="dxa"/>
            <w:tcBorders>
              <w:top w:val="nil"/>
              <w:left w:val="nil"/>
              <w:bottom w:val="nil"/>
              <w:right w:val="nil"/>
            </w:tcBorders>
            <w:shd w:val="clear" w:color="auto" w:fill="D9D9D9" w:themeFill="background1" w:themeFillShade="D9"/>
            <w:noWrap/>
            <w:vAlign w:val="center"/>
          </w:tcPr>
          <w:p w14:paraId="1610B2C1" w14:textId="77777777" w:rsidR="00FC17BC" w:rsidRPr="00DF3006" w:rsidRDefault="00FC17BC" w:rsidP="00CC5BBF">
            <w:pPr>
              <w:spacing w:after="0"/>
              <w:jc w:val="center"/>
              <w:rPr>
                <w:rFonts w:eastAsia="Times New Roman" w:cs="Calibri"/>
                <w:color w:val="414042" w:themeColor="text1"/>
                <w:szCs w:val="20"/>
                <w:lang w:eastAsia="en-AU"/>
              </w:rPr>
            </w:pPr>
          </w:p>
        </w:tc>
        <w:tc>
          <w:tcPr>
            <w:tcW w:w="1101" w:type="dxa"/>
            <w:tcBorders>
              <w:top w:val="nil"/>
              <w:left w:val="nil"/>
              <w:bottom w:val="nil"/>
              <w:right w:val="nil"/>
            </w:tcBorders>
            <w:shd w:val="clear" w:color="000000" w:fill="FFFFFF"/>
            <w:noWrap/>
            <w:vAlign w:val="center"/>
          </w:tcPr>
          <w:p w14:paraId="19A6561B"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22D741DD" w14:textId="77777777" w:rsidTr="00025E55">
        <w:trPr>
          <w:gridAfter w:val="1"/>
          <w:wAfter w:w="174" w:type="dxa"/>
          <w:trHeight w:val="293"/>
        </w:trPr>
        <w:tc>
          <w:tcPr>
            <w:tcW w:w="2460" w:type="dxa"/>
            <w:tcBorders>
              <w:top w:val="nil"/>
              <w:left w:val="nil"/>
              <w:bottom w:val="nil"/>
              <w:right w:val="nil"/>
            </w:tcBorders>
            <w:shd w:val="clear" w:color="000000" w:fill="FFFFFF"/>
            <w:noWrap/>
            <w:vAlign w:val="center"/>
          </w:tcPr>
          <w:p w14:paraId="0850E32D"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At cost</w:t>
            </w:r>
          </w:p>
        </w:tc>
        <w:tc>
          <w:tcPr>
            <w:tcW w:w="4061" w:type="dxa"/>
            <w:tcBorders>
              <w:top w:val="nil"/>
              <w:left w:val="nil"/>
              <w:bottom w:val="nil"/>
              <w:right w:val="nil"/>
            </w:tcBorders>
            <w:shd w:val="clear" w:color="000000" w:fill="FFFFFF"/>
            <w:noWrap/>
            <w:vAlign w:val="center"/>
          </w:tcPr>
          <w:p w14:paraId="2227F56A" w14:textId="77777777" w:rsidR="00FC17BC" w:rsidRPr="00DF3006" w:rsidRDefault="00FC17BC" w:rsidP="00CC5BBF">
            <w:pPr>
              <w:spacing w:after="0"/>
              <w:jc w:val="center"/>
              <w:rPr>
                <w:rFonts w:eastAsia="Times New Roman" w:cs="Calibri"/>
                <w:color w:val="414042" w:themeColor="text1"/>
                <w:szCs w:val="20"/>
                <w:lang w:eastAsia="en-AU"/>
              </w:rPr>
            </w:pPr>
          </w:p>
        </w:tc>
        <w:tc>
          <w:tcPr>
            <w:tcW w:w="1276" w:type="dxa"/>
            <w:tcBorders>
              <w:top w:val="nil"/>
              <w:left w:val="nil"/>
              <w:bottom w:val="nil"/>
              <w:right w:val="nil"/>
            </w:tcBorders>
            <w:shd w:val="clear" w:color="auto" w:fill="D9D9D9" w:themeFill="background1" w:themeFillShade="D9"/>
            <w:noWrap/>
            <w:vAlign w:val="center"/>
          </w:tcPr>
          <w:p w14:paraId="71FEA29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287</w:t>
            </w:r>
          </w:p>
        </w:tc>
        <w:tc>
          <w:tcPr>
            <w:tcW w:w="1101" w:type="dxa"/>
            <w:tcBorders>
              <w:top w:val="nil"/>
              <w:left w:val="nil"/>
              <w:bottom w:val="nil"/>
              <w:right w:val="nil"/>
            </w:tcBorders>
            <w:shd w:val="clear" w:color="000000" w:fill="FFFFFF"/>
            <w:noWrap/>
            <w:vAlign w:val="center"/>
          </w:tcPr>
          <w:p w14:paraId="50B09F2C"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482</w:t>
            </w:r>
          </w:p>
        </w:tc>
      </w:tr>
      <w:tr w:rsidR="00DF3006" w:rsidRPr="00DF3006" w14:paraId="594E4A10" w14:textId="77777777" w:rsidTr="00025E55">
        <w:trPr>
          <w:gridAfter w:val="1"/>
          <w:wAfter w:w="174" w:type="dxa"/>
          <w:trHeight w:val="293"/>
        </w:trPr>
        <w:tc>
          <w:tcPr>
            <w:tcW w:w="2460" w:type="dxa"/>
            <w:tcBorders>
              <w:top w:val="nil"/>
              <w:left w:val="nil"/>
              <w:bottom w:val="nil"/>
              <w:right w:val="nil"/>
            </w:tcBorders>
            <w:shd w:val="clear" w:color="000000" w:fill="FFFFFF"/>
            <w:noWrap/>
            <w:vAlign w:val="center"/>
            <w:hideMark/>
          </w:tcPr>
          <w:p w14:paraId="37067DD3" w14:textId="77777777" w:rsidR="00FC17BC" w:rsidRPr="00DF3006" w:rsidRDefault="00FC17BC" w:rsidP="00CC5BBF">
            <w:pPr>
              <w:spacing w:after="0"/>
              <w:ind w:firstLineChars="200" w:firstLine="40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4061" w:type="dxa"/>
            <w:tcBorders>
              <w:top w:val="nil"/>
              <w:left w:val="nil"/>
              <w:bottom w:val="nil"/>
              <w:right w:val="nil"/>
            </w:tcBorders>
            <w:shd w:val="clear" w:color="000000" w:fill="FFFFFF"/>
            <w:noWrap/>
            <w:vAlign w:val="center"/>
            <w:hideMark/>
          </w:tcPr>
          <w:p w14:paraId="0F15C685" w14:textId="77777777" w:rsidR="00FC17BC" w:rsidRPr="00DF3006" w:rsidRDefault="00FC17BC" w:rsidP="00CC5BBF">
            <w:pPr>
              <w:spacing w:after="0"/>
              <w:jc w:val="center"/>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1276" w:type="dxa"/>
            <w:tcBorders>
              <w:top w:val="nil"/>
              <w:left w:val="nil"/>
              <w:bottom w:val="nil"/>
              <w:right w:val="nil"/>
            </w:tcBorders>
            <w:shd w:val="clear" w:color="auto" w:fill="D9D9D9" w:themeFill="background1" w:themeFillShade="D9"/>
            <w:noWrap/>
            <w:vAlign w:val="center"/>
          </w:tcPr>
          <w:p w14:paraId="516D9F00" w14:textId="77777777" w:rsidR="00FC17BC" w:rsidRPr="00DF3006" w:rsidRDefault="00FC17BC" w:rsidP="00CC5BBF">
            <w:pPr>
              <w:spacing w:after="0"/>
              <w:jc w:val="center"/>
              <w:rPr>
                <w:rFonts w:eastAsia="Times New Roman" w:cs="Calibri"/>
                <w:color w:val="414042" w:themeColor="text1"/>
                <w:szCs w:val="20"/>
                <w:lang w:eastAsia="en-AU"/>
              </w:rPr>
            </w:pPr>
          </w:p>
        </w:tc>
        <w:tc>
          <w:tcPr>
            <w:tcW w:w="1101" w:type="dxa"/>
            <w:tcBorders>
              <w:top w:val="nil"/>
              <w:left w:val="nil"/>
              <w:bottom w:val="nil"/>
              <w:right w:val="nil"/>
            </w:tcBorders>
            <w:shd w:val="clear" w:color="000000" w:fill="FFFFFF"/>
            <w:noWrap/>
            <w:vAlign w:val="center"/>
            <w:hideMark/>
          </w:tcPr>
          <w:p w14:paraId="7579B629"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453ABD73" w14:textId="77777777" w:rsidTr="00025E55">
        <w:trPr>
          <w:gridAfter w:val="1"/>
          <w:wAfter w:w="174" w:type="dxa"/>
          <w:trHeight w:val="293"/>
        </w:trPr>
        <w:tc>
          <w:tcPr>
            <w:tcW w:w="2460" w:type="dxa"/>
            <w:tcBorders>
              <w:top w:val="nil"/>
              <w:left w:val="nil"/>
              <w:bottom w:val="nil"/>
              <w:right w:val="nil"/>
            </w:tcBorders>
            <w:shd w:val="clear" w:color="000000" w:fill="FFFFFF"/>
            <w:noWrap/>
            <w:vAlign w:val="center"/>
            <w:hideMark/>
          </w:tcPr>
          <w:p w14:paraId="2B7C3BBA" w14:textId="77777777" w:rsidR="00FC17BC" w:rsidRPr="00DF3006" w:rsidRDefault="00FC17BC" w:rsidP="00CC5BBF">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w:t>
            </w:r>
          </w:p>
        </w:tc>
        <w:tc>
          <w:tcPr>
            <w:tcW w:w="4061" w:type="dxa"/>
            <w:tcBorders>
              <w:top w:val="nil"/>
              <w:left w:val="nil"/>
              <w:bottom w:val="nil"/>
              <w:right w:val="nil"/>
            </w:tcBorders>
            <w:shd w:val="clear" w:color="000000" w:fill="FFFFFF"/>
            <w:noWrap/>
            <w:vAlign w:val="center"/>
            <w:hideMark/>
          </w:tcPr>
          <w:p w14:paraId="580C2855"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276" w:type="dxa"/>
            <w:tcBorders>
              <w:top w:val="single" w:sz="8" w:space="0" w:color="auto"/>
              <w:left w:val="nil"/>
              <w:bottom w:val="double" w:sz="6" w:space="0" w:color="auto"/>
              <w:right w:val="nil"/>
            </w:tcBorders>
            <w:shd w:val="clear" w:color="auto" w:fill="D9D9D9" w:themeFill="background1" w:themeFillShade="D9"/>
            <w:noWrap/>
            <w:vAlign w:val="center"/>
          </w:tcPr>
          <w:p w14:paraId="657435F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5,389</w:t>
            </w:r>
          </w:p>
        </w:tc>
        <w:tc>
          <w:tcPr>
            <w:tcW w:w="1101" w:type="dxa"/>
            <w:tcBorders>
              <w:top w:val="single" w:sz="8" w:space="0" w:color="auto"/>
              <w:left w:val="nil"/>
              <w:bottom w:val="double" w:sz="6" w:space="0" w:color="auto"/>
              <w:right w:val="nil"/>
            </w:tcBorders>
            <w:shd w:val="clear" w:color="000000" w:fill="FFFFFF"/>
            <w:noWrap/>
            <w:vAlign w:val="center"/>
            <w:hideMark/>
          </w:tcPr>
          <w:p w14:paraId="3646626D"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5,963</w:t>
            </w:r>
          </w:p>
        </w:tc>
      </w:tr>
      <w:tr w:rsidR="00FC17BC" w:rsidRPr="00DF3006" w14:paraId="2642374F" w14:textId="77777777" w:rsidTr="00025E55">
        <w:tblPrEx>
          <w:tblBorders>
            <w:top w:val="double" w:sz="4" w:space="0" w:color="auto"/>
            <w:left w:val="double" w:sz="4" w:space="0" w:color="auto"/>
            <w:bottom w:val="double" w:sz="4" w:space="0" w:color="auto"/>
            <w:right w:val="double" w:sz="4" w:space="0" w:color="auto"/>
          </w:tblBorders>
          <w:tblCellMar>
            <w:left w:w="0" w:type="dxa"/>
            <w:right w:w="0" w:type="dxa"/>
          </w:tblCellMar>
          <w:tblLook w:val="0000" w:firstRow="0" w:lastRow="0" w:firstColumn="0" w:lastColumn="0" w:noHBand="0" w:noVBand="0"/>
        </w:tblPrEx>
        <w:trPr>
          <w:trHeight w:val="20"/>
        </w:trPr>
        <w:tc>
          <w:tcPr>
            <w:tcW w:w="9072" w:type="dxa"/>
            <w:gridSpan w:val="5"/>
            <w:tcBorders>
              <w:top w:val="nil"/>
              <w:left w:val="nil"/>
              <w:bottom w:val="nil"/>
              <w:right w:val="nil"/>
            </w:tcBorders>
            <w:noWrap/>
            <w:vAlign w:val="bottom"/>
          </w:tcPr>
          <w:p w14:paraId="7982B40C" w14:textId="77777777" w:rsidR="00FC17BC" w:rsidRPr="00DF3006" w:rsidRDefault="00FC17BC" w:rsidP="00CC5BBF">
            <w:pPr>
              <w:pStyle w:val="Normal115pttext"/>
              <w:spacing w:line="240" w:lineRule="auto"/>
              <w:rPr>
                <w:color w:val="414042" w:themeColor="text1"/>
              </w:rPr>
            </w:pPr>
          </w:p>
        </w:tc>
      </w:tr>
    </w:tbl>
    <w:p w14:paraId="55508A6B" w14:textId="77777777" w:rsidR="00FC17BC" w:rsidRPr="00DF3006" w:rsidRDefault="00FC17BC" w:rsidP="00FC17BC">
      <w:pPr>
        <w:pStyle w:val="Normal115pttext"/>
        <w:spacing w:line="240" w:lineRule="auto"/>
        <w:rPr>
          <w:color w:val="414042" w:themeColor="text1"/>
        </w:rPr>
        <w:sectPr w:rsidR="00FC17BC" w:rsidRPr="00DF3006" w:rsidSect="00C77834">
          <w:pgSz w:w="11906" w:h="16838"/>
          <w:pgMar w:top="2155" w:right="1134" w:bottom="964" w:left="1134" w:header="720" w:footer="284" w:gutter="0"/>
          <w:cols w:space="708"/>
          <w:docGrid w:linePitch="360"/>
        </w:sectPr>
      </w:pPr>
    </w:p>
    <w:p w14:paraId="0DDB17F8" w14:textId="03801982" w:rsidR="00FC17BC" w:rsidRPr="00DF3006" w:rsidRDefault="007C4E47" w:rsidP="00FC17BC">
      <w:pPr>
        <w:pStyle w:val="Normal115pttext"/>
        <w:spacing w:line="240" w:lineRule="auto"/>
        <w:rPr>
          <w:color w:val="414042" w:themeColor="text1"/>
        </w:rPr>
      </w:pPr>
      <w:r w:rsidRPr="00DF3006">
        <w:rPr>
          <w:noProof/>
          <w:color w:val="414042" w:themeColor="text1"/>
        </w:rPr>
        <mc:AlternateContent>
          <mc:Choice Requires="wps">
            <w:drawing>
              <wp:anchor distT="0" distB="0" distL="114300" distR="114300" simplePos="0" relativeHeight="252365824" behindDoc="0" locked="0" layoutInCell="1" allowOverlap="1" wp14:anchorId="645F438D" wp14:editId="58193D02">
                <wp:simplePos x="0" y="0"/>
                <wp:positionH relativeFrom="column">
                  <wp:posOffset>-1080135</wp:posOffset>
                </wp:positionH>
                <wp:positionV relativeFrom="paragraph">
                  <wp:posOffset>-697089</wp:posOffset>
                </wp:positionV>
                <wp:extent cx="530577" cy="7236178"/>
                <wp:effectExtent l="0" t="0" r="3175" b="3175"/>
                <wp:wrapNone/>
                <wp:docPr id="1756629175" name="Text Box 1756629175"/>
                <wp:cNvGraphicFramePr/>
                <a:graphic xmlns:a="http://schemas.openxmlformats.org/drawingml/2006/main">
                  <a:graphicData uri="http://schemas.microsoft.com/office/word/2010/wordprocessingShape">
                    <wps:wsp>
                      <wps:cNvSpPr txBox="1"/>
                      <wps:spPr>
                        <a:xfrm>
                          <a:off x="0" y="0"/>
                          <a:ext cx="530577" cy="7236178"/>
                        </a:xfrm>
                        <a:prstGeom prst="rect">
                          <a:avLst/>
                        </a:prstGeom>
                        <a:solidFill>
                          <a:schemeClr val="lt1"/>
                        </a:solidFill>
                        <a:ln w="6350">
                          <a:noFill/>
                        </a:ln>
                      </wps:spPr>
                      <wps:txbx>
                        <w:txbxContent>
                          <w:p w14:paraId="6FB18DB5" w14:textId="7EF56B81" w:rsidR="007C4E47" w:rsidRDefault="00086D38">
                            <w:sdt>
                              <w:sdtPr>
                                <w:rPr>
                                  <w:b/>
                                  <w:bCs/>
                                  <w:color w:val="414042" w:themeColor="text1"/>
                                  <w:sz w:val="28"/>
                                  <w:szCs w:val="28"/>
                                </w:rPr>
                                <w:id w:val="838966986"/>
                                <w:docPartObj>
                                  <w:docPartGallery w:val="Page Numbers (Bottom of Page)"/>
                                  <w:docPartUnique/>
                                </w:docPartObj>
                              </w:sdtPr>
                              <w:sdtEndPr>
                                <w:rPr>
                                  <w:noProof/>
                                  <w:sz w:val="26"/>
                                  <w:szCs w:val="26"/>
                                </w:rPr>
                              </w:sdtEndPr>
                              <w:sdtContent>
                                <w:r w:rsidR="007C4E47">
                                  <w:rPr>
                                    <w:rFonts w:cs="Calibri Light"/>
                                    <w:caps/>
                                    <w:color w:val="58585B"/>
                                    <w:sz w:val="16"/>
                                    <w:szCs w:val="16"/>
                                  </w:rPr>
                                  <w:t xml:space="preserve">                                                                      </w:t>
                                </w:r>
                                <w:r w:rsidR="00913BBD">
                                  <w:rPr>
                                    <w:rFonts w:cs="Calibri Light"/>
                                    <w:caps/>
                                    <w:color w:val="58585B"/>
                                    <w:sz w:val="16"/>
                                    <w:szCs w:val="16"/>
                                  </w:rPr>
                                  <w:tab/>
                                </w:r>
                                <w:r w:rsidR="00913BBD">
                                  <w:rPr>
                                    <w:rFonts w:cs="Calibri Light"/>
                                    <w:caps/>
                                    <w:color w:val="58585B"/>
                                    <w:sz w:val="16"/>
                                    <w:szCs w:val="16"/>
                                  </w:rPr>
                                  <w:tab/>
                                </w:r>
                                <w:r w:rsidR="007C4E47">
                                  <w:rPr>
                                    <w:rFonts w:cs="Calibri Light"/>
                                    <w:caps/>
                                    <w:color w:val="58585B"/>
                                    <w:sz w:val="16"/>
                                    <w:szCs w:val="16"/>
                                  </w:rPr>
                                  <w:t>A</w:t>
                                </w:r>
                                <w:r w:rsidR="007C4E47" w:rsidRPr="005A3524">
                                  <w:rPr>
                                    <w:rFonts w:cs="Calibri Light"/>
                                    <w:caps/>
                                    <w:color w:val="58585B"/>
                                    <w:sz w:val="16"/>
                                    <w:szCs w:val="16"/>
                                  </w:rPr>
                                  <w:t>nnual report 202</w:t>
                                </w:r>
                                <w:r w:rsidR="007C4E47">
                                  <w:rPr>
                                    <w:rFonts w:cs="Calibri Light"/>
                                    <w:caps/>
                                    <w:color w:val="58585B"/>
                                    <w:sz w:val="16"/>
                                    <w:szCs w:val="16"/>
                                  </w:rPr>
                                  <w:t>2–</w:t>
                                </w:r>
                                <w:r w:rsidR="007C4E47" w:rsidRPr="005A3524">
                                  <w:rPr>
                                    <w:rFonts w:cs="Calibri Light"/>
                                    <w:caps/>
                                    <w:color w:val="58585B"/>
                                    <w:sz w:val="16"/>
                                    <w:szCs w:val="16"/>
                                  </w:rPr>
                                  <w:t>2</w:t>
                                </w:r>
                                <w:r w:rsidR="007C4E47">
                                  <w:rPr>
                                    <w:rFonts w:cs="Calibri Light"/>
                                    <w:caps/>
                                    <w:color w:val="58585B"/>
                                    <w:sz w:val="16"/>
                                    <w:szCs w:val="16"/>
                                  </w:rPr>
                                  <w:t>3</w:t>
                                </w:r>
                                <w:r w:rsidR="007C4E47" w:rsidRPr="005A3524">
                                  <w:rPr>
                                    <w:rFonts w:cs="Calibri Light"/>
                                    <w:caps/>
                                    <w:color w:val="58585B"/>
                                    <w:sz w:val="16"/>
                                    <w:szCs w:val="16"/>
                                  </w:rPr>
                                  <w:t xml:space="preserve"> </w:t>
                                </w:r>
                                <w:r w:rsidR="007C4E47">
                                  <w:rPr>
                                    <w:rFonts w:cs="Calibri Light"/>
                                    <w:caps/>
                                    <w:color w:val="58585B"/>
                                    <w:sz w:val="16"/>
                                    <w:szCs w:val="16"/>
                                  </w:rPr>
                                  <w:t xml:space="preserve"> </w:t>
                                </w:r>
                                <w:r w:rsidR="007C4E47" w:rsidRPr="005A3524">
                                  <w:rPr>
                                    <w:rFonts w:cs="Calibri Light"/>
                                    <w:caps/>
                                    <w:color w:val="58585B"/>
                                    <w:sz w:val="16"/>
                                    <w:szCs w:val="16"/>
                                  </w:rPr>
                                  <w:t xml:space="preserve">        </w:t>
                                </w:r>
                                <w:r w:rsidR="007C4E47" w:rsidRPr="005A3524">
                                  <w:rPr>
                                    <w:rFonts w:ascii="Calibri" w:hAnsi="Calibri" w:cs="Calibri"/>
                                    <w:b/>
                                    <w:bCs/>
                                    <w:caps/>
                                    <w:color w:val="404041"/>
                                    <w:sz w:val="16"/>
                                    <w:szCs w:val="16"/>
                                  </w:rPr>
                                  <w:t>crime and corruption commission</w:t>
                                </w:r>
                                <w:r w:rsidR="007C4E47">
                                  <w:rPr>
                                    <w:rFonts w:ascii="Calibri" w:hAnsi="Calibri" w:cs="Calibri"/>
                                    <w:b/>
                                    <w:bCs/>
                                    <w:caps/>
                                    <w:color w:val="404041"/>
                                    <w:sz w:val="16"/>
                                    <w:szCs w:val="16"/>
                                  </w:rPr>
                                  <w:tab/>
                                </w:r>
                                <w:r w:rsidR="007C4E47">
                                  <w:rPr>
                                    <w:rFonts w:ascii="Calibri" w:hAnsi="Calibri" w:cs="Calibri"/>
                                    <w:b/>
                                    <w:bCs/>
                                    <w:caps/>
                                    <w:color w:val="404041"/>
                                    <w:sz w:val="16"/>
                                    <w:szCs w:val="16"/>
                                  </w:rPr>
                                  <w:tab/>
                                </w:r>
                                <w:r w:rsidR="00913BBD">
                                  <w:rPr>
                                    <w:rFonts w:ascii="Calibri" w:hAnsi="Calibri" w:cs="Calibri"/>
                                    <w:b/>
                                    <w:bCs/>
                                    <w:caps/>
                                    <w:color w:val="404041"/>
                                    <w:sz w:val="16"/>
                                    <w:szCs w:val="16"/>
                                  </w:rPr>
                                  <w:tab/>
                                </w:r>
                                <w:r w:rsidR="007C4E47" w:rsidRPr="00754346">
                                  <w:rPr>
                                    <w:rStyle w:val="PagenumberChar"/>
                                  </w:rPr>
                                  <w:fldChar w:fldCharType="begin"/>
                                </w:r>
                                <w:r w:rsidR="007C4E47" w:rsidRPr="00754346">
                                  <w:rPr>
                                    <w:rStyle w:val="PagenumberChar"/>
                                  </w:rPr>
                                  <w:instrText xml:space="preserve"> PAGE   \* MERGEFORMAT </w:instrText>
                                </w:r>
                                <w:r w:rsidR="007C4E47" w:rsidRPr="00754346">
                                  <w:rPr>
                                    <w:rStyle w:val="PagenumberChar"/>
                                  </w:rPr>
                                  <w:fldChar w:fldCharType="separate"/>
                                </w:r>
                                <w:r w:rsidR="00217CAC">
                                  <w:rPr>
                                    <w:rStyle w:val="PagenumberChar"/>
                                    <w:noProof/>
                                  </w:rPr>
                                  <w:t>107</w:t>
                                </w:r>
                                <w:r w:rsidR="007C4E47" w:rsidRPr="00754346">
                                  <w:rPr>
                                    <w:rStyle w:val="PagenumberChar"/>
                                  </w:rPr>
                                  <w:fldChar w:fldCharType="end"/>
                                </w:r>
                              </w:sdtContent>
                            </w:sdt>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F438D" id="Text Box 1756629175" o:spid="_x0000_s1039" type="#_x0000_t202" style="position:absolute;margin-left:-85.05pt;margin-top:-54.9pt;width:41.8pt;height:569.8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" fillcolor="white [3201]" stroked="f" strokeweight=".5pt">
                <v:textbox style="layout-flow:vertical">
                  <w:txbxContent>
                    <w:p w14:paraId="6FB18DB5" w14:textId="7EF56B81" w:rsidR="007C4E47" w:rsidRDefault="00086D38">
                      <w:sdt>
                        <w:sdtPr>
                          <w:rPr>
                            <w:b/>
                            <w:bCs/>
                            <w:color w:val="414042" w:themeColor="text1"/>
                            <w:sz w:val="28"/>
                            <w:szCs w:val="28"/>
                          </w:rPr>
                          <w:id w:val="838966986"/>
                          <w:docPartObj>
                            <w:docPartGallery w:val="Page Numbers (Bottom of Page)"/>
                            <w:docPartUnique/>
                          </w:docPartObj>
                        </w:sdtPr>
                        <w:sdtEndPr>
                          <w:rPr>
                            <w:noProof/>
                            <w:sz w:val="26"/>
                            <w:szCs w:val="26"/>
                          </w:rPr>
                        </w:sdtEndPr>
                        <w:sdtContent>
                          <w:r w:rsidR="007C4E47">
                            <w:rPr>
                              <w:rFonts w:cs="Calibri Light"/>
                              <w:caps/>
                              <w:color w:val="58585B"/>
                              <w:sz w:val="16"/>
                              <w:szCs w:val="16"/>
                            </w:rPr>
                            <w:t xml:space="preserve">                                                                      </w:t>
                          </w:r>
                          <w:r w:rsidR="00913BBD">
                            <w:rPr>
                              <w:rFonts w:cs="Calibri Light"/>
                              <w:caps/>
                              <w:color w:val="58585B"/>
                              <w:sz w:val="16"/>
                              <w:szCs w:val="16"/>
                            </w:rPr>
                            <w:tab/>
                          </w:r>
                          <w:r w:rsidR="00913BBD">
                            <w:rPr>
                              <w:rFonts w:cs="Calibri Light"/>
                              <w:caps/>
                              <w:color w:val="58585B"/>
                              <w:sz w:val="16"/>
                              <w:szCs w:val="16"/>
                            </w:rPr>
                            <w:tab/>
                          </w:r>
                          <w:r w:rsidR="007C4E47">
                            <w:rPr>
                              <w:rFonts w:cs="Calibri Light"/>
                              <w:caps/>
                              <w:color w:val="58585B"/>
                              <w:sz w:val="16"/>
                              <w:szCs w:val="16"/>
                            </w:rPr>
                            <w:t>A</w:t>
                          </w:r>
                          <w:r w:rsidR="007C4E47" w:rsidRPr="005A3524">
                            <w:rPr>
                              <w:rFonts w:cs="Calibri Light"/>
                              <w:caps/>
                              <w:color w:val="58585B"/>
                              <w:sz w:val="16"/>
                              <w:szCs w:val="16"/>
                            </w:rPr>
                            <w:t>nnual report 202</w:t>
                          </w:r>
                          <w:r w:rsidR="007C4E47">
                            <w:rPr>
                              <w:rFonts w:cs="Calibri Light"/>
                              <w:caps/>
                              <w:color w:val="58585B"/>
                              <w:sz w:val="16"/>
                              <w:szCs w:val="16"/>
                            </w:rPr>
                            <w:t>2–</w:t>
                          </w:r>
                          <w:r w:rsidR="007C4E47" w:rsidRPr="005A3524">
                            <w:rPr>
                              <w:rFonts w:cs="Calibri Light"/>
                              <w:caps/>
                              <w:color w:val="58585B"/>
                              <w:sz w:val="16"/>
                              <w:szCs w:val="16"/>
                            </w:rPr>
                            <w:t>2</w:t>
                          </w:r>
                          <w:r w:rsidR="007C4E47">
                            <w:rPr>
                              <w:rFonts w:cs="Calibri Light"/>
                              <w:caps/>
                              <w:color w:val="58585B"/>
                              <w:sz w:val="16"/>
                              <w:szCs w:val="16"/>
                            </w:rPr>
                            <w:t>3</w:t>
                          </w:r>
                          <w:r w:rsidR="007C4E47" w:rsidRPr="005A3524">
                            <w:rPr>
                              <w:rFonts w:cs="Calibri Light"/>
                              <w:caps/>
                              <w:color w:val="58585B"/>
                              <w:sz w:val="16"/>
                              <w:szCs w:val="16"/>
                            </w:rPr>
                            <w:t xml:space="preserve"> </w:t>
                          </w:r>
                          <w:r w:rsidR="007C4E47">
                            <w:rPr>
                              <w:rFonts w:cs="Calibri Light"/>
                              <w:caps/>
                              <w:color w:val="58585B"/>
                              <w:sz w:val="16"/>
                              <w:szCs w:val="16"/>
                            </w:rPr>
                            <w:t xml:space="preserve"> </w:t>
                          </w:r>
                          <w:r w:rsidR="007C4E47" w:rsidRPr="005A3524">
                            <w:rPr>
                              <w:rFonts w:cs="Calibri Light"/>
                              <w:caps/>
                              <w:color w:val="58585B"/>
                              <w:sz w:val="16"/>
                              <w:szCs w:val="16"/>
                            </w:rPr>
                            <w:t xml:space="preserve">        </w:t>
                          </w:r>
                          <w:r w:rsidR="007C4E47" w:rsidRPr="005A3524">
                            <w:rPr>
                              <w:rFonts w:ascii="Calibri" w:hAnsi="Calibri" w:cs="Calibri"/>
                              <w:b/>
                              <w:bCs/>
                              <w:caps/>
                              <w:color w:val="404041"/>
                              <w:sz w:val="16"/>
                              <w:szCs w:val="16"/>
                            </w:rPr>
                            <w:t>crime and corruption commission</w:t>
                          </w:r>
                          <w:r w:rsidR="007C4E47">
                            <w:rPr>
                              <w:rFonts w:ascii="Calibri" w:hAnsi="Calibri" w:cs="Calibri"/>
                              <w:b/>
                              <w:bCs/>
                              <w:caps/>
                              <w:color w:val="404041"/>
                              <w:sz w:val="16"/>
                              <w:szCs w:val="16"/>
                            </w:rPr>
                            <w:tab/>
                          </w:r>
                          <w:r w:rsidR="007C4E47">
                            <w:rPr>
                              <w:rFonts w:ascii="Calibri" w:hAnsi="Calibri" w:cs="Calibri"/>
                              <w:b/>
                              <w:bCs/>
                              <w:caps/>
                              <w:color w:val="404041"/>
                              <w:sz w:val="16"/>
                              <w:szCs w:val="16"/>
                            </w:rPr>
                            <w:tab/>
                          </w:r>
                          <w:r w:rsidR="00913BBD">
                            <w:rPr>
                              <w:rFonts w:ascii="Calibri" w:hAnsi="Calibri" w:cs="Calibri"/>
                              <w:b/>
                              <w:bCs/>
                              <w:caps/>
                              <w:color w:val="404041"/>
                              <w:sz w:val="16"/>
                              <w:szCs w:val="16"/>
                            </w:rPr>
                            <w:tab/>
                          </w:r>
                          <w:r w:rsidR="007C4E47" w:rsidRPr="00754346">
                            <w:rPr>
                              <w:rStyle w:val="PagenumberChar"/>
                            </w:rPr>
                            <w:fldChar w:fldCharType="begin"/>
                          </w:r>
                          <w:r w:rsidR="007C4E47" w:rsidRPr="00754346">
                            <w:rPr>
                              <w:rStyle w:val="PagenumberChar"/>
                            </w:rPr>
                            <w:instrText xml:space="preserve"> PAGE   \* MERGEFORMAT </w:instrText>
                          </w:r>
                          <w:r w:rsidR="007C4E47" w:rsidRPr="00754346">
                            <w:rPr>
                              <w:rStyle w:val="PagenumberChar"/>
                            </w:rPr>
                            <w:fldChar w:fldCharType="separate"/>
                          </w:r>
                          <w:r w:rsidR="00217CAC">
                            <w:rPr>
                              <w:rStyle w:val="PagenumberChar"/>
                              <w:noProof/>
                            </w:rPr>
                            <w:t>107</w:t>
                          </w:r>
                          <w:r w:rsidR="007C4E47" w:rsidRPr="00754346">
                            <w:rPr>
                              <w:rStyle w:val="PagenumberChar"/>
                            </w:rPr>
                            <w:fldChar w:fldCharType="end"/>
                          </w:r>
                        </w:sdtContent>
                      </w:sdt>
                    </w:p>
                  </w:txbxContent>
                </v:textbox>
              </v:shape>
            </w:pict>
          </mc:Fallback>
        </mc:AlternateContent>
      </w:r>
      <w:r w:rsidR="00FC17BC" w:rsidRPr="00DF3006">
        <w:rPr>
          <w:color w:val="414042" w:themeColor="text1"/>
        </w:rPr>
        <w:t>Note 10:  Property, Plant and Equipment (cont’d)</w:t>
      </w:r>
    </w:p>
    <w:p w14:paraId="29334A8E" w14:textId="77777777" w:rsidR="00FC17BC" w:rsidRPr="00DF3006" w:rsidRDefault="00FC17BC" w:rsidP="005268F0">
      <w:pPr>
        <w:rPr>
          <w:color w:val="414042" w:themeColor="text1"/>
        </w:rPr>
      </w:pPr>
    </w:p>
    <w:p w14:paraId="2FBFEBAD" w14:textId="77777777" w:rsidR="00FC17BC" w:rsidRPr="00DF3006" w:rsidRDefault="00FC17BC" w:rsidP="001C06A7">
      <w:pPr>
        <w:rPr>
          <w:rFonts w:ascii="Calibri" w:hAnsi="Calibri" w:cs="Calibri"/>
          <w:b/>
          <w:bCs/>
          <w:color w:val="414042" w:themeColor="text1"/>
          <w:sz w:val="21"/>
          <w:szCs w:val="21"/>
        </w:rPr>
      </w:pPr>
      <w:r w:rsidRPr="00DF3006">
        <w:rPr>
          <w:rFonts w:ascii="Calibri" w:hAnsi="Calibri" w:cs="Calibri"/>
          <w:b/>
          <w:bCs/>
          <w:color w:val="414042" w:themeColor="text1"/>
          <w:sz w:val="21"/>
          <w:szCs w:val="21"/>
        </w:rPr>
        <w:t>Property, Plant and Equipment Reconciliation</w:t>
      </w:r>
    </w:p>
    <w:p w14:paraId="70C10743" w14:textId="779BE1DD" w:rsidR="00FC17BC" w:rsidRPr="00DF3006" w:rsidRDefault="00913BBD" w:rsidP="00FC17BC">
      <w:pPr>
        <w:rPr>
          <w:color w:val="414042" w:themeColor="text1"/>
          <w:lang w:eastAsia="en-AU"/>
        </w:rPr>
      </w:pPr>
      <w:r w:rsidRPr="00DF3006">
        <w:rPr>
          <w:noProof/>
          <w:color w:val="414042" w:themeColor="text1"/>
          <w:lang w:eastAsia="en-AU"/>
        </w:rPr>
        <mc:AlternateContent>
          <mc:Choice Requires="wps">
            <w:drawing>
              <wp:anchor distT="0" distB="0" distL="114300" distR="114300" simplePos="0" relativeHeight="252366848" behindDoc="0" locked="0" layoutInCell="1" allowOverlap="1" wp14:anchorId="3234C83B" wp14:editId="5B4667C4">
                <wp:simplePos x="0" y="0"/>
                <wp:positionH relativeFrom="column">
                  <wp:posOffset>-1080135</wp:posOffset>
                </wp:positionH>
                <wp:positionV relativeFrom="paragraph">
                  <wp:posOffset>2027132</wp:posOffset>
                </wp:positionV>
                <wp:extent cx="530225"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530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D2D55D" id="Straight Connector 81" o:spid="_x0000_s1026" style="position:absolute;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05pt,159.6pt" to="-43.3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" strokecolor="black [3204]" strokeweight=".5pt">
                <v:stroke joinstyle="miter"/>
              </v:line>
            </w:pict>
          </mc:Fallback>
        </mc:AlternateContent>
      </w:r>
    </w:p>
    <w:tbl>
      <w:tblPr>
        <w:tblW w:w="13840" w:type="dxa"/>
        <w:tblLook w:val="04A0" w:firstRow="1" w:lastRow="0" w:firstColumn="1" w:lastColumn="0" w:noHBand="0" w:noVBand="1"/>
      </w:tblPr>
      <w:tblGrid>
        <w:gridCol w:w="2800"/>
        <w:gridCol w:w="920"/>
        <w:gridCol w:w="920"/>
        <w:gridCol w:w="920"/>
        <w:gridCol w:w="920"/>
        <w:gridCol w:w="920"/>
        <w:gridCol w:w="920"/>
        <w:gridCol w:w="920"/>
        <w:gridCol w:w="920"/>
        <w:gridCol w:w="920"/>
        <w:gridCol w:w="920"/>
        <w:gridCol w:w="920"/>
        <w:gridCol w:w="920"/>
      </w:tblGrid>
      <w:tr w:rsidR="00DF3006" w:rsidRPr="00DF3006" w14:paraId="1BD1DEFB" w14:textId="77777777" w:rsidTr="00025E55">
        <w:trPr>
          <w:trHeight w:val="285"/>
        </w:trPr>
        <w:tc>
          <w:tcPr>
            <w:tcW w:w="2800" w:type="dxa"/>
            <w:tcBorders>
              <w:top w:val="single" w:sz="8" w:space="0" w:color="auto"/>
              <w:left w:val="nil"/>
              <w:bottom w:val="nil"/>
              <w:right w:val="single" w:sz="8" w:space="0" w:color="auto"/>
            </w:tcBorders>
            <w:shd w:val="clear" w:color="000000" w:fill="FFFFFF"/>
            <w:vAlign w:val="center"/>
            <w:hideMark/>
          </w:tcPr>
          <w:p w14:paraId="3840971E" w14:textId="77777777" w:rsidR="00FC17BC" w:rsidRPr="00DF3006" w:rsidRDefault="00FC17BC" w:rsidP="00CC5BBF">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20F22474"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xml:space="preserve">Motor </w:t>
            </w:r>
          </w:p>
          <w:p w14:paraId="046D45B8"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vehicles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6F185392"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xml:space="preserve">Computer </w:t>
            </w:r>
          </w:p>
          <w:p w14:paraId="134AFCEE"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ED5F7B9"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General and technical 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18D5611"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Leasehold improvements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162B8632"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Work</w:t>
            </w:r>
          </w:p>
          <w:p w14:paraId="1EC7F299"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in progress</w:t>
            </w:r>
          </w:p>
        </w:tc>
        <w:tc>
          <w:tcPr>
            <w:tcW w:w="1840" w:type="dxa"/>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77B2A787" w14:textId="77777777" w:rsidR="00FC17BC" w:rsidRPr="00DF3006" w:rsidRDefault="00FC17BC" w:rsidP="00CC5BBF">
            <w:pPr>
              <w:spacing w:after="0"/>
              <w:jc w:val="center"/>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Total</w:t>
            </w:r>
          </w:p>
        </w:tc>
      </w:tr>
      <w:tr w:rsidR="00DF3006" w:rsidRPr="00DF3006" w14:paraId="0F250181" w14:textId="77777777" w:rsidTr="00025E55">
        <w:trPr>
          <w:trHeight w:val="293"/>
        </w:trPr>
        <w:tc>
          <w:tcPr>
            <w:tcW w:w="2800" w:type="dxa"/>
            <w:tcBorders>
              <w:top w:val="nil"/>
              <w:left w:val="nil"/>
              <w:bottom w:val="nil"/>
              <w:right w:val="single" w:sz="8" w:space="0" w:color="auto"/>
            </w:tcBorders>
            <w:shd w:val="clear" w:color="000000" w:fill="FFFFFF"/>
            <w:vAlign w:val="center"/>
            <w:hideMark/>
          </w:tcPr>
          <w:p w14:paraId="5D63FD40" w14:textId="77777777" w:rsidR="00FC17BC" w:rsidRPr="00DF3006" w:rsidRDefault="00FC17BC" w:rsidP="00CC5BBF">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w:t>
            </w:r>
          </w:p>
        </w:tc>
        <w:tc>
          <w:tcPr>
            <w:tcW w:w="1840" w:type="dxa"/>
            <w:gridSpan w:val="2"/>
            <w:vMerge/>
            <w:tcBorders>
              <w:left w:val="nil"/>
              <w:bottom w:val="single" w:sz="8" w:space="0" w:color="auto"/>
              <w:right w:val="single" w:sz="8" w:space="0" w:color="000000"/>
            </w:tcBorders>
            <w:shd w:val="clear" w:color="000000" w:fill="FFFFFF"/>
            <w:vAlign w:val="center"/>
            <w:hideMark/>
          </w:tcPr>
          <w:p w14:paraId="5FF777AF" w14:textId="77777777" w:rsidR="00FC17BC" w:rsidRPr="00DF3006" w:rsidRDefault="00FC17BC" w:rsidP="00CC5BBF">
            <w:pPr>
              <w:spacing w:after="0"/>
              <w:jc w:val="center"/>
              <w:rPr>
                <w:rFonts w:eastAsia="Times New Roman" w:cs="Calibri"/>
                <w:b/>
                <w:bCs/>
                <w:color w:val="414042" w:themeColor="text1"/>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33B762F2" w14:textId="77777777" w:rsidR="00FC17BC" w:rsidRPr="00DF3006" w:rsidRDefault="00FC17BC" w:rsidP="00CC5BBF">
            <w:pPr>
              <w:spacing w:after="0"/>
              <w:jc w:val="center"/>
              <w:rPr>
                <w:rFonts w:eastAsia="Times New Roman" w:cs="Calibri"/>
                <w:b/>
                <w:bCs/>
                <w:color w:val="414042" w:themeColor="text1"/>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1D5BA6BF" w14:textId="77777777" w:rsidR="00FC17BC" w:rsidRPr="00DF3006" w:rsidRDefault="00FC17BC" w:rsidP="00CC5BBF">
            <w:pPr>
              <w:spacing w:after="0"/>
              <w:rPr>
                <w:rFonts w:eastAsia="Times New Roman" w:cs="Calibri"/>
                <w:b/>
                <w:bCs/>
                <w:color w:val="414042" w:themeColor="text1"/>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6018B624" w14:textId="77777777" w:rsidR="00FC17BC" w:rsidRPr="00DF3006" w:rsidRDefault="00FC17BC" w:rsidP="00CC5BBF">
            <w:pPr>
              <w:spacing w:after="0"/>
              <w:rPr>
                <w:rFonts w:eastAsia="Times New Roman" w:cs="Calibri"/>
                <w:b/>
                <w:bCs/>
                <w:color w:val="414042" w:themeColor="text1"/>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2F106B3B" w14:textId="77777777" w:rsidR="00FC17BC" w:rsidRPr="00DF3006" w:rsidRDefault="00FC17BC" w:rsidP="00CC5BBF">
            <w:pPr>
              <w:spacing w:after="0"/>
              <w:jc w:val="center"/>
              <w:rPr>
                <w:rFonts w:eastAsia="Times New Roman" w:cs="Calibri"/>
                <w:b/>
                <w:bCs/>
                <w:color w:val="414042" w:themeColor="text1"/>
                <w:szCs w:val="20"/>
                <w:lang w:eastAsia="en-AU"/>
              </w:rPr>
            </w:pPr>
          </w:p>
        </w:tc>
        <w:tc>
          <w:tcPr>
            <w:tcW w:w="1840" w:type="dxa"/>
            <w:gridSpan w:val="2"/>
            <w:vMerge/>
            <w:tcBorders>
              <w:top w:val="single" w:sz="8" w:space="0" w:color="auto"/>
              <w:left w:val="single" w:sz="8" w:space="0" w:color="auto"/>
              <w:bottom w:val="single" w:sz="8" w:space="0" w:color="000000"/>
              <w:right w:val="nil"/>
            </w:tcBorders>
            <w:vAlign w:val="center"/>
            <w:hideMark/>
          </w:tcPr>
          <w:p w14:paraId="23EE7C58" w14:textId="77777777" w:rsidR="00FC17BC" w:rsidRPr="00DF3006" w:rsidRDefault="00FC17BC" w:rsidP="00CC5BBF">
            <w:pPr>
              <w:spacing w:after="0"/>
              <w:rPr>
                <w:rFonts w:eastAsia="Times New Roman" w:cs="Calibri"/>
                <w:b/>
                <w:bCs/>
                <w:color w:val="414042" w:themeColor="text1"/>
                <w:szCs w:val="20"/>
                <w:lang w:eastAsia="en-AU"/>
              </w:rPr>
            </w:pPr>
          </w:p>
        </w:tc>
      </w:tr>
      <w:tr w:rsidR="00DF3006" w:rsidRPr="00DF3006" w14:paraId="7EF30700"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19B77AEC"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2EF36708"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920" w:type="dxa"/>
            <w:tcBorders>
              <w:top w:val="nil"/>
              <w:left w:val="nil"/>
              <w:bottom w:val="nil"/>
              <w:right w:val="single" w:sz="8" w:space="0" w:color="auto"/>
            </w:tcBorders>
            <w:shd w:val="clear" w:color="000000" w:fill="FFFFFF"/>
            <w:vAlign w:val="center"/>
            <w:hideMark/>
          </w:tcPr>
          <w:p w14:paraId="4AC479B1"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c>
          <w:tcPr>
            <w:tcW w:w="920" w:type="dxa"/>
            <w:tcBorders>
              <w:top w:val="nil"/>
              <w:left w:val="nil"/>
              <w:bottom w:val="nil"/>
              <w:right w:val="nil"/>
            </w:tcBorders>
            <w:shd w:val="clear" w:color="auto" w:fill="D9D9D9" w:themeFill="background1" w:themeFillShade="D9"/>
            <w:vAlign w:val="center"/>
            <w:hideMark/>
          </w:tcPr>
          <w:p w14:paraId="6E7D68B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920" w:type="dxa"/>
            <w:tcBorders>
              <w:top w:val="nil"/>
              <w:left w:val="nil"/>
              <w:bottom w:val="nil"/>
              <w:right w:val="single" w:sz="8" w:space="0" w:color="auto"/>
            </w:tcBorders>
            <w:shd w:val="clear" w:color="000000" w:fill="FFFFFF"/>
            <w:vAlign w:val="center"/>
            <w:hideMark/>
          </w:tcPr>
          <w:p w14:paraId="5C2655FF"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c>
          <w:tcPr>
            <w:tcW w:w="920" w:type="dxa"/>
            <w:tcBorders>
              <w:top w:val="nil"/>
              <w:left w:val="nil"/>
              <w:bottom w:val="nil"/>
              <w:right w:val="nil"/>
            </w:tcBorders>
            <w:shd w:val="clear" w:color="auto" w:fill="D9D9D9" w:themeFill="background1" w:themeFillShade="D9"/>
            <w:vAlign w:val="center"/>
            <w:hideMark/>
          </w:tcPr>
          <w:p w14:paraId="45BDEFAD"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920" w:type="dxa"/>
            <w:tcBorders>
              <w:top w:val="nil"/>
              <w:left w:val="nil"/>
              <w:bottom w:val="nil"/>
              <w:right w:val="single" w:sz="8" w:space="0" w:color="auto"/>
            </w:tcBorders>
            <w:shd w:val="clear" w:color="000000" w:fill="FFFFFF"/>
            <w:vAlign w:val="center"/>
            <w:hideMark/>
          </w:tcPr>
          <w:p w14:paraId="22A0AA19"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c>
          <w:tcPr>
            <w:tcW w:w="920" w:type="dxa"/>
            <w:tcBorders>
              <w:top w:val="nil"/>
              <w:left w:val="nil"/>
              <w:bottom w:val="nil"/>
              <w:right w:val="nil"/>
            </w:tcBorders>
            <w:shd w:val="clear" w:color="auto" w:fill="D9D9D9" w:themeFill="background1" w:themeFillShade="D9"/>
            <w:vAlign w:val="center"/>
            <w:hideMark/>
          </w:tcPr>
          <w:p w14:paraId="08AA4A4A"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920" w:type="dxa"/>
            <w:tcBorders>
              <w:top w:val="nil"/>
              <w:left w:val="nil"/>
              <w:bottom w:val="nil"/>
              <w:right w:val="single" w:sz="8" w:space="0" w:color="auto"/>
            </w:tcBorders>
            <w:shd w:val="clear" w:color="000000" w:fill="FFFFFF"/>
            <w:vAlign w:val="center"/>
            <w:hideMark/>
          </w:tcPr>
          <w:p w14:paraId="07F0BE1F"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c>
          <w:tcPr>
            <w:tcW w:w="920" w:type="dxa"/>
            <w:tcBorders>
              <w:top w:val="nil"/>
              <w:left w:val="nil"/>
              <w:bottom w:val="nil"/>
              <w:right w:val="nil"/>
            </w:tcBorders>
            <w:shd w:val="clear" w:color="auto" w:fill="D9D9D9" w:themeFill="background1" w:themeFillShade="D9"/>
            <w:vAlign w:val="center"/>
            <w:hideMark/>
          </w:tcPr>
          <w:p w14:paraId="39BA587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920" w:type="dxa"/>
            <w:tcBorders>
              <w:top w:val="nil"/>
              <w:left w:val="nil"/>
              <w:bottom w:val="nil"/>
              <w:right w:val="single" w:sz="8" w:space="0" w:color="auto"/>
            </w:tcBorders>
            <w:shd w:val="clear" w:color="000000" w:fill="FFFFFF"/>
            <w:vAlign w:val="center"/>
            <w:hideMark/>
          </w:tcPr>
          <w:p w14:paraId="3CDFD53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c>
          <w:tcPr>
            <w:tcW w:w="920" w:type="dxa"/>
            <w:tcBorders>
              <w:top w:val="nil"/>
              <w:left w:val="nil"/>
              <w:bottom w:val="nil"/>
              <w:right w:val="nil"/>
            </w:tcBorders>
            <w:shd w:val="clear" w:color="auto" w:fill="D9D9D9" w:themeFill="background1" w:themeFillShade="D9"/>
            <w:vAlign w:val="center"/>
            <w:hideMark/>
          </w:tcPr>
          <w:p w14:paraId="7202B973"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2023</w:t>
            </w:r>
          </w:p>
        </w:tc>
        <w:tc>
          <w:tcPr>
            <w:tcW w:w="920" w:type="dxa"/>
            <w:tcBorders>
              <w:top w:val="nil"/>
              <w:left w:val="nil"/>
              <w:bottom w:val="nil"/>
              <w:right w:val="nil"/>
            </w:tcBorders>
            <w:shd w:val="clear" w:color="000000" w:fill="FFFFFF"/>
            <w:vAlign w:val="center"/>
            <w:hideMark/>
          </w:tcPr>
          <w:p w14:paraId="6D916C4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2022</w:t>
            </w:r>
          </w:p>
        </w:tc>
      </w:tr>
      <w:tr w:rsidR="00DF3006" w:rsidRPr="00DF3006" w14:paraId="135E22CC" w14:textId="77777777" w:rsidTr="00025E55">
        <w:trPr>
          <w:trHeight w:val="293"/>
        </w:trPr>
        <w:tc>
          <w:tcPr>
            <w:tcW w:w="2800" w:type="dxa"/>
            <w:tcBorders>
              <w:top w:val="nil"/>
              <w:left w:val="nil"/>
              <w:bottom w:val="single" w:sz="8" w:space="0" w:color="auto"/>
              <w:right w:val="single" w:sz="8" w:space="0" w:color="auto"/>
            </w:tcBorders>
            <w:shd w:val="clear" w:color="000000" w:fill="FFFFFF"/>
            <w:vAlign w:val="center"/>
            <w:hideMark/>
          </w:tcPr>
          <w:p w14:paraId="4C6081E9"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single" w:sz="8" w:space="0" w:color="auto"/>
              <w:right w:val="nil"/>
            </w:tcBorders>
            <w:shd w:val="clear" w:color="auto" w:fill="D9D9D9" w:themeFill="background1" w:themeFillShade="D9"/>
            <w:vAlign w:val="center"/>
            <w:hideMark/>
          </w:tcPr>
          <w:p w14:paraId="2D64ABAD"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0A1AD22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nil"/>
            </w:tcBorders>
            <w:shd w:val="clear" w:color="auto" w:fill="D9D9D9" w:themeFill="background1" w:themeFillShade="D9"/>
            <w:vAlign w:val="center"/>
            <w:hideMark/>
          </w:tcPr>
          <w:p w14:paraId="41FC245D"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010BDE9A"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nil"/>
            </w:tcBorders>
            <w:shd w:val="clear" w:color="auto" w:fill="D9D9D9" w:themeFill="background1" w:themeFillShade="D9"/>
            <w:vAlign w:val="center"/>
            <w:hideMark/>
          </w:tcPr>
          <w:p w14:paraId="3F67731E"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7EB81013"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nil"/>
            </w:tcBorders>
            <w:shd w:val="clear" w:color="auto" w:fill="D9D9D9" w:themeFill="background1" w:themeFillShade="D9"/>
            <w:vAlign w:val="center"/>
            <w:hideMark/>
          </w:tcPr>
          <w:p w14:paraId="764DADD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1D125A7C"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nil"/>
            </w:tcBorders>
            <w:shd w:val="clear" w:color="auto" w:fill="D9D9D9" w:themeFill="background1" w:themeFillShade="D9"/>
            <w:vAlign w:val="center"/>
            <w:hideMark/>
          </w:tcPr>
          <w:p w14:paraId="64261100"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2367118E"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nil"/>
            </w:tcBorders>
            <w:shd w:val="clear" w:color="auto" w:fill="D9D9D9" w:themeFill="background1" w:themeFillShade="D9"/>
            <w:vAlign w:val="center"/>
            <w:hideMark/>
          </w:tcPr>
          <w:p w14:paraId="44194549"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c>
          <w:tcPr>
            <w:tcW w:w="920" w:type="dxa"/>
            <w:tcBorders>
              <w:top w:val="nil"/>
              <w:left w:val="nil"/>
              <w:bottom w:val="single" w:sz="8" w:space="0" w:color="auto"/>
              <w:right w:val="nil"/>
            </w:tcBorders>
            <w:shd w:val="clear" w:color="000000" w:fill="FFFFFF"/>
            <w:vAlign w:val="center"/>
            <w:hideMark/>
          </w:tcPr>
          <w:p w14:paraId="1883CD0D"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$’000</w:t>
            </w:r>
          </w:p>
        </w:tc>
      </w:tr>
      <w:tr w:rsidR="00DF3006" w:rsidRPr="00DF3006" w14:paraId="0D425F82"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1D69B2FE"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7B048DAA"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single" w:sz="8" w:space="0" w:color="auto"/>
            </w:tcBorders>
            <w:shd w:val="clear" w:color="000000" w:fill="FFFFFF"/>
            <w:vAlign w:val="center"/>
            <w:hideMark/>
          </w:tcPr>
          <w:p w14:paraId="78BBB953"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54C1AE0C"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single" w:sz="8" w:space="0" w:color="auto"/>
            </w:tcBorders>
            <w:shd w:val="clear" w:color="000000" w:fill="FFFFFF"/>
            <w:vAlign w:val="center"/>
            <w:hideMark/>
          </w:tcPr>
          <w:p w14:paraId="253ED6CE"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76C36B82"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single" w:sz="8" w:space="0" w:color="auto"/>
            </w:tcBorders>
            <w:shd w:val="clear" w:color="000000" w:fill="FFFFFF"/>
            <w:vAlign w:val="center"/>
            <w:hideMark/>
          </w:tcPr>
          <w:p w14:paraId="42004FCA"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2101D213"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single" w:sz="8" w:space="0" w:color="auto"/>
            </w:tcBorders>
            <w:shd w:val="clear" w:color="000000" w:fill="FFFFFF"/>
            <w:vAlign w:val="center"/>
            <w:hideMark/>
          </w:tcPr>
          <w:p w14:paraId="5DE4E6A3"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3170DCD9"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single" w:sz="8" w:space="0" w:color="auto"/>
            </w:tcBorders>
            <w:shd w:val="clear" w:color="000000" w:fill="FFFFFF"/>
            <w:vAlign w:val="center"/>
            <w:hideMark/>
          </w:tcPr>
          <w:p w14:paraId="51D53E4F"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hideMark/>
          </w:tcPr>
          <w:p w14:paraId="7CC42F7E"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000000" w:fill="FFFFFF"/>
            <w:vAlign w:val="center"/>
            <w:hideMark/>
          </w:tcPr>
          <w:p w14:paraId="0D5EE9F7"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r>
      <w:tr w:rsidR="00DF3006" w:rsidRPr="00DF3006" w14:paraId="20C9641A"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4656A93C"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xml:space="preserve">Carrying amount </w:t>
            </w:r>
            <w:proofErr w:type="gramStart"/>
            <w:r w:rsidRPr="00DF3006">
              <w:rPr>
                <w:rFonts w:eastAsia="Times New Roman" w:cs="Calibri"/>
                <w:color w:val="414042" w:themeColor="text1"/>
                <w:szCs w:val="20"/>
                <w:lang w:eastAsia="en-AU"/>
              </w:rPr>
              <w:t>at</w:t>
            </w:r>
            <w:proofErr w:type="gramEnd"/>
            <w:r w:rsidRPr="00DF3006">
              <w:rPr>
                <w:rFonts w:eastAsia="Times New Roman" w:cs="Calibri"/>
                <w:color w:val="414042" w:themeColor="text1"/>
                <w:szCs w:val="20"/>
                <w:lang w:eastAsia="en-AU"/>
              </w:rPr>
              <w:t xml:space="preserve"> 1 July</w:t>
            </w:r>
          </w:p>
        </w:tc>
        <w:tc>
          <w:tcPr>
            <w:tcW w:w="920" w:type="dxa"/>
            <w:tcBorders>
              <w:top w:val="nil"/>
              <w:left w:val="nil"/>
              <w:bottom w:val="nil"/>
              <w:right w:val="nil"/>
            </w:tcBorders>
            <w:shd w:val="clear" w:color="auto" w:fill="D9D9D9" w:themeFill="background1" w:themeFillShade="D9"/>
            <w:vAlign w:val="center"/>
          </w:tcPr>
          <w:p w14:paraId="05A746AE"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1,541</w:t>
            </w:r>
          </w:p>
        </w:tc>
        <w:tc>
          <w:tcPr>
            <w:tcW w:w="920" w:type="dxa"/>
            <w:tcBorders>
              <w:top w:val="nil"/>
              <w:left w:val="nil"/>
              <w:bottom w:val="nil"/>
              <w:right w:val="single" w:sz="8" w:space="0" w:color="auto"/>
            </w:tcBorders>
            <w:shd w:val="clear" w:color="000000" w:fill="FFFFFF"/>
            <w:vAlign w:val="center"/>
            <w:hideMark/>
          </w:tcPr>
          <w:p w14:paraId="7D4F398E"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1,326</w:t>
            </w:r>
          </w:p>
        </w:tc>
        <w:tc>
          <w:tcPr>
            <w:tcW w:w="920" w:type="dxa"/>
            <w:tcBorders>
              <w:top w:val="nil"/>
              <w:left w:val="nil"/>
              <w:bottom w:val="nil"/>
              <w:right w:val="nil"/>
            </w:tcBorders>
            <w:shd w:val="clear" w:color="auto" w:fill="D9D9D9" w:themeFill="background1" w:themeFillShade="D9"/>
            <w:vAlign w:val="center"/>
          </w:tcPr>
          <w:p w14:paraId="635FED3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761</w:t>
            </w:r>
          </w:p>
        </w:tc>
        <w:tc>
          <w:tcPr>
            <w:tcW w:w="920" w:type="dxa"/>
            <w:tcBorders>
              <w:top w:val="nil"/>
              <w:left w:val="nil"/>
              <w:bottom w:val="nil"/>
              <w:right w:val="single" w:sz="8" w:space="0" w:color="auto"/>
            </w:tcBorders>
            <w:shd w:val="clear" w:color="000000" w:fill="FFFFFF"/>
            <w:vAlign w:val="center"/>
            <w:hideMark/>
          </w:tcPr>
          <w:p w14:paraId="721BBE0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1,265</w:t>
            </w:r>
          </w:p>
        </w:tc>
        <w:tc>
          <w:tcPr>
            <w:tcW w:w="920" w:type="dxa"/>
            <w:tcBorders>
              <w:top w:val="nil"/>
              <w:left w:val="nil"/>
              <w:bottom w:val="nil"/>
              <w:right w:val="nil"/>
            </w:tcBorders>
            <w:shd w:val="clear" w:color="auto" w:fill="D9D9D9" w:themeFill="background1" w:themeFillShade="D9"/>
            <w:vAlign w:val="center"/>
          </w:tcPr>
          <w:p w14:paraId="2D56001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818</w:t>
            </w:r>
          </w:p>
        </w:tc>
        <w:tc>
          <w:tcPr>
            <w:tcW w:w="920" w:type="dxa"/>
            <w:tcBorders>
              <w:top w:val="nil"/>
              <w:left w:val="nil"/>
              <w:bottom w:val="nil"/>
              <w:right w:val="single" w:sz="8" w:space="0" w:color="auto"/>
            </w:tcBorders>
            <w:shd w:val="clear" w:color="000000" w:fill="FFFFFF"/>
            <w:vAlign w:val="center"/>
            <w:hideMark/>
          </w:tcPr>
          <w:p w14:paraId="574E3B6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787</w:t>
            </w:r>
          </w:p>
        </w:tc>
        <w:tc>
          <w:tcPr>
            <w:tcW w:w="920" w:type="dxa"/>
            <w:tcBorders>
              <w:top w:val="nil"/>
              <w:left w:val="nil"/>
              <w:bottom w:val="nil"/>
              <w:right w:val="nil"/>
            </w:tcBorders>
            <w:shd w:val="clear" w:color="auto" w:fill="D9D9D9" w:themeFill="background1" w:themeFillShade="D9"/>
            <w:vAlign w:val="center"/>
          </w:tcPr>
          <w:p w14:paraId="6F4A08C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2,361</w:t>
            </w:r>
          </w:p>
        </w:tc>
        <w:tc>
          <w:tcPr>
            <w:tcW w:w="920" w:type="dxa"/>
            <w:tcBorders>
              <w:top w:val="nil"/>
              <w:left w:val="nil"/>
              <w:bottom w:val="nil"/>
              <w:right w:val="single" w:sz="8" w:space="0" w:color="auto"/>
            </w:tcBorders>
            <w:shd w:val="clear" w:color="000000" w:fill="FFFFFF"/>
            <w:vAlign w:val="center"/>
            <w:hideMark/>
          </w:tcPr>
          <w:p w14:paraId="0640A2A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2,973</w:t>
            </w:r>
          </w:p>
        </w:tc>
        <w:tc>
          <w:tcPr>
            <w:tcW w:w="920" w:type="dxa"/>
            <w:tcBorders>
              <w:top w:val="nil"/>
              <w:left w:val="nil"/>
              <w:bottom w:val="nil"/>
              <w:right w:val="nil"/>
            </w:tcBorders>
            <w:shd w:val="clear" w:color="auto" w:fill="D9D9D9" w:themeFill="background1" w:themeFillShade="D9"/>
            <w:vAlign w:val="center"/>
          </w:tcPr>
          <w:p w14:paraId="78AB9B3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482</w:t>
            </w:r>
          </w:p>
        </w:tc>
        <w:tc>
          <w:tcPr>
            <w:tcW w:w="920" w:type="dxa"/>
            <w:tcBorders>
              <w:top w:val="nil"/>
              <w:left w:val="nil"/>
              <w:bottom w:val="nil"/>
              <w:right w:val="single" w:sz="8" w:space="0" w:color="auto"/>
            </w:tcBorders>
            <w:shd w:val="clear" w:color="000000" w:fill="FFFFFF"/>
            <w:vAlign w:val="center"/>
            <w:hideMark/>
          </w:tcPr>
          <w:p w14:paraId="6A6F0EB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71</w:t>
            </w:r>
          </w:p>
        </w:tc>
        <w:tc>
          <w:tcPr>
            <w:tcW w:w="920" w:type="dxa"/>
            <w:tcBorders>
              <w:top w:val="nil"/>
              <w:left w:val="nil"/>
              <w:bottom w:val="nil"/>
              <w:right w:val="nil"/>
            </w:tcBorders>
            <w:shd w:val="clear" w:color="auto" w:fill="D9D9D9" w:themeFill="background1" w:themeFillShade="D9"/>
            <w:vAlign w:val="center"/>
          </w:tcPr>
          <w:p w14:paraId="4195162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5,963</w:t>
            </w:r>
          </w:p>
        </w:tc>
        <w:tc>
          <w:tcPr>
            <w:tcW w:w="920" w:type="dxa"/>
            <w:tcBorders>
              <w:top w:val="nil"/>
              <w:left w:val="nil"/>
              <w:bottom w:val="nil"/>
              <w:right w:val="nil"/>
            </w:tcBorders>
            <w:shd w:val="clear" w:color="000000" w:fill="FFFFFF"/>
            <w:vAlign w:val="center"/>
            <w:hideMark/>
          </w:tcPr>
          <w:p w14:paraId="0F7F46BC"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6,422</w:t>
            </w:r>
          </w:p>
        </w:tc>
      </w:tr>
      <w:tr w:rsidR="00DF3006" w:rsidRPr="00DF3006" w14:paraId="4ECCB17A"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6912100F"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tcPr>
          <w:p w14:paraId="74FF0EC0"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77E5CCE3"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45F22B75"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7679FF3E"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4141E243"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1791FE2F"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56D0FC62"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2A6F14FE"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02852281"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48895441"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57720D98"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000000" w:fill="FFFFFF"/>
            <w:vAlign w:val="center"/>
            <w:hideMark/>
          </w:tcPr>
          <w:p w14:paraId="4D8051BD"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21715587"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1DC16BCA"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Acquisitions</w:t>
            </w:r>
          </w:p>
        </w:tc>
        <w:tc>
          <w:tcPr>
            <w:tcW w:w="920" w:type="dxa"/>
            <w:tcBorders>
              <w:top w:val="nil"/>
              <w:left w:val="nil"/>
              <w:bottom w:val="nil"/>
              <w:right w:val="nil"/>
            </w:tcBorders>
            <w:shd w:val="clear" w:color="auto" w:fill="D9D9D9" w:themeFill="background1" w:themeFillShade="D9"/>
            <w:vAlign w:val="center"/>
          </w:tcPr>
          <w:p w14:paraId="2050EF63"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942</w:t>
            </w:r>
          </w:p>
        </w:tc>
        <w:tc>
          <w:tcPr>
            <w:tcW w:w="920" w:type="dxa"/>
            <w:tcBorders>
              <w:top w:val="nil"/>
              <w:left w:val="nil"/>
              <w:bottom w:val="nil"/>
              <w:right w:val="single" w:sz="8" w:space="0" w:color="auto"/>
            </w:tcBorders>
            <w:shd w:val="clear" w:color="000000" w:fill="FFFFFF"/>
            <w:vAlign w:val="center"/>
            <w:hideMark/>
          </w:tcPr>
          <w:p w14:paraId="5BFC7BFC"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980</w:t>
            </w:r>
          </w:p>
        </w:tc>
        <w:tc>
          <w:tcPr>
            <w:tcW w:w="920" w:type="dxa"/>
            <w:tcBorders>
              <w:top w:val="nil"/>
              <w:left w:val="nil"/>
              <w:bottom w:val="nil"/>
              <w:right w:val="nil"/>
            </w:tcBorders>
            <w:shd w:val="clear" w:color="auto" w:fill="D9D9D9" w:themeFill="background1" w:themeFillShade="D9"/>
            <w:vAlign w:val="center"/>
          </w:tcPr>
          <w:p w14:paraId="002D564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57</w:t>
            </w:r>
          </w:p>
        </w:tc>
        <w:tc>
          <w:tcPr>
            <w:tcW w:w="920" w:type="dxa"/>
            <w:tcBorders>
              <w:top w:val="nil"/>
              <w:left w:val="nil"/>
              <w:bottom w:val="nil"/>
              <w:right w:val="single" w:sz="8" w:space="0" w:color="auto"/>
            </w:tcBorders>
            <w:shd w:val="clear" w:color="000000" w:fill="FFFFFF"/>
            <w:vAlign w:val="center"/>
            <w:hideMark/>
          </w:tcPr>
          <w:p w14:paraId="6653B29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56</w:t>
            </w:r>
          </w:p>
        </w:tc>
        <w:tc>
          <w:tcPr>
            <w:tcW w:w="920" w:type="dxa"/>
            <w:tcBorders>
              <w:top w:val="nil"/>
              <w:left w:val="nil"/>
              <w:bottom w:val="nil"/>
              <w:right w:val="nil"/>
            </w:tcBorders>
            <w:shd w:val="clear" w:color="auto" w:fill="D9D9D9" w:themeFill="background1" w:themeFillShade="D9"/>
            <w:vAlign w:val="center"/>
          </w:tcPr>
          <w:p w14:paraId="33F6372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406</w:t>
            </w:r>
          </w:p>
        </w:tc>
        <w:tc>
          <w:tcPr>
            <w:tcW w:w="920" w:type="dxa"/>
            <w:tcBorders>
              <w:top w:val="nil"/>
              <w:left w:val="nil"/>
              <w:bottom w:val="nil"/>
              <w:right w:val="single" w:sz="8" w:space="0" w:color="auto"/>
            </w:tcBorders>
            <w:shd w:val="clear" w:color="000000" w:fill="FFFFFF"/>
            <w:vAlign w:val="center"/>
            <w:hideMark/>
          </w:tcPr>
          <w:p w14:paraId="07AF7AB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233</w:t>
            </w:r>
          </w:p>
        </w:tc>
        <w:tc>
          <w:tcPr>
            <w:tcW w:w="920" w:type="dxa"/>
            <w:tcBorders>
              <w:top w:val="nil"/>
              <w:left w:val="nil"/>
              <w:bottom w:val="nil"/>
              <w:right w:val="nil"/>
            </w:tcBorders>
            <w:shd w:val="clear" w:color="auto" w:fill="D9D9D9" w:themeFill="background1" w:themeFillShade="D9"/>
            <w:vAlign w:val="center"/>
          </w:tcPr>
          <w:p w14:paraId="72027465" w14:textId="77777777" w:rsidR="00FC17BC" w:rsidRPr="00DF3006" w:rsidRDefault="00FC17BC" w:rsidP="00CC5BBF">
            <w:pPr>
              <w:widowControl w:val="0"/>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139</w:t>
            </w:r>
          </w:p>
        </w:tc>
        <w:tc>
          <w:tcPr>
            <w:tcW w:w="920" w:type="dxa"/>
            <w:tcBorders>
              <w:top w:val="nil"/>
              <w:left w:val="nil"/>
              <w:bottom w:val="nil"/>
              <w:right w:val="single" w:sz="8" w:space="0" w:color="auto"/>
            </w:tcBorders>
            <w:shd w:val="clear" w:color="000000" w:fill="FFFFFF"/>
            <w:vAlign w:val="center"/>
            <w:hideMark/>
          </w:tcPr>
          <w:p w14:paraId="63384B5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01AE2963"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11766EF8"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482</w:t>
            </w:r>
          </w:p>
        </w:tc>
        <w:tc>
          <w:tcPr>
            <w:tcW w:w="920" w:type="dxa"/>
            <w:tcBorders>
              <w:top w:val="nil"/>
              <w:left w:val="nil"/>
              <w:bottom w:val="nil"/>
              <w:right w:val="nil"/>
            </w:tcBorders>
            <w:shd w:val="clear" w:color="auto" w:fill="D9D9D9" w:themeFill="background1" w:themeFillShade="D9"/>
            <w:vAlign w:val="center"/>
          </w:tcPr>
          <w:p w14:paraId="078BD5D3"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1,544</w:t>
            </w:r>
          </w:p>
        </w:tc>
        <w:tc>
          <w:tcPr>
            <w:tcW w:w="920" w:type="dxa"/>
            <w:tcBorders>
              <w:top w:val="nil"/>
              <w:left w:val="nil"/>
              <w:bottom w:val="nil"/>
              <w:right w:val="nil"/>
            </w:tcBorders>
            <w:shd w:val="clear" w:color="000000" w:fill="FFFFFF"/>
            <w:vAlign w:val="center"/>
            <w:hideMark/>
          </w:tcPr>
          <w:p w14:paraId="1A96ACD6"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1,751</w:t>
            </w:r>
          </w:p>
        </w:tc>
      </w:tr>
      <w:tr w:rsidR="00DF3006" w:rsidRPr="00DF3006" w14:paraId="02E7121B"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13EACFF9"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tcPr>
          <w:p w14:paraId="32393237"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574828A4"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064C126B"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2F6B497F"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41EF5093"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14F2DD2A"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441B4BDB"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6639E1DB"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559A6B78"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2019BD6D"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1684C87B"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000000" w:fill="FFFFFF"/>
            <w:vAlign w:val="center"/>
            <w:hideMark/>
          </w:tcPr>
          <w:p w14:paraId="7F0BCDE7"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2537980A" w14:textId="77777777" w:rsidTr="00025E55">
        <w:trPr>
          <w:trHeight w:val="293"/>
        </w:trPr>
        <w:tc>
          <w:tcPr>
            <w:tcW w:w="2800" w:type="dxa"/>
            <w:tcBorders>
              <w:top w:val="nil"/>
              <w:left w:val="nil"/>
              <w:bottom w:val="nil"/>
              <w:right w:val="single" w:sz="8" w:space="0" w:color="auto"/>
            </w:tcBorders>
            <w:shd w:val="clear" w:color="000000" w:fill="FFFFFF"/>
            <w:vAlign w:val="center"/>
            <w:hideMark/>
          </w:tcPr>
          <w:p w14:paraId="75AE3A98"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Disposals</w:t>
            </w:r>
            <w:r w:rsidRPr="00DF3006">
              <w:rPr>
                <w:rFonts w:eastAsia="Times New Roman" w:cs="Calibri"/>
                <w:color w:val="414042" w:themeColor="text1"/>
                <w:szCs w:val="20"/>
                <w:vertAlign w:val="superscript"/>
                <w:lang w:eastAsia="en-AU"/>
              </w:rPr>
              <w:t>1</w:t>
            </w:r>
          </w:p>
        </w:tc>
        <w:tc>
          <w:tcPr>
            <w:tcW w:w="920" w:type="dxa"/>
            <w:tcBorders>
              <w:top w:val="nil"/>
              <w:left w:val="nil"/>
              <w:bottom w:val="nil"/>
              <w:right w:val="nil"/>
            </w:tcBorders>
            <w:shd w:val="clear" w:color="auto" w:fill="D9D9D9" w:themeFill="background1" w:themeFillShade="D9"/>
            <w:vAlign w:val="center"/>
          </w:tcPr>
          <w:p w14:paraId="380AE08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(461)</w:t>
            </w:r>
          </w:p>
        </w:tc>
        <w:tc>
          <w:tcPr>
            <w:tcW w:w="920" w:type="dxa"/>
            <w:tcBorders>
              <w:top w:val="nil"/>
              <w:left w:val="nil"/>
              <w:bottom w:val="nil"/>
              <w:right w:val="single" w:sz="8" w:space="0" w:color="auto"/>
            </w:tcBorders>
            <w:shd w:val="clear" w:color="000000" w:fill="FFFFFF"/>
            <w:vAlign w:val="center"/>
            <w:hideMark/>
          </w:tcPr>
          <w:p w14:paraId="145500B3"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(420)</w:t>
            </w:r>
          </w:p>
        </w:tc>
        <w:tc>
          <w:tcPr>
            <w:tcW w:w="920" w:type="dxa"/>
            <w:tcBorders>
              <w:top w:val="nil"/>
              <w:left w:val="nil"/>
              <w:bottom w:val="nil"/>
              <w:right w:val="nil"/>
            </w:tcBorders>
            <w:shd w:val="clear" w:color="auto" w:fill="D9D9D9" w:themeFill="background1" w:themeFillShade="D9"/>
            <w:vAlign w:val="center"/>
          </w:tcPr>
          <w:p w14:paraId="1C08A27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124D044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2FAAAE61"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41F07FC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w:t>
            </w:r>
          </w:p>
        </w:tc>
        <w:tc>
          <w:tcPr>
            <w:tcW w:w="920" w:type="dxa"/>
            <w:tcBorders>
              <w:top w:val="nil"/>
              <w:left w:val="nil"/>
              <w:bottom w:val="nil"/>
              <w:right w:val="nil"/>
            </w:tcBorders>
            <w:shd w:val="clear" w:color="auto" w:fill="D9D9D9" w:themeFill="background1" w:themeFillShade="D9"/>
            <w:vAlign w:val="center"/>
          </w:tcPr>
          <w:p w14:paraId="4261D1A6"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3DB4B28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5831F47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0F7BF94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2218062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(461)</w:t>
            </w:r>
          </w:p>
        </w:tc>
        <w:tc>
          <w:tcPr>
            <w:tcW w:w="920" w:type="dxa"/>
            <w:tcBorders>
              <w:top w:val="nil"/>
              <w:left w:val="nil"/>
              <w:bottom w:val="nil"/>
              <w:right w:val="nil"/>
            </w:tcBorders>
            <w:shd w:val="clear" w:color="000000" w:fill="FFFFFF"/>
            <w:vAlign w:val="center"/>
            <w:hideMark/>
          </w:tcPr>
          <w:p w14:paraId="0EB086F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(421)</w:t>
            </w:r>
          </w:p>
        </w:tc>
      </w:tr>
      <w:tr w:rsidR="00DF3006" w:rsidRPr="00DF3006" w14:paraId="105658AB"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60D08256"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tcPr>
          <w:p w14:paraId="3A24FAC1"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37B48BF7"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246A5202"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1DD8D0F3"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21D4B2ED"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77E0EDDC"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0B1200DE"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4CB80683"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4ADE9C77"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59256901"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0B3A3B29"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000000" w:fill="FFFFFF"/>
            <w:vAlign w:val="center"/>
            <w:hideMark/>
          </w:tcPr>
          <w:p w14:paraId="53FC47AB"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61523696"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5B946106"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Transfers between classes</w:t>
            </w:r>
          </w:p>
        </w:tc>
        <w:tc>
          <w:tcPr>
            <w:tcW w:w="920" w:type="dxa"/>
            <w:tcBorders>
              <w:top w:val="nil"/>
              <w:left w:val="nil"/>
              <w:bottom w:val="nil"/>
              <w:right w:val="nil"/>
            </w:tcBorders>
            <w:shd w:val="clear" w:color="auto" w:fill="D9D9D9" w:themeFill="background1" w:themeFillShade="D9"/>
            <w:vAlign w:val="center"/>
          </w:tcPr>
          <w:p w14:paraId="665B194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4FE529B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257ED79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0E21312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2A670CE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195</w:t>
            </w:r>
          </w:p>
        </w:tc>
        <w:tc>
          <w:tcPr>
            <w:tcW w:w="920" w:type="dxa"/>
            <w:tcBorders>
              <w:top w:val="nil"/>
              <w:left w:val="nil"/>
              <w:bottom w:val="nil"/>
              <w:right w:val="single" w:sz="8" w:space="0" w:color="auto"/>
            </w:tcBorders>
            <w:shd w:val="clear" w:color="000000" w:fill="FFFFFF"/>
            <w:vAlign w:val="center"/>
            <w:hideMark/>
          </w:tcPr>
          <w:p w14:paraId="4E66665C"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71</w:t>
            </w:r>
          </w:p>
        </w:tc>
        <w:tc>
          <w:tcPr>
            <w:tcW w:w="920" w:type="dxa"/>
            <w:tcBorders>
              <w:top w:val="nil"/>
              <w:left w:val="nil"/>
              <w:bottom w:val="nil"/>
              <w:right w:val="nil"/>
            </w:tcBorders>
            <w:shd w:val="clear" w:color="auto" w:fill="D9D9D9" w:themeFill="background1" w:themeFillShade="D9"/>
            <w:vAlign w:val="center"/>
          </w:tcPr>
          <w:p w14:paraId="4971C7F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2D1121D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054B865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(195)</w:t>
            </w:r>
          </w:p>
        </w:tc>
        <w:tc>
          <w:tcPr>
            <w:tcW w:w="920" w:type="dxa"/>
            <w:tcBorders>
              <w:top w:val="nil"/>
              <w:left w:val="nil"/>
              <w:bottom w:val="nil"/>
              <w:right w:val="single" w:sz="8" w:space="0" w:color="auto"/>
            </w:tcBorders>
            <w:shd w:val="clear" w:color="000000" w:fill="FFFFFF"/>
            <w:vAlign w:val="center"/>
            <w:hideMark/>
          </w:tcPr>
          <w:p w14:paraId="3D6DF75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(71)</w:t>
            </w:r>
          </w:p>
        </w:tc>
        <w:tc>
          <w:tcPr>
            <w:tcW w:w="920" w:type="dxa"/>
            <w:tcBorders>
              <w:top w:val="nil"/>
              <w:left w:val="nil"/>
              <w:bottom w:val="nil"/>
              <w:right w:val="nil"/>
            </w:tcBorders>
            <w:shd w:val="clear" w:color="auto" w:fill="D9D9D9" w:themeFill="background1" w:themeFillShade="D9"/>
            <w:vAlign w:val="center"/>
          </w:tcPr>
          <w:p w14:paraId="3EB6E43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000000" w:fill="FFFFFF"/>
            <w:vAlign w:val="center"/>
            <w:hideMark/>
          </w:tcPr>
          <w:p w14:paraId="095D74B0"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r>
      <w:tr w:rsidR="00DF3006" w:rsidRPr="00DF3006" w14:paraId="720EB712"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2A05109B"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tcPr>
          <w:p w14:paraId="1F5AC44E"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7829AE70"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7215F12D"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4ED23A2B"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720E4FF8"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2A1EE0D2"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7DA39859"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08189A27"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32DE7B8C"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1C36783D"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70AF6F7C"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000000" w:fill="FFFFFF"/>
            <w:vAlign w:val="center"/>
            <w:hideMark/>
          </w:tcPr>
          <w:p w14:paraId="1554D226" w14:textId="77777777" w:rsidR="00FC17BC" w:rsidRPr="00DF3006" w:rsidRDefault="00FC17BC" w:rsidP="00CC5BBF">
            <w:pPr>
              <w:spacing w:after="0"/>
              <w:jc w:val="right"/>
              <w:rPr>
                <w:rFonts w:eastAsia="Times New Roman" w:cs="Calibri"/>
                <w:color w:val="414042" w:themeColor="text1"/>
                <w:szCs w:val="20"/>
                <w:lang w:eastAsia="en-AU"/>
              </w:rPr>
            </w:pPr>
          </w:p>
        </w:tc>
      </w:tr>
      <w:tr w:rsidR="00DF3006" w:rsidRPr="00DF3006" w14:paraId="6C5C6F5E"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39922161"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Restoration cost adjustment</w:t>
            </w:r>
          </w:p>
        </w:tc>
        <w:tc>
          <w:tcPr>
            <w:tcW w:w="920" w:type="dxa"/>
            <w:tcBorders>
              <w:top w:val="nil"/>
              <w:left w:val="nil"/>
              <w:bottom w:val="nil"/>
              <w:right w:val="nil"/>
            </w:tcBorders>
            <w:shd w:val="clear" w:color="auto" w:fill="D9D9D9" w:themeFill="background1" w:themeFillShade="D9"/>
            <w:vAlign w:val="center"/>
          </w:tcPr>
          <w:p w14:paraId="3617592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38C53CD6"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01BBB2A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18C0E95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3BC4651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7866A321"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148D144A"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32</w:t>
            </w:r>
          </w:p>
        </w:tc>
        <w:tc>
          <w:tcPr>
            <w:tcW w:w="920" w:type="dxa"/>
            <w:tcBorders>
              <w:top w:val="nil"/>
              <w:left w:val="nil"/>
              <w:bottom w:val="nil"/>
              <w:right w:val="single" w:sz="8" w:space="0" w:color="auto"/>
            </w:tcBorders>
            <w:shd w:val="clear" w:color="000000" w:fill="FFFFFF"/>
            <w:vAlign w:val="center"/>
            <w:hideMark/>
          </w:tcPr>
          <w:p w14:paraId="0350128F"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w:t>
            </w:r>
          </w:p>
        </w:tc>
        <w:tc>
          <w:tcPr>
            <w:tcW w:w="920" w:type="dxa"/>
            <w:tcBorders>
              <w:top w:val="nil"/>
              <w:left w:val="nil"/>
              <w:bottom w:val="nil"/>
              <w:right w:val="nil"/>
            </w:tcBorders>
            <w:shd w:val="clear" w:color="auto" w:fill="D9D9D9" w:themeFill="background1" w:themeFillShade="D9"/>
            <w:vAlign w:val="center"/>
          </w:tcPr>
          <w:p w14:paraId="31E4A9DA"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single" w:sz="8" w:space="0" w:color="auto"/>
            </w:tcBorders>
            <w:shd w:val="clear" w:color="000000" w:fill="FFFFFF"/>
            <w:vAlign w:val="center"/>
            <w:hideMark/>
          </w:tcPr>
          <w:p w14:paraId="2C54E8FD"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507B05C1"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32</w:t>
            </w:r>
          </w:p>
        </w:tc>
        <w:tc>
          <w:tcPr>
            <w:tcW w:w="920" w:type="dxa"/>
            <w:tcBorders>
              <w:top w:val="nil"/>
              <w:left w:val="nil"/>
              <w:bottom w:val="nil"/>
              <w:right w:val="nil"/>
            </w:tcBorders>
            <w:shd w:val="clear" w:color="000000" w:fill="FFFFFF"/>
            <w:vAlign w:val="center"/>
            <w:hideMark/>
          </w:tcPr>
          <w:p w14:paraId="1A98A0C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w:t>
            </w:r>
          </w:p>
        </w:tc>
      </w:tr>
      <w:tr w:rsidR="00DF3006" w:rsidRPr="00DF3006" w14:paraId="4F7C18B5" w14:textId="77777777" w:rsidTr="00025E55">
        <w:trPr>
          <w:trHeight w:val="285"/>
        </w:trPr>
        <w:tc>
          <w:tcPr>
            <w:tcW w:w="2800" w:type="dxa"/>
            <w:tcBorders>
              <w:top w:val="nil"/>
              <w:left w:val="nil"/>
              <w:bottom w:val="nil"/>
              <w:right w:val="single" w:sz="8" w:space="0" w:color="auto"/>
            </w:tcBorders>
            <w:shd w:val="clear" w:color="000000" w:fill="FFFFFF"/>
            <w:vAlign w:val="center"/>
            <w:hideMark/>
          </w:tcPr>
          <w:p w14:paraId="31296621"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 </w:t>
            </w:r>
          </w:p>
        </w:tc>
        <w:tc>
          <w:tcPr>
            <w:tcW w:w="920" w:type="dxa"/>
            <w:tcBorders>
              <w:top w:val="nil"/>
              <w:left w:val="nil"/>
              <w:bottom w:val="nil"/>
              <w:right w:val="nil"/>
            </w:tcBorders>
            <w:shd w:val="clear" w:color="auto" w:fill="D9D9D9" w:themeFill="background1" w:themeFillShade="D9"/>
            <w:vAlign w:val="center"/>
          </w:tcPr>
          <w:p w14:paraId="1C3FD8EE"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5871ED3D"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25A721A4"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17C25A4F"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160F585A"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65BD2B64"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25368C19"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38A95CB8" w14:textId="77777777" w:rsidR="00FC17BC" w:rsidRPr="00DF3006" w:rsidRDefault="00FC17BC" w:rsidP="00CC5BBF">
            <w:pPr>
              <w:spacing w:after="0"/>
              <w:jc w:val="right"/>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5456DD2D" w14:textId="77777777" w:rsidR="00FC17BC" w:rsidRPr="00DF3006" w:rsidRDefault="00FC17BC" w:rsidP="00CC5BBF">
            <w:pPr>
              <w:spacing w:after="0"/>
              <w:jc w:val="center"/>
              <w:rPr>
                <w:rFonts w:eastAsia="Times New Roman" w:cs="Calibri"/>
                <w:color w:val="414042" w:themeColor="text1"/>
                <w:szCs w:val="20"/>
                <w:lang w:eastAsia="en-AU"/>
              </w:rPr>
            </w:pPr>
          </w:p>
        </w:tc>
        <w:tc>
          <w:tcPr>
            <w:tcW w:w="920" w:type="dxa"/>
            <w:tcBorders>
              <w:top w:val="nil"/>
              <w:left w:val="nil"/>
              <w:bottom w:val="nil"/>
              <w:right w:val="single" w:sz="8" w:space="0" w:color="auto"/>
            </w:tcBorders>
            <w:shd w:val="clear" w:color="000000" w:fill="FFFFFF"/>
            <w:vAlign w:val="center"/>
            <w:hideMark/>
          </w:tcPr>
          <w:p w14:paraId="236FFB7D" w14:textId="77777777" w:rsidR="00FC17BC" w:rsidRPr="00DF3006" w:rsidRDefault="00FC17BC" w:rsidP="00CC5BBF">
            <w:pPr>
              <w:spacing w:after="0"/>
              <w:jc w:val="center"/>
              <w:rPr>
                <w:rFonts w:eastAsia="Times New Roman" w:cs="Calibri"/>
                <w:color w:val="414042" w:themeColor="text1"/>
                <w:szCs w:val="20"/>
                <w:lang w:eastAsia="en-AU"/>
              </w:rPr>
            </w:pPr>
          </w:p>
        </w:tc>
        <w:tc>
          <w:tcPr>
            <w:tcW w:w="920" w:type="dxa"/>
            <w:tcBorders>
              <w:top w:val="nil"/>
              <w:left w:val="nil"/>
              <w:bottom w:val="nil"/>
              <w:right w:val="nil"/>
            </w:tcBorders>
            <w:shd w:val="clear" w:color="auto" w:fill="D9D9D9" w:themeFill="background1" w:themeFillShade="D9"/>
            <w:vAlign w:val="center"/>
          </w:tcPr>
          <w:p w14:paraId="1A0FB2B8" w14:textId="77777777" w:rsidR="00FC17BC" w:rsidRPr="00DF3006" w:rsidRDefault="00FC17BC" w:rsidP="00CC5BBF">
            <w:pPr>
              <w:spacing w:after="0"/>
              <w:jc w:val="center"/>
              <w:rPr>
                <w:rFonts w:eastAsia="Times New Roman" w:cs="Calibri"/>
                <w:color w:val="414042" w:themeColor="text1"/>
                <w:szCs w:val="20"/>
                <w:lang w:eastAsia="en-AU"/>
              </w:rPr>
            </w:pPr>
          </w:p>
        </w:tc>
        <w:tc>
          <w:tcPr>
            <w:tcW w:w="920" w:type="dxa"/>
            <w:tcBorders>
              <w:top w:val="nil"/>
              <w:left w:val="nil"/>
              <w:bottom w:val="nil"/>
              <w:right w:val="nil"/>
            </w:tcBorders>
            <w:shd w:val="clear" w:color="000000" w:fill="FFFFFF"/>
            <w:vAlign w:val="center"/>
            <w:hideMark/>
          </w:tcPr>
          <w:p w14:paraId="6747FB2F" w14:textId="77777777" w:rsidR="00FC17BC" w:rsidRPr="00DF3006" w:rsidRDefault="00FC17BC" w:rsidP="00CC5BBF">
            <w:pPr>
              <w:spacing w:after="0"/>
              <w:jc w:val="center"/>
              <w:rPr>
                <w:rFonts w:eastAsia="Times New Roman" w:cs="Calibri"/>
                <w:color w:val="414042" w:themeColor="text1"/>
                <w:szCs w:val="20"/>
                <w:lang w:eastAsia="en-AU"/>
              </w:rPr>
            </w:pPr>
          </w:p>
        </w:tc>
      </w:tr>
      <w:tr w:rsidR="00DF3006" w:rsidRPr="00DF3006" w14:paraId="55E6CB58" w14:textId="77777777" w:rsidTr="00025E55">
        <w:trPr>
          <w:trHeight w:val="300"/>
        </w:trPr>
        <w:tc>
          <w:tcPr>
            <w:tcW w:w="2800" w:type="dxa"/>
            <w:tcBorders>
              <w:top w:val="nil"/>
              <w:left w:val="nil"/>
              <w:bottom w:val="nil"/>
              <w:right w:val="single" w:sz="8" w:space="0" w:color="auto"/>
            </w:tcBorders>
            <w:shd w:val="clear" w:color="000000" w:fill="FFFFFF"/>
            <w:vAlign w:val="center"/>
            <w:hideMark/>
          </w:tcPr>
          <w:p w14:paraId="66CCC167" w14:textId="77777777" w:rsidR="00FC17BC" w:rsidRPr="00DF3006" w:rsidRDefault="00FC17BC" w:rsidP="00CC5BBF">
            <w:pPr>
              <w:spacing w:after="0"/>
              <w:rPr>
                <w:rFonts w:eastAsia="Times New Roman" w:cs="Calibri"/>
                <w:color w:val="414042" w:themeColor="text1"/>
                <w:szCs w:val="20"/>
                <w:lang w:eastAsia="en-AU"/>
              </w:rPr>
            </w:pPr>
            <w:r w:rsidRPr="00DF3006">
              <w:rPr>
                <w:rFonts w:eastAsia="Times New Roman" w:cs="Calibri"/>
                <w:color w:val="414042" w:themeColor="text1"/>
                <w:szCs w:val="20"/>
                <w:lang w:eastAsia="en-AU"/>
              </w:rPr>
              <w:t>Depreciation</w:t>
            </w:r>
            <w:r w:rsidRPr="00DF3006">
              <w:rPr>
                <w:rFonts w:eastAsia="Times New Roman" w:cs="Calibri"/>
                <w:color w:val="414042" w:themeColor="text1"/>
                <w:szCs w:val="20"/>
                <w:vertAlign w:val="superscript"/>
                <w:lang w:eastAsia="en-AU"/>
              </w:rPr>
              <w:t>2</w:t>
            </w:r>
          </w:p>
        </w:tc>
        <w:tc>
          <w:tcPr>
            <w:tcW w:w="920" w:type="dxa"/>
            <w:tcBorders>
              <w:top w:val="nil"/>
              <w:left w:val="nil"/>
              <w:bottom w:val="nil"/>
              <w:right w:val="nil"/>
            </w:tcBorders>
            <w:shd w:val="clear" w:color="auto" w:fill="D9D9D9" w:themeFill="background1" w:themeFillShade="D9"/>
            <w:vAlign w:val="center"/>
          </w:tcPr>
          <w:p w14:paraId="58246A9A"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(353)</w:t>
            </w:r>
          </w:p>
        </w:tc>
        <w:tc>
          <w:tcPr>
            <w:tcW w:w="920" w:type="dxa"/>
            <w:tcBorders>
              <w:top w:val="nil"/>
              <w:left w:val="nil"/>
              <w:bottom w:val="nil"/>
              <w:right w:val="single" w:sz="8" w:space="0" w:color="auto"/>
            </w:tcBorders>
            <w:shd w:val="clear" w:color="000000" w:fill="FFFFFF"/>
            <w:vAlign w:val="center"/>
            <w:hideMark/>
          </w:tcPr>
          <w:p w14:paraId="081A7C2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(345)</w:t>
            </w:r>
          </w:p>
        </w:tc>
        <w:tc>
          <w:tcPr>
            <w:tcW w:w="920" w:type="dxa"/>
            <w:tcBorders>
              <w:top w:val="nil"/>
              <w:left w:val="nil"/>
              <w:bottom w:val="nil"/>
              <w:right w:val="nil"/>
            </w:tcBorders>
            <w:shd w:val="clear" w:color="auto" w:fill="D9D9D9" w:themeFill="background1" w:themeFillShade="D9"/>
            <w:vAlign w:val="center"/>
          </w:tcPr>
          <w:p w14:paraId="7B198E59"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(417)</w:t>
            </w:r>
          </w:p>
        </w:tc>
        <w:tc>
          <w:tcPr>
            <w:tcW w:w="920" w:type="dxa"/>
            <w:tcBorders>
              <w:top w:val="nil"/>
              <w:left w:val="nil"/>
              <w:bottom w:val="nil"/>
              <w:right w:val="single" w:sz="8" w:space="0" w:color="auto"/>
            </w:tcBorders>
            <w:shd w:val="clear" w:color="000000" w:fill="FFFFFF"/>
            <w:vAlign w:val="center"/>
            <w:hideMark/>
          </w:tcPr>
          <w:p w14:paraId="1E76F6A7"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(560)</w:t>
            </w:r>
          </w:p>
        </w:tc>
        <w:tc>
          <w:tcPr>
            <w:tcW w:w="920" w:type="dxa"/>
            <w:tcBorders>
              <w:top w:val="nil"/>
              <w:left w:val="nil"/>
              <w:bottom w:val="nil"/>
              <w:right w:val="nil"/>
            </w:tcBorders>
            <w:shd w:val="clear" w:color="auto" w:fill="D9D9D9" w:themeFill="background1" w:themeFillShade="D9"/>
            <w:vAlign w:val="center"/>
          </w:tcPr>
          <w:p w14:paraId="54E12422"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(337)</w:t>
            </w:r>
          </w:p>
        </w:tc>
        <w:tc>
          <w:tcPr>
            <w:tcW w:w="920" w:type="dxa"/>
            <w:tcBorders>
              <w:top w:val="nil"/>
              <w:left w:val="nil"/>
              <w:bottom w:val="nil"/>
              <w:right w:val="single" w:sz="8" w:space="0" w:color="auto"/>
            </w:tcBorders>
            <w:shd w:val="clear" w:color="000000" w:fill="FFFFFF"/>
            <w:vAlign w:val="center"/>
            <w:hideMark/>
          </w:tcPr>
          <w:p w14:paraId="5C34006B"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(272)</w:t>
            </w:r>
          </w:p>
        </w:tc>
        <w:tc>
          <w:tcPr>
            <w:tcW w:w="920" w:type="dxa"/>
            <w:tcBorders>
              <w:top w:val="nil"/>
              <w:left w:val="nil"/>
              <w:bottom w:val="nil"/>
              <w:right w:val="nil"/>
            </w:tcBorders>
            <w:shd w:val="clear" w:color="auto" w:fill="D9D9D9" w:themeFill="background1" w:themeFillShade="D9"/>
            <w:vAlign w:val="center"/>
          </w:tcPr>
          <w:p w14:paraId="5201016E"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(582)</w:t>
            </w:r>
          </w:p>
        </w:tc>
        <w:tc>
          <w:tcPr>
            <w:tcW w:w="920" w:type="dxa"/>
            <w:tcBorders>
              <w:top w:val="nil"/>
              <w:left w:val="nil"/>
              <w:bottom w:val="nil"/>
              <w:right w:val="single" w:sz="8" w:space="0" w:color="auto"/>
            </w:tcBorders>
            <w:shd w:val="clear" w:color="000000" w:fill="FFFFFF"/>
            <w:vAlign w:val="center"/>
            <w:hideMark/>
          </w:tcPr>
          <w:p w14:paraId="0BA0BCC5"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(608)</w:t>
            </w:r>
          </w:p>
        </w:tc>
        <w:tc>
          <w:tcPr>
            <w:tcW w:w="920" w:type="dxa"/>
            <w:tcBorders>
              <w:top w:val="nil"/>
              <w:left w:val="nil"/>
              <w:bottom w:val="nil"/>
              <w:right w:val="nil"/>
            </w:tcBorders>
            <w:shd w:val="clear" w:color="auto" w:fill="D9D9D9" w:themeFill="background1" w:themeFillShade="D9"/>
            <w:vAlign w:val="center"/>
          </w:tcPr>
          <w:p w14:paraId="307682F2"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single" w:sz="8" w:space="0" w:color="auto"/>
              <w:right w:val="single" w:sz="8" w:space="0" w:color="auto"/>
            </w:tcBorders>
            <w:shd w:val="clear" w:color="000000" w:fill="FFFFFF"/>
            <w:vAlign w:val="center"/>
            <w:hideMark/>
          </w:tcPr>
          <w:p w14:paraId="4D8A4C4A"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w:t>
            </w:r>
          </w:p>
        </w:tc>
        <w:tc>
          <w:tcPr>
            <w:tcW w:w="920" w:type="dxa"/>
            <w:tcBorders>
              <w:top w:val="nil"/>
              <w:left w:val="nil"/>
              <w:bottom w:val="nil"/>
              <w:right w:val="nil"/>
            </w:tcBorders>
            <w:shd w:val="clear" w:color="auto" w:fill="D9D9D9" w:themeFill="background1" w:themeFillShade="D9"/>
            <w:vAlign w:val="center"/>
          </w:tcPr>
          <w:p w14:paraId="4D9D8C92"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(1,689)</w:t>
            </w:r>
          </w:p>
        </w:tc>
        <w:tc>
          <w:tcPr>
            <w:tcW w:w="920" w:type="dxa"/>
            <w:tcBorders>
              <w:top w:val="nil"/>
              <w:left w:val="nil"/>
              <w:bottom w:val="nil"/>
              <w:right w:val="nil"/>
            </w:tcBorders>
            <w:shd w:val="clear" w:color="000000" w:fill="FFFFFF"/>
            <w:vAlign w:val="center"/>
            <w:hideMark/>
          </w:tcPr>
          <w:p w14:paraId="3026A724" w14:textId="77777777" w:rsidR="00FC17BC" w:rsidRPr="00DF3006" w:rsidRDefault="00FC17BC" w:rsidP="00CC5BBF">
            <w:pPr>
              <w:spacing w:after="0"/>
              <w:jc w:val="right"/>
              <w:rPr>
                <w:rFonts w:eastAsia="Times New Roman" w:cs="Calibri"/>
                <w:color w:val="414042" w:themeColor="text1"/>
                <w:szCs w:val="20"/>
                <w:lang w:eastAsia="en-AU"/>
              </w:rPr>
            </w:pPr>
            <w:r w:rsidRPr="00DF3006">
              <w:rPr>
                <w:rFonts w:eastAsia="Times New Roman" w:cs="Calibri"/>
                <w:color w:val="414042" w:themeColor="text1"/>
                <w:szCs w:val="20"/>
                <w:lang w:eastAsia="en-AU"/>
              </w:rPr>
              <w:t>(1,785)</w:t>
            </w:r>
          </w:p>
        </w:tc>
      </w:tr>
      <w:tr w:rsidR="00DF3006" w:rsidRPr="00DF3006" w14:paraId="713E691D" w14:textId="77777777" w:rsidTr="00025E55">
        <w:trPr>
          <w:trHeight w:val="293"/>
        </w:trPr>
        <w:tc>
          <w:tcPr>
            <w:tcW w:w="2800" w:type="dxa"/>
            <w:tcBorders>
              <w:top w:val="single" w:sz="8" w:space="0" w:color="auto"/>
              <w:left w:val="nil"/>
              <w:bottom w:val="double" w:sz="6" w:space="0" w:color="auto"/>
              <w:right w:val="single" w:sz="8" w:space="0" w:color="auto"/>
            </w:tcBorders>
            <w:shd w:val="clear" w:color="000000" w:fill="FFFFFF"/>
            <w:vAlign w:val="center"/>
            <w:hideMark/>
          </w:tcPr>
          <w:p w14:paraId="1213E2D0" w14:textId="77777777" w:rsidR="00FC17BC" w:rsidRPr="00DF3006" w:rsidRDefault="00FC17BC" w:rsidP="00CC5BBF">
            <w:pPr>
              <w:spacing w:after="0"/>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 xml:space="preserve">Carrying amount </w:t>
            </w:r>
            <w:proofErr w:type="gramStart"/>
            <w:r w:rsidRPr="00DF3006">
              <w:rPr>
                <w:rFonts w:eastAsia="Times New Roman" w:cs="Calibri"/>
                <w:b/>
                <w:bCs/>
                <w:color w:val="414042" w:themeColor="text1"/>
                <w:szCs w:val="20"/>
                <w:lang w:eastAsia="en-AU"/>
              </w:rPr>
              <w:t>at</w:t>
            </w:r>
            <w:proofErr w:type="gramEnd"/>
            <w:r w:rsidRPr="00DF3006">
              <w:rPr>
                <w:rFonts w:eastAsia="Times New Roman" w:cs="Calibri"/>
                <w:b/>
                <w:bCs/>
                <w:color w:val="414042" w:themeColor="text1"/>
                <w:szCs w:val="20"/>
                <w:lang w:eastAsia="en-AU"/>
              </w:rPr>
              <w:t xml:space="preserve"> 30 June</w:t>
            </w:r>
          </w:p>
        </w:tc>
        <w:tc>
          <w:tcPr>
            <w:tcW w:w="920" w:type="dxa"/>
            <w:tcBorders>
              <w:top w:val="single" w:sz="8" w:space="0" w:color="auto"/>
              <w:left w:val="nil"/>
              <w:bottom w:val="double" w:sz="6" w:space="0" w:color="auto"/>
              <w:right w:val="nil"/>
            </w:tcBorders>
            <w:shd w:val="clear" w:color="auto" w:fill="D9D9D9" w:themeFill="background1" w:themeFillShade="D9"/>
            <w:vAlign w:val="center"/>
          </w:tcPr>
          <w:p w14:paraId="1FF0F1FF"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1,669</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79809275"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1,541</w:t>
            </w:r>
          </w:p>
        </w:tc>
        <w:tc>
          <w:tcPr>
            <w:tcW w:w="920" w:type="dxa"/>
            <w:tcBorders>
              <w:top w:val="single" w:sz="8" w:space="0" w:color="auto"/>
              <w:left w:val="nil"/>
              <w:bottom w:val="double" w:sz="6" w:space="0" w:color="auto"/>
              <w:right w:val="nil"/>
            </w:tcBorders>
            <w:shd w:val="clear" w:color="auto" w:fill="D9D9D9" w:themeFill="background1" w:themeFillShade="D9"/>
            <w:vAlign w:val="center"/>
          </w:tcPr>
          <w:p w14:paraId="547F9601"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401</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3DAA75D0"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761</w:t>
            </w:r>
          </w:p>
        </w:tc>
        <w:tc>
          <w:tcPr>
            <w:tcW w:w="920" w:type="dxa"/>
            <w:tcBorders>
              <w:top w:val="single" w:sz="8" w:space="0" w:color="auto"/>
              <w:left w:val="nil"/>
              <w:bottom w:val="double" w:sz="6" w:space="0" w:color="auto"/>
              <w:right w:val="nil"/>
            </w:tcBorders>
            <w:shd w:val="clear" w:color="auto" w:fill="D9D9D9" w:themeFill="background1" w:themeFillShade="D9"/>
            <w:vAlign w:val="center"/>
          </w:tcPr>
          <w:p w14:paraId="4F76710C"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1,082</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0DDBB3F3"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818</w:t>
            </w:r>
          </w:p>
        </w:tc>
        <w:tc>
          <w:tcPr>
            <w:tcW w:w="920" w:type="dxa"/>
            <w:tcBorders>
              <w:top w:val="single" w:sz="8" w:space="0" w:color="auto"/>
              <w:left w:val="nil"/>
              <w:bottom w:val="double" w:sz="6" w:space="0" w:color="auto"/>
              <w:right w:val="nil"/>
            </w:tcBorders>
            <w:shd w:val="clear" w:color="auto" w:fill="D9D9D9" w:themeFill="background1" w:themeFillShade="D9"/>
            <w:vAlign w:val="center"/>
          </w:tcPr>
          <w:p w14:paraId="40933BE8"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1,950</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6B6E09D2"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2,361</w:t>
            </w:r>
          </w:p>
        </w:tc>
        <w:tc>
          <w:tcPr>
            <w:tcW w:w="920" w:type="dxa"/>
            <w:tcBorders>
              <w:top w:val="single" w:sz="8" w:space="0" w:color="auto"/>
              <w:left w:val="nil"/>
              <w:bottom w:val="double" w:sz="6" w:space="0" w:color="auto"/>
              <w:right w:val="nil"/>
            </w:tcBorders>
            <w:shd w:val="clear" w:color="auto" w:fill="D9D9D9" w:themeFill="background1" w:themeFillShade="D9"/>
            <w:vAlign w:val="center"/>
          </w:tcPr>
          <w:p w14:paraId="777BB59F" w14:textId="77777777" w:rsidR="00FC17BC" w:rsidRPr="00DF3006" w:rsidRDefault="00FC17BC" w:rsidP="00CC5BBF">
            <w:pPr>
              <w:spacing w:after="0"/>
              <w:jc w:val="right"/>
              <w:rPr>
                <w:rFonts w:eastAsia="Times New Roman" w:cs="Calibri"/>
                <w:b/>
                <w:color w:val="414042" w:themeColor="text1"/>
                <w:szCs w:val="20"/>
                <w:lang w:eastAsia="en-AU"/>
              </w:rPr>
            </w:pPr>
            <w:r w:rsidRPr="00DF3006">
              <w:rPr>
                <w:rFonts w:eastAsia="Times New Roman" w:cs="Calibri"/>
                <w:b/>
                <w:color w:val="414042" w:themeColor="text1"/>
                <w:szCs w:val="20"/>
                <w:lang w:eastAsia="en-AU"/>
              </w:rPr>
              <w:t>287</w:t>
            </w:r>
          </w:p>
        </w:tc>
        <w:tc>
          <w:tcPr>
            <w:tcW w:w="920" w:type="dxa"/>
            <w:tcBorders>
              <w:top w:val="single" w:sz="8" w:space="0" w:color="auto"/>
              <w:left w:val="nil"/>
              <w:bottom w:val="double" w:sz="4" w:space="0" w:color="auto"/>
              <w:right w:val="single" w:sz="8" w:space="0" w:color="auto"/>
            </w:tcBorders>
            <w:shd w:val="clear" w:color="000000" w:fill="FFFFFF"/>
            <w:vAlign w:val="center"/>
            <w:hideMark/>
          </w:tcPr>
          <w:p w14:paraId="5FF38A2C"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color w:val="414042" w:themeColor="text1"/>
                <w:szCs w:val="20"/>
                <w:lang w:eastAsia="en-AU"/>
              </w:rPr>
              <w:t>482</w:t>
            </w:r>
          </w:p>
        </w:tc>
        <w:tc>
          <w:tcPr>
            <w:tcW w:w="920" w:type="dxa"/>
            <w:tcBorders>
              <w:top w:val="single" w:sz="8" w:space="0" w:color="auto"/>
              <w:left w:val="nil"/>
              <w:bottom w:val="double" w:sz="6" w:space="0" w:color="auto"/>
              <w:right w:val="nil"/>
            </w:tcBorders>
            <w:shd w:val="clear" w:color="auto" w:fill="D9D9D9" w:themeFill="background1" w:themeFillShade="D9"/>
            <w:vAlign w:val="center"/>
          </w:tcPr>
          <w:p w14:paraId="1D08AC1A"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5,389</w:t>
            </w:r>
          </w:p>
        </w:tc>
        <w:tc>
          <w:tcPr>
            <w:tcW w:w="920" w:type="dxa"/>
            <w:tcBorders>
              <w:top w:val="single" w:sz="8" w:space="0" w:color="auto"/>
              <w:left w:val="nil"/>
              <w:bottom w:val="double" w:sz="6" w:space="0" w:color="auto"/>
              <w:right w:val="nil"/>
            </w:tcBorders>
            <w:shd w:val="clear" w:color="000000" w:fill="FFFFFF"/>
            <w:vAlign w:val="center"/>
            <w:hideMark/>
          </w:tcPr>
          <w:p w14:paraId="70BF2D6C" w14:textId="77777777" w:rsidR="00FC17BC" w:rsidRPr="00DF3006" w:rsidRDefault="00FC17BC" w:rsidP="00CC5BBF">
            <w:pPr>
              <w:spacing w:after="0"/>
              <w:jc w:val="right"/>
              <w:rPr>
                <w:rFonts w:eastAsia="Times New Roman" w:cs="Calibri"/>
                <w:b/>
                <w:bCs/>
                <w:color w:val="414042" w:themeColor="text1"/>
                <w:szCs w:val="20"/>
                <w:lang w:eastAsia="en-AU"/>
              </w:rPr>
            </w:pPr>
            <w:r w:rsidRPr="00DF3006">
              <w:rPr>
                <w:rFonts w:eastAsia="Times New Roman" w:cs="Calibri"/>
                <w:b/>
                <w:bCs/>
                <w:color w:val="414042" w:themeColor="text1"/>
                <w:szCs w:val="20"/>
                <w:lang w:eastAsia="en-AU"/>
              </w:rPr>
              <w:t>5,963</w:t>
            </w:r>
          </w:p>
        </w:tc>
      </w:tr>
    </w:tbl>
    <w:p w14:paraId="0253787F" w14:textId="77777777" w:rsidR="00FC17BC" w:rsidRPr="00DF3006" w:rsidRDefault="00FC17BC" w:rsidP="00FC17BC">
      <w:pPr>
        <w:pStyle w:val="Noteswithhangingindent"/>
        <w:spacing w:line="240" w:lineRule="auto"/>
      </w:pPr>
      <w:r w:rsidRPr="00DF3006">
        <w:rPr>
          <w:vertAlign w:val="superscript"/>
        </w:rPr>
        <w:t>1</w:t>
      </w:r>
      <w:r w:rsidRPr="00DF3006">
        <w:tab/>
        <w:t>Any gain or loss on disposal is recognised at the date of disposal and is the difference between the consideration received and the carrying/book value of the asset at the time.</w:t>
      </w:r>
    </w:p>
    <w:p w14:paraId="57425675" w14:textId="77777777" w:rsidR="00FC17BC" w:rsidRPr="00DF3006" w:rsidRDefault="00FC17BC" w:rsidP="00FC17BC">
      <w:pPr>
        <w:pStyle w:val="Noteswithhangingindent"/>
        <w:spacing w:line="240" w:lineRule="auto"/>
      </w:pPr>
      <w:r w:rsidRPr="00DF3006">
        <w:rPr>
          <w:vertAlign w:val="superscript"/>
        </w:rPr>
        <w:t>2</w:t>
      </w:r>
      <w:r w:rsidRPr="00DF3006">
        <w:tab/>
        <w:t>Depreciation is included in the line item “Depreciation and amortisation” in the Statement of Comprehensive Income.</w:t>
      </w:r>
    </w:p>
    <w:p w14:paraId="26FBBACC" w14:textId="77777777" w:rsidR="00FC17BC" w:rsidRPr="00DF3006" w:rsidRDefault="00FC17BC" w:rsidP="00FC17BC">
      <w:pPr>
        <w:rPr>
          <w:color w:val="414042" w:themeColor="text1"/>
          <w:lang w:eastAsia="en-AU"/>
        </w:rPr>
        <w:sectPr w:rsidR="00FC17BC" w:rsidRPr="00DF3006" w:rsidSect="00913BBD">
          <w:headerReference w:type="even" r:id="rId336"/>
          <w:headerReference w:type="default" r:id="rId337"/>
          <w:footerReference w:type="even" r:id="rId338"/>
          <w:footerReference w:type="default" r:id="rId339"/>
          <w:headerReference w:type="first" r:id="rId340"/>
          <w:pgSz w:w="16838" w:h="11906" w:orient="landscape"/>
          <w:pgMar w:top="1560" w:right="567" w:bottom="964" w:left="1701" w:header="709" w:footer="709" w:gutter="0"/>
          <w:cols w:space="708"/>
          <w:docGrid w:linePitch="360"/>
        </w:sectPr>
      </w:pPr>
    </w:p>
    <w:p w14:paraId="2239EAFE" w14:textId="77777777" w:rsidR="00FC17BC" w:rsidRPr="00DF3006" w:rsidRDefault="00FC17BC" w:rsidP="00FC17BC">
      <w:pPr>
        <w:pStyle w:val="Normal115pttext"/>
        <w:spacing w:line="240" w:lineRule="auto"/>
        <w:rPr>
          <w:color w:val="414042" w:themeColor="text1"/>
        </w:rPr>
      </w:pPr>
      <w:r w:rsidRPr="00DF3006">
        <w:rPr>
          <w:color w:val="414042" w:themeColor="text1"/>
        </w:rPr>
        <w:t xml:space="preserve">Note 11:  Right-of-use Assets and Lease Liabilities </w:t>
      </w:r>
    </w:p>
    <w:p w14:paraId="22F8E5AC" w14:textId="77777777" w:rsidR="00FC17BC" w:rsidRPr="00DF3006" w:rsidRDefault="00FC17BC" w:rsidP="00FC17BC">
      <w:pPr>
        <w:pStyle w:val="Normal1stpara"/>
        <w:spacing w:line="240" w:lineRule="auto"/>
        <w:rPr>
          <w:color w:val="414042" w:themeColor="text1"/>
          <w:sz w:val="16"/>
          <w:szCs w:val="16"/>
        </w:rPr>
      </w:pPr>
    </w:p>
    <w:tbl>
      <w:tblPr>
        <w:tblStyle w:val="TableGrid"/>
        <w:tblW w:w="9351" w:type="dxa"/>
        <w:tblCellMar>
          <w:top w:w="113" w:type="dxa"/>
          <w:bottom w:w="113" w:type="dxa"/>
        </w:tblCellMar>
        <w:tblLook w:val="04A0" w:firstRow="1" w:lastRow="0" w:firstColumn="1" w:lastColumn="0" w:noHBand="0" w:noVBand="1"/>
      </w:tblPr>
      <w:tblGrid>
        <w:gridCol w:w="9351"/>
      </w:tblGrid>
      <w:tr w:rsidR="00FC17BC" w:rsidRPr="00DF3006" w14:paraId="118F5DE7" w14:textId="77777777" w:rsidTr="00025E55">
        <w:tc>
          <w:tcPr>
            <w:tcW w:w="9351" w:type="dxa"/>
          </w:tcPr>
          <w:p w14:paraId="418FB154"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4092C60C" w14:textId="77777777" w:rsidR="00FC17BC" w:rsidRPr="00DF3006" w:rsidRDefault="00FC17BC" w:rsidP="00025E55">
            <w:pPr>
              <w:pStyle w:val="Policyfollowingparas"/>
              <w:spacing w:line="240" w:lineRule="auto"/>
              <w:rPr>
                <w:color w:val="414042" w:themeColor="text1"/>
              </w:rPr>
            </w:pPr>
            <w:r w:rsidRPr="00DF3006">
              <w:rPr>
                <w:color w:val="414042" w:themeColor="text1"/>
              </w:rPr>
              <w:t>The CCC has elected not to recognise right-of-use assets and lease liabilities arising from short-term leases and leases of low value assets, where it is expected to cost less than $10,000 when new.</w:t>
            </w:r>
          </w:p>
          <w:p w14:paraId="59C48EBA" w14:textId="77777777" w:rsidR="00FC17BC" w:rsidRPr="00DF3006" w:rsidRDefault="00FC17BC" w:rsidP="00025E55">
            <w:pPr>
              <w:pStyle w:val="Policyfollowingparas"/>
              <w:spacing w:line="240" w:lineRule="auto"/>
              <w:rPr>
                <w:color w:val="414042" w:themeColor="text1"/>
              </w:rPr>
            </w:pPr>
            <w:r w:rsidRPr="00DF3006">
              <w:rPr>
                <w:color w:val="414042" w:themeColor="text1"/>
              </w:rPr>
              <w:t xml:space="preserve">When measuring the lease liability, the CCC uses its incremental borrowing rate as the discount rate where the interest rate implicit in the lease cannot be readily determined, which is the case for </w:t>
            </w:r>
            <w:proofErr w:type="gramStart"/>
            <w:r w:rsidRPr="00DF3006">
              <w:rPr>
                <w:color w:val="414042" w:themeColor="text1"/>
              </w:rPr>
              <w:t>all of</w:t>
            </w:r>
            <w:proofErr w:type="gramEnd"/>
            <w:r w:rsidRPr="00DF3006">
              <w:rPr>
                <w:color w:val="414042" w:themeColor="text1"/>
              </w:rPr>
              <w:t xml:space="preserve"> the CCC’s leases. To determine the incremental borrowing rate, the CCC uses loan rates provided by Queensland Treasury Corporation that correspond to the commencement date and term of the lease.</w:t>
            </w:r>
          </w:p>
          <w:p w14:paraId="64A463A3" w14:textId="77777777" w:rsidR="00FC17BC" w:rsidRPr="00DF3006" w:rsidRDefault="00FC17BC" w:rsidP="00025E55">
            <w:pPr>
              <w:pStyle w:val="Policyfollowingparas"/>
              <w:spacing w:line="240" w:lineRule="auto"/>
              <w:rPr>
                <w:color w:val="414042" w:themeColor="text1"/>
                <w:sz w:val="16"/>
                <w:szCs w:val="16"/>
              </w:rPr>
            </w:pPr>
          </w:p>
        </w:tc>
      </w:tr>
    </w:tbl>
    <w:p w14:paraId="441219CB" w14:textId="77777777" w:rsidR="00FC17BC" w:rsidRPr="00DF3006" w:rsidRDefault="00FC17BC" w:rsidP="00FC17BC">
      <w:pPr>
        <w:pStyle w:val="Normaltabletextleft"/>
        <w:tabs>
          <w:tab w:val="left" w:pos="0"/>
        </w:tabs>
        <w:spacing w:line="240" w:lineRule="auto"/>
        <w:rPr>
          <w:b/>
          <w:color w:val="414042" w:themeColor="text1"/>
          <w:sz w:val="21"/>
          <w:szCs w:val="2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0C941B62" w14:textId="77777777" w:rsidTr="00025E55">
        <w:trPr>
          <w:trHeight w:val="20"/>
        </w:trPr>
        <w:tc>
          <w:tcPr>
            <w:tcW w:w="5529" w:type="dxa"/>
            <w:tcBorders>
              <w:top w:val="nil"/>
              <w:left w:val="nil"/>
              <w:bottom w:val="nil"/>
            </w:tcBorders>
            <w:noWrap/>
            <w:tcMar>
              <w:left w:w="0" w:type="dxa"/>
              <w:right w:w="0" w:type="dxa"/>
            </w:tcMar>
            <w:vAlign w:val="bottom"/>
          </w:tcPr>
          <w:p w14:paraId="05746767" w14:textId="77777777" w:rsidR="00FC17BC" w:rsidRPr="00DF3006" w:rsidRDefault="00FC17BC" w:rsidP="00025E55">
            <w:pPr>
              <w:pStyle w:val="Normaltabletextleft"/>
              <w:tabs>
                <w:tab w:val="left" w:pos="0"/>
              </w:tabs>
              <w:spacing w:line="240" w:lineRule="auto"/>
              <w:rPr>
                <w:b/>
                <w:color w:val="414042" w:themeColor="text1"/>
                <w:sz w:val="21"/>
                <w:szCs w:val="21"/>
                <w:lang w:eastAsia="en-AU"/>
              </w:rPr>
            </w:pPr>
            <w:r w:rsidRPr="00DF3006">
              <w:rPr>
                <w:b/>
                <w:color w:val="414042" w:themeColor="text1"/>
                <w:sz w:val="21"/>
                <w:szCs w:val="21"/>
                <w:lang w:eastAsia="en-AU"/>
              </w:rPr>
              <w:t>Right-of-use assets</w:t>
            </w:r>
          </w:p>
          <w:p w14:paraId="5DAF880C"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320325F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DD3C334"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7FF4794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0DCAADF"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2F507DDB" w14:textId="77777777" w:rsidTr="00025E55">
        <w:trPr>
          <w:trHeight w:val="20"/>
        </w:trPr>
        <w:tc>
          <w:tcPr>
            <w:tcW w:w="5529" w:type="dxa"/>
            <w:tcBorders>
              <w:top w:val="nil"/>
              <w:left w:val="nil"/>
              <w:bottom w:val="nil"/>
            </w:tcBorders>
            <w:noWrap/>
            <w:tcMar>
              <w:left w:w="0" w:type="dxa"/>
              <w:right w:w="0" w:type="dxa"/>
            </w:tcMar>
            <w:vAlign w:val="bottom"/>
          </w:tcPr>
          <w:p w14:paraId="28EB476F"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6520361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FC7856B"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44561FC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70E0131"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57A213A9" w14:textId="77777777" w:rsidTr="00025E55">
        <w:trPr>
          <w:trHeight w:val="20"/>
        </w:trPr>
        <w:tc>
          <w:tcPr>
            <w:tcW w:w="5529" w:type="dxa"/>
            <w:tcBorders>
              <w:top w:val="nil"/>
              <w:left w:val="nil"/>
              <w:bottom w:val="nil"/>
            </w:tcBorders>
            <w:noWrap/>
            <w:tcMar>
              <w:left w:w="0" w:type="dxa"/>
              <w:right w:w="0" w:type="dxa"/>
            </w:tcMar>
            <w:vAlign w:val="bottom"/>
          </w:tcPr>
          <w:p w14:paraId="3DF91838" w14:textId="77777777" w:rsidR="00FC17BC" w:rsidRPr="00DF3006" w:rsidRDefault="00FC17BC" w:rsidP="00025E55">
            <w:pPr>
              <w:pStyle w:val="Normaltabletextleft"/>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1822F822"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095F763"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64404BEE"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1ADE7CB"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36143B7A" w14:textId="77777777" w:rsidTr="00025E55">
        <w:trPr>
          <w:trHeight w:val="20"/>
        </w:trPr>
        <w:tc>
          <w:tcPr>
            <w:tcW w:w="5529" w:type="dxa"/>
            <w:tcBorders>
              <w:top w:val="nil"/>
              <w:left w:val="nil"/>
              <w:bottom w:val="nil"/>
            </w:tcBorders>
            <w:noWrap/>
            <w:tcMar>
              <w:left w:w="0" w:type="dxa"/>
              <w:right w:w="0" w:type="dxa"/>
            </w:tcMar>
          </w:tcPr>
          <w:p w14:paraId="7FD92E15"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 xml:space="preserve">Opening balance 1 July </w:t>
            </w:r>
          </w:p>
        </w:tc>
        <w:tc>
          <w:tcPr>
            <w:tcW w:w="567" w:type="dxa"/>
            <w:tcBorders>
              <w:top w:val="nil"/>
              <w:bottom w:val="nil"/>
            </w:tcBorders>
            <w:noWrap/>
            <w:tcMar>
              <w:left w:w="0" w:type="dxa"/>
              <w:right w:w="0" w:type="dxa"/>
            </w:tcMar>
            <w:vAlign w:val="bottom"/>
          </w:tcPr>
          <w:p w14:paraId="49C9C6D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CDE705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309</w:t>
            </w:r>
          </w:p>
        </w:tc>
        <w:tc>
          <w:tcPr>
            <w:tcW w:w="283" w:type="dxa"/>
            <w:tcBorders>
              <w:top w:val="nil"/>
              <w:bottom w:val="nil"/>
            </w:tcBorders>
            <w:noWrap/>
          </w:tcPr>
          <w:p w14:paraId="5C887698"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A3A9FE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618</w:t>
            </w:r>
          </w:p>
        </w:tc>
      </w:tr>
      <w:tr w:rsidR="00DF3006" w:rsidRPr="00DF3006" w14:paraId="378A80D9" w14:textId="77777777" w:rsidTr="00025E55">
        <w:trPr>
          <w:trHeight w:val="20"/>
        </w:trPr>
        <w:tc>
          <w:tcPr>
            <w:tcW w:w="5529" w:type="dxa"/>
            <w:tcBorders>
              <w:top w:val="nil"/>
              <w:left w:val="nil"/>
              <w:bottom w:val="nil"/>
            </w:tcBorders>
            <w:noWrap/>
            <w:tcMar>
              <w:left w:w="0" w:type="dxa"/>
              <w:right w:w="0" w:type="dxa"/>
            </w:tcMar>
          </w:tcPr>
          <w:p w14:paraId="413A8EC3"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Lease addition</w:t>
            </w:r>
          </w:p>
        </w:tc>
        <w:tc>
          <w:tcPr>
            <w:tcW w:w="567" w:type="dxa"/>
            <w:tcBorders>
              <w:top w:val="nil"/>
              <w:bottom w:val="nil"/>
            </w:tcBorders>
            <w:noWrap/>
            <w:tcMar>
              <w:left w:w="0" w:type="dxa"/>
              <w:right w:w="0" w:type="dxa"/>
            </w:tcMar>
            <w:vAlign w:val="bottom"/>
          </w:tcPr>
          <w:p w14:paraId="7E83A7B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BC58E91"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951</w:t>
            </w:r>
          </w:p>
        </w:tc>
        <w:tc>
          <w:tcPr>
            <w:tcW w:w="283" w:type="dxa"/>
            <w:tcBorders>
              <w:top w:val="nil"/>
              <w:bottom w:val="nil"/>
            </w:tcBorders>
            <w:noWrap/>
          </w:tcPr>
          <w:p w14:paraId="04FB12FE"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F14443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r>
      <w:tr w:rsidR="00DF3006" w:rsidRPr="00DF3006" w14:paraId="5DD204EC" w14:textId="77777777" w:rsidTr="00025E55">
        <w:trPr>
          <w:trHeight w:val="20"/>
        </w:trPr>
        <w:tc>
          <w:tcPr>
            <w:tcW w:w="5529" w:type="dxa"/>
            <w:tcBorders>
              <w:top w:val="nil"/>
              <w:left w:val="nil"/>
              <w:bottom w:val="nil"/>
            </w:tcBorders>
            <w:noWrap/>
            <w:tcMar>
              <w:left w:w="0" w:type="dxa"/>
              <w:right w:w="0" w:type="dxa"/>
            </w:tcMar>
          </w:tcPr>
          <w:p w14:paraId="577DD082"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 xml:space="preserve">Less: Accumulated depreciation </w:t>
            </w:r>
          </w:p>
        </w:tc>
        <w:tc>
          <w:tcPr>
            <w:tcW w:w="567" w:type="dxa"/>
            <w:tcBorders>
              <w:top w:val="nil"/>
              <w:bottom w:val="nil"/>
            </w:tcBorders>
            <w:noWrap/>
            <w:tcMar>
              <w:left w:w="0" w:type="dxa"/>
              <w:right w:w="0" w:type="dxa"/>
            </w:tcMar>
            <w:vAlign w:val="bottom"/>
          </w:tcPr>
          <w:p w14:paraId="10B4F69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965309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(315)</w:t>
            </w:r>
          </w:p>
        </w:tc>
        <w:tc>
          <w:tcPr>
            <w:tcW w:w="283" w:type="dxa"/>
            <w:tcBorders>
              <w:top w:val="nil"/>
              <w:bottom w:val="nil"/>
            </w:tcBorders>
            <w:noWrap/>
          </w:tcPr>
          <w:p w14:paraId="0A05BEA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96F4C6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(309)</w:t>
            </w:r>
          </w:p>
        </w:tc>
      </w:tr>
      <w:tr w:rsidR="00DF3006" w:rsidRPr="00DF3006" w14:paraId="6A4BBD3E" w14:textId="77777777" w:rsidTr="00025E55">
        <w:trPr>
          <w:trHeight w:val="20"/>
        </w:trPr>
        <w:tc>
          <w:tcPr>
            <w:tcW w:w="5529" w:type="dxa"/>
            <w:tcBorders>
              <w:top w:val="nil"/>
              <w:left w:val="nil"/>
              <w:bottom w:val="nil"/>
            </w:tcBorders>
            <w:noWrap/>
            <w:tcMar>
              <w:left w:w="0" w:type="dxa"/>
              <w:right w:w="0" w:type="dxa"/>
            </w:tcMar>
            <w:vAlign w:val="bottom"/>
          </w:tcPr>
          <w:p w14:paraId="5D13A9D9"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5667DB0C"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694B46CE"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945</w:t>
            </w:r>
          </w:p>
        </w:tc>
        <w:tc>
          <w:tcPr>
            <w:tcW w:w="283" w:type="dxa"/>
            <w:tcBorders>
              <w:top w:val="nil"/>
              <w:bottom w:val="nil"/>
            </w:tcBorders>
            <w:noWrap/>
          </w:tcPr>
          <w:p w14:paraId="07E838D0"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72D82D38"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309</w:t>
            </w:r>
          </w:p>
        </w:tc>
      </w:tr>
    </w:tbl>
    <w:p w14:paraId="76A7F61F" w14:textId="77777777" w:rsidR="00FC17BC" w:rsidRPr="00DF3006" w:rsidRDefault="00FC17BC" w:rsidP="00FC17BC">
      <w:pPr>
        <w:rPr>
          <w:color w:val="414042" w:themeColor="text1"/>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7FBCA916" w14:textId="77777777" w:rsidTr="00025E55">
        <w:trPr>
          <w:trHeight w:val="20"/>
        </w:trPr>
        <w:tc>
          <w:tcPr>
            <w:tcW w:w="5529" w:type="dxa"/>
            <w:tcBorders>
              <w:top w:val="nil"/>
              <w:left w:val="nil"/>
              <w:bottom w:val="nil"/>
            </w:tcBorders>
            <w:noWrap/>
            <w:tcMar>
              <w:left w:w="0" w:type="dxa"/>
              <w:right w:w="0" w:type="dxa"/>
            </w:tcMar>
            <w:vAlign w:val="bottom"/>
          </w:tcPr>
          <w:p w14:paraId="2499F41B" w14:textId="77777777" w:rsidR="00FC17BC" w:rsidRPr="00DF3006" w:rsidRDefault="00FC17BC" w:rsidP="00025E55">
            <w:pPr>
              <w:pStyle w:val="Normaltabletextleft"/>
              <w:tabs>
                <w:tab w:val="left" w:pos="0"/>
              </w:tabs>
              <w:spacing w:line="240" w:lineRule="auto"/>
              <w:rPr>
                <w:color w:val="414042" w:themeColor="text1"/>
                <w:lang w:eastAsia="en-AU"/>
              </w:rPr>
            </w:pPr>
            <w:r w:rsidRPr="00DF3006">
              <w:rPr>
                <w:b/>
                <w:color w:val="414042" w:themeColor="text1"/>
                <w:sz w:val="21"/>
                <w:szCs w:val="21"/>
                <w:lang w:eastAsia="en-AU"/>
              </w:rPr>
              <w:t>Lease Liability</w:t>
            </w:r>
          </w:p>
        </w:tc>
        <w:tc>
          <w:tcPr>
            <w:tcW w:w="567" w:type="dxa"/>
            <w:tcBorders>
              <w:top w:val="nil"/>
              <w:bottom w:val="nil"/>
            </w:tcBorders>
            <w:noWrap/>
            <w:tcMar>
              <w:left w:w="0" w:type="dxa"/>
              <w:right w:w="0" w:type="dxa"/>
            </w:tcMar>
            <w:vAlign w:val="bottom"/>
          </w:tcPr>
          <w:p w14:paraId="4136789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1BC1476"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0769DF2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3A22D9E"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68C0BB42" w14:textId="77777777" w:rsidTr="00025E55">
        <w:trPr>
          <w:trHeight w:val="20"/>
        </w:trPr>
        <w:tc>
          <w:tcPr>
            <w:tcW w:w="5529" w:type="dxa"/>
            <w:tcBorders>
              <w:top w:val="nil"/>
              <w:left w:val="nil"/>
              <w:bottom w:val="nil"/>
            </w:tcBorders>
            <w:noWrap/>
            <w:tcMar>
              <w:left w:w="0" w:type="dxa"/>
              <w:right w:w="0" w:type="dxa"/>
            </w:tcMar>
            <w:vAlign w:val="bottom"/>
          </w:tcPr>
          <w:p w14:paraId="03AFB505"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06C03665"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6F36F4D"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14018FB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AF29EBF"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0641AAC6" w14:textId="77777777" w:rsidTr="00025E55">
        <w:trPr>
          <w:trHeight w:val="20"/>
        </w:trPr>
        <w:tc>
          <w:tcPr>
            <w:tcW w:w="5529" w:type="dxa"/>
            <w:tcBorders>
              <w:top w:val="nil"/>
              <w:left w:val="nil"/>
              <w:bottom w:val="nil"/>
            </w:tcBorders>
            <w:noWrap/>
            <w:tcMar>
              <w:left w:w="0" w:type="dxa"/>
              <w:right w:w="0" w:type="dxa"/>
            </w:tcMar>
            <w:vAlign w:val="bottom"/>
          </w:tcPr>
          <w:p w14:paraId="44DCC3D2"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Current</w:t>
            </w:r>
          </w:p>
        </w:tc>
        <w:tc>
          <w:tcPr>
            <w:tcW w:w="567" w:type="dxa"/>
            <w:tcBorders>
              <w:top w:val="nil"/>
              <w:bottom w:val="nil"/>
            </w:tcBorders>
            <w:noWrap/>
            <w:tcMar>
              <w:left w:w="0" w:type="dxa"/>
              <w:right w:w="0" w:type="dxa"/>
            </w:tcMar>
            <w:vAlign w:val="bottom"/>
          </w:tcPr>
          <w:p w14:paraId="645117E5"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60E8668"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464711EE"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F87C29C"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32FA58BE" w14:textId="77777777" w:rsidTr="00025E55">
        <w:trPr>
          <w:trHeight w:val="20"/>
        </w:trPr>
        <w:tc>
          <w:tcPr>
            <w:tcW w:w="5529" w:type="dxa"/>
            <w:tcBorders>
              <w:top w:val="nil"/>
              <w:left w:val="nil"/>
              <w:bottom w:val="nil"/>
            </w:tcBorders>
            <w:noWrap/>
            <w:tcMar>
              <w:left w:w="0" w:type="dxa"/>
              <w:right w:w="0" w:type="dxa"/>
            </w:tcMar>
          </w:tcPr>
          <w:p w14:paraId="20412814"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Finance lease liability</w:t>
            </w:r>
            <w:r w:rsidRPr="00DF3006">
              <w:rPr>
                <w:rFonts w:cstheme="minorHAnsi"/>
                <w:color w:val="414042" w:themeColor="text1"/>
                <w:lang w:eastAsia="en-AU"/>
              </w:rPr>
              <w:t>¹</w:t>
            </w:r>
          </w:p>
        </w:tc>
        <w:tc>
          <w:tcPr>
            <w:tcW w:w="567" w:type="dxa"/>
            <w:tcBorders>
              <w:top w:val="nil"/>
              <w:bottom w:val="nil"/>
            </w:tcBorders>
            <w:noWrap/>
            <w:tcMar>
              <w:left w:w="0" w:type="dxa"/>
              <w:right w:w="0" w:type="dxa"/>
            </w:tcMar>
            <w:vAlign w:val="bottom"/>
          </w:tcPr>
          <w:p w14:paraId="7EAB38F1"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9B45FC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300</w:t>
            </w:r>
          </w:p>
        </w:tc>
        <w:tc>
          <w:tcPr>
            <w:tcW w:w="283" w:type="dxa"/>
            <w:tcBorders>
              <w:top w:val="nil"/>
              <w:bottom w:val="nil"/>
            </w:tcBorders>
            <w:noWrap/>
          </w:tcPr>
          <w:p w14:paraId="67CC04D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8E20C3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330</w:t>
            </w:r>
          </w:p>
        </w:tc>
      </w:tr>
      <w:tr w:rsidR="00DF3006" w:rsidRPr="00DF3006" w14:paraId="105A3038" w14:textId="77777777" w:rsidTr="00025E55">
        <w:trPr>
          <w:trHeight w:val="20"/>
        </w:trPr>
        <w:tc>
          <w:tcPr>
            <w:tcW w:w="5529" w:type="dxa"/>
            <w:tcBorders>
              <w:top w:val="nil"/>
              <w:left w:val="nil"/>
              <w:bottom w:val="nil"/>
            </w:tcBorders>
            <w:noWrap/>
            <w:tcMar>
              <w:left w:w="0" w:type="dxa"/>
              <w:right w:w="0" w:type="dxa"/>
            </w:tcMar>
            <w:vAlign w:val="bottom"/>
          </w:tcPr>
          <w:p w14:paraId="492B398E"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 xml:space="preserve">Total </w:t>
            </w:r>
          </w:p>
        </w:tc>
        <w:tc>
          <w:tcPr>
            <w:tcW w:w="567" w:type="dxa"/>
            <w:tcBorders>
              <w:top w:val="nil"/>
              <w:bottom w:val="nil"/>
            </w:tcBorders>
            <w:noWrap/>
            <w:tcMar>
              <w:left w:w="0" w:type="dxa"/>
              <w:right w:w="0" w:type="dxa"/>
            </w:tcMar>
            <w:vAlign w:val="bottom"/>
          </w:tcPr>
          <w:p w14:paraId="1A4BCFD5"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single" w:sz="4" w:space="0" w:color="auto"/>
            </w:tcBorders>
            <w:shd w:val="clear" w:color="auto" w:fill="D9D9D9" w:themeFill="background1" w:themeFillShade="D9"/>
            <w:noWrap/>
            <w:tcMar>
              <w:left w:w="0" w:type="dxa"/>
              <w:right w:w="113" w:type="dxa"/>
            </w:tcMar>
            <w:vAlign w:val="bottom"/>
          </w:tcPr>
          <w:p w14:paraId="6970F0A6"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300</w:t>
            </w:r>
          </w:p>
        </w:tc>
        <w:tc>
          <w:tcPr>
            <w:tcW w:w="283" w:type="dxa"/>
            <w:tcBorders>
              <w:top w:val="nil"/>
              <w:bottom w:val="nil"/>
            </w:tcBorders>
            <w:noWrap/>
          </w:tcPr>
          <w:p w14:paraId="2CCCFB14"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4EC901E3"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330</w:t>
            </w:r>
          </w:p>
        </w:tc>
      </w:tr>
      <w:tr w:rsidR="00DF3006" w:rsidRPr="00DF3006" w14:paraId="67A56C34" w14:textId="77777777" w:rsidTr="00025E55">
        <w:trPr>
          <w:trHeight w:val="20"/>
        </w:trPr>
        <w:tc>
          <w:tcPr>
            <w:tcW w:w="5529" w:type="dxa"/>
            <w:tcBorders>
              <w:top w:val="nil"/>
              <w:left w:val="nil"/>
              <w:bottom w:val="nil"/>
            </w:tcBorders>
            <w:noWrap/>
            <w:tcMar>
              <w:left w:w="0" w:type="dxa"/>
              <w:right w:w="0" w:type="dxa"/>
            </w:tcMar>
            <w:vAlign w:val="bottom"/>
          </w:tcPr>
          <w:p w14:paraId="6EF88425"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4EF27B4C"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single" w:sz="4" w:space="0" w:color="auto"/>
              <w:bottom w:val="nil"/>
            </w:tcBorders>
            <w:shd w:val="clear" w:color="auto" w:fill="D9D9D9" w:themeFill="background1" w:themeFillShade="D9"/>
            <w:noWrap/>
            <w:tcMar>
              <w:left w:w="0" w:type="dxa"/>
              <w:right w:w="113" w:type="dxa"/>
            </w:tcMar>
            <w:vAlign w:val="bottom"/>
          </w:tcPr>
          <w:p w14:paraId="4770F630" w14:textId="77777777" w:rsidR="00FC17BC" w:rsidRPr="00DF3006" w:rsidRDefault="00FC17BC" w:rsidP="00025E55">
            <w:pPr>
              <w:pStyle w:val="Normaltabletext1stpararight"/>
              <w:spacing w:line="240" w:lineRule="auto"/>
              <w:rPr>
                <w:b/>
                <w:color w:val="414042" w:themeColor="text1"/>
                <w:lang w:eastAsia="en-AU"/>
              </w:rPr>
            </w:pPr>
          </w:p>
        </w:tc>
        <w:tc>
          <w:tcPr>
            <w:tcW w:w="283" w:type="dxa"/>
            <w:tcBorders>
              <w:top w:val="nil"/>
              <w:bottom w:val="nil"/>
            </w:tcBorders>
            <w:noWrap/>
          </w:tcPr>
          <w:p w14:paraId="53A178A3" w14:textId="77777777" w:rsidR="00FC17BC" w:rsidRPr="00DF3006" w:rsidRDefault="00FC17BC" w:rsidP="00025E55">
            <w:pPr>
              <w:pStyle w:val="Normaltabletextleft"/>
              <w:spacing w:line="240" w:lineRule="auto"/>
              <w:rPr>
                <w:color w:val="414042" w:themeColor="text1"/>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749DDFF3" w14:textId="77777777" w:rsidR="00FC17BC" w:rsidRPr="00DF3006" w:rsidRDefault="00FC17BC" w:rsidP="00025E55">
            <w:pPr>
              <w:pStyle w:val="Normaltabletext1stpararight"/>
              <w:spacing w:line="240" w:lineRule="auto"/>
              <w:rPr>
                <w:b/>
                <w:color w:val="414042" w:themeColor="text1"/>
                <w:lang w:eastAsia="en-AU"/>
              </w:rPr>
            </w:pPr>
          </w:p>
        </w:tc>
      </w:tr>
      <w:tr w:rsidR="00DF3006" w:rsidRPr="00DF3006" w14:paraId="7D416C71" w14:textId="77777777" w:rsidTr="00025E55">
        <w:trPr>
          <w:trHeight w:val="20"/>
        </w:trPr>
        <w:tc>
          <w:tcPr>
            <w:tcW w:w="5529" w:type="dxa"/>
            <w:tcBorders>
              <w:top w:val="nil"/>
              <w:left w:val="nil"/>
              <w:bottom w:val="nil"/>
            </w:tcBorders>
            <w:noWrap/>
            <w:tcMar>
              <w:left w:w="0" w:type="dxa"/>
              <w:right w:w="0" w:type="dxa"/>
            </w:tcMar>
            <w:vAlign w:val="bottom"/>
          </w:tcPr>
          <w:p w14:paraId="5034FBB4"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Non-Current</w:t>
            </w:r>
          </w:p>
        </w:tc>
        <w:tc>
          <w:tcPr>
            <w:tcW w:w="567" w:type="dxa"/>
            <w:tcBorders>
              <w:top w:val="nil"/>
              <w:bottom w:val="nil"/>
            </w:tcBorders>
            <w:noWrap/>
            <w:tcMar>
              <w:left w:w="0" w:type="dxa"/>
              <w:right w:w="0" w:type="dxa"/>
            </w:tcMar>
            <w:vAlign w:val="bottom"/>
          </w:tcPr>
          <w:p w14:paraId="1BA9090D"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ECCF756"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5839803F"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0F9E135"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17FCB11E" w14:textId="77777777" w:rsidTr="00025E55">
        <w:trPr>
          <w:trHeight w:val="20"/>
        </w:trPr>
        <w:tc>
          <w:tcPr>
            <w:tcW w:w="5529" w:type="dxa"/>
            <w:tcBorders>
              <w:top w:val="nil"/>
              <w:left w:val="nil"/>
              <w:bottom w:val="nil"/>
            </w:tcBorders>
            <w:noWrap/>
            <w:tcMar>
              <w:left w:w="0" w:type="dxa"/>
              <w:right w:w="0" w:type="dxa"/>
            </w:tcMar>
          </w:tcPr>
          <w:p w14:paraId="51EA221C"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Finance lease liability</w:t>
            </w:r>
            <w:r w:rsidRPr="00DF3006">
              <w:rPr>
                <w:rFonts w:cstheme="minorHAnsi"/>
                <w:color w:val="414042" w:themeColor="text1"/>
                <w:lang w:eastAsia="en-AU"/>
              </w:rPr>
              <w:t>¹</w:t>
            </w:r>
          </w:p>
        </w:tc>
        <w:tc>
          <w:tcPr>
            <w:tcW w:w="567" w:type="dxa"/>
            <w:tcBorders>
              <w:top w:val="nil"/>
              <w:bottom w:val="nil"/>
            </w:tcBorders>
            <w:noWrap/>
            <w:tcMar>
              <w:left w:w="0" w:type="dxa"/>
              <w:right w:w="0" w:type="dxa"/>
            </w:tcMar>
            <w:vAlign w:val="bottom"/>
          </w:tcPr>
          <w:p w14:paraId="1E2B7E2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592E91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668</w:t>
            </w:r>
          </w:p>
        </w:tc>
        <w:tc>
          <w:tcPr>
            <w:tcW w:w="283" w:type="dxa"/>
            <w:tcBorders>
              <w:top w:val="nil"/>
              <w:bottom w:val="nil"/>
            </w:tcBorders>
            <w:noWrap/>
          </w:tcPr>
          <w:p w14:paraId="70060D05"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32E72F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r>
      <w:tr w:rsidR="00DF3006" w:rsidRPr="00DF3006" w14:paraId="69CC6F5A" w14:textId="77777777" w:rsidTr="00025E55">
        <w:trPr>
          <w:trHeight w:val="20"/>
        </w:trPr>
        <w:tc>
          <w:tcPr>
            <w:tcW w:w="5529" w:type="dxa"/>
            <w:tcBorders>
              <w:top w:val="nil"/>
              <w:left w:val="nil"/>
              <w:bottom w:val="nil"/>
            </w:tcBorders>
            <w:noWrap/>
            <w:tcMar>
              <w:left w:w="0" w:type="dxa"/>
              <w:right w:w="0" w:type="dxa"/>
            </w:tcMar>
            <w:vAlign w:val="bottom"/>
          </w:tcPr>
          <w:p w14:paraId="54238165"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7127F40D"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24CA9A4C"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668</w:t>
            </w:r>
          </w:p>
        </w:tc>
        <w:tc>
          <w:tcPr>
            <w:tcW w:w="283" w:type="dxa"/>
            <w:tcBorders>
              <w:top w:val="nil"/>
              <w:bottom w:val="nil"/>
            </w:tcBorders>
            <w:noWrap/>
          </w:tcPr>
          <w:p w14:paraId="0B8E2DF4"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885A309"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w:t>
            </w:r>
          </w:p>
        </w:tc>
      </w:tr>
    </w:tbl>
    <w:p w14:paraId="62D8BCCA" w14:textId="77777777" w:rsidR="00FC17BC" w:rsidRPr="00DF3006" w:rsidRDefault="00FC17BC" w:rsidP="00FC17BC">
      <w:pPr>
        <w:pStyle w:val="Normal1stpara"/>
        <w:spacing w:line="240" w:lineRule="auto"/>
        <w:ind w:left="142" w:hanging="142"/>
        <w:rPr>
          <w:rFonts w:cstheme="minorHAnsi"/>
          <w:color w:val="414042" w:themeColor="text1"/>
          <w:sz w:val="17"/>
          <w:szCs w:val="17"/>
          <w:lang w:eastAsia="en-AU"/>
        </w:rPr>
      </w:pPr>
    </w:p>
    <w:p w14:paraId="2FCF7D35" w14:textId="77777777" w:rsidR="00FC17BC" w:rsidRPr="00DF3006" w:rsidRDefault="00FC17BC" w:rsidP="00FC17BC">
      <w:pPr>
        <w:pStyle w:val="Normal1stpara"/>
        <w:spacing w:line="240" w:lineRule="auto"/>
        <w:ind w:left="284" w:hanging="284"/>
        <w:jc w:val="both"/>
        <w:rPr>
          <w:color w:val="414042" w:themeColor="text1"/>
          <w:sz w:val="17"/>
          <w:szCs w:val="17"/>
        </w:rPr>
      </w:pPr>
      <w:r w:rsidRPr="00DF3006">
        <w:rPr>
          <w:rFonts w:cstheme="minorHAnsi"/>
          <w:color w:val="414042" w:themeColor="text1"/>
          <w:sz w:val="17"/>
          <w:szCs w:val="17"/>
          <w:lang w:eastAsia="en-AU"/>
        </w:rPr>
        <w:t xml:space="preserve">¹ </w:t>
      </w:r>
      <w:r w:rsidRPr="00DF3006">
        <w:rPr>
          <w:rFonts w:cstheme="minorHAnsi"/>
          <w:color w:val="414042" w:themeColor="text1"/>
          <w:sz w:val="17"/>
          <w:szCs w:val="17"/>
          <w:lang w:eastAsia="en-AU"/>
        </w:rPr>
        <w:tab/>
        <w:t xml:space="preserve">The CCC </w:t>
      </w:r>
      <w:proofErr w:type="gramStart"/>
      <w:r w:rsidRPr="00DF3006">
        <w:rPr>
          <w:rFonts w:cstheme="minorHAnsi"/>
          <w:color w:val="414042" w:themeColor="text1"/>
          <w:sz w:val="17"/>
          <w:szCs w:val="17"/>
          <w:lang w:eastAsia="en-AU"/>
        </w:rPr>
        <w:t>entered into</w:t>
      </w:r>
      <w:proofErr w:type="gramEnd"/>
      <w:r w:rsidRPr="00DF3006">
        <w:rPr>
          <w:rFonts w:cstheme="minorHAnsi"/>
          <w:color w:val="414042" w:themeColor="text1"/>
          <w:sz w:val="17"/>
          <w:szCs w:val="17"/>
          <w:lang w:eastAsia="en-AU"/>
        </w:rPr>
        <w:t xml:space="preserve"> a three-year office accommodation lease extension on 25 November 2022 for the period of 1 July 2023 to 30 Jun 2026. </w:t>
      </w:r>
      <w:r w:rsidRPr="00DF3006">
        <w:rPr>
          <w:color w:val="414042" w:themeColor="text1"/>
          <w:sz w:val="17"/>
          <w:szCs w:val="17"/>
        </w:rPr>
        <w:t>The CCC re-valued its lease liability and Right-of-Use (</w:t>
      </w:r>
      <w:proofErr w:type="spellStart"/>
      <w:r w:rsidRPr="00DF3006">
        <w:rPr>
          <w:color w:val="414042" w:themeColor="text1"/>
          <w:sz w:val="17"/>
          <w:szCs w:val="17"/>
        </w:rPr>
        <w:t>RoU</w:t>
      </w:r>
      <w:proofErr w:type="spellEnd"/>
      <w:r w:rsidRPr="00DF3006">
        <w:rPr>
          <w:color w:val="414042" w:themeColor="text1"/>
          <w:sz w:val="17"/>
          <w:szCs w:val="17"/>
        </w:rPr>
        <w:t xml:space="preserve">) asset under </w:t>
      </w:r>
      <w:proofErr w:type="spellStart"/>
      <w:r w:rsidRPr="00DF3006">
        <w:rPr>
          <w:color w:val="414042" w:themeColor="text1"/>
          <w:sz w:val="17"/>
          <w:szCs w:val="17"/>
        </w:rPr>
        <w:t>AASB</w:t>
      </w:r>
      <w:proofErr w:type="spellEnd"/>
      <w:r w:rsidRPr="00DF3006">
        <w:rPr>
          <w:color w:val="414042" w:themeColor="text1"/>
          <w:sz w:val="17"/>
          <w:szCs w:val="17"/>
        </w:rPr>
        <w:t xml:space="preserve"> 16 for the extension of lease. </w:t>
      </w:r>
    </w:p>
    <w:p w14:paraId="46031C57" w14:textId="77777777" w:rsidR="00FC17BC" w:rsidRPr="00DF3006" w:rsidRDefault="00FC17BC" w:rsidP="005268F0">
      <w:pPr>
        <w:rPr>
          <w:color w:val="414042" w:themeColor="text1"/>
          <w:highlight w:val="yellow"/>
        </w:rPr>
      </w:pPr>
    </w:p>
    <w:p w14:paraId="00631764" w14:textId="77777777" w:rsidR="00FC17BC" w:rsidRPr="00DF3006" w:rsidRDefault="00FC17BC" w:rsidP="005268F0">
      <w:pPr>
        <w:rPr>
          <w:color w:val="414042" w:themeColor="text1"/>
          <w:highlight w:val="yellow"/>
        </w:rPr>
      </w:pPr>
    </w:p>
    <w:p w14:paraId="74850C60" w14:textId="77777777" w:rsidR="00FC17BC" w:rsidRPr="00DF3006" w:rsidRDefault="00FC17BC" w:rsidP="001C06A7">
      <w:pPr>
        <w:rPr>
          <w:rFonts w:ascii="Calibri" w:hAnsi="Calibri" w:cs="Calibri"/>
          <w:b/>
          <w:bCs/>
          <w:i/>
          <w:iCs/>
          <w:color w:val="414042" w:themeColor="text1"/>
          <w:sz w:val="21"/>
          <w:szCs w:val="21"/>
        </w:rPr>
      </w:pPr>
      <w:r w:rsidRPr="00DF3006">
        <w:rPr>
          <w:rFonts w:ascii="Calibri" w:hAnsi="Calibri" w:cs="Calibri"/>
          <w:b/>
          <w:bCs/>
          <w:i/>
          <w:iCs/>
          <w:color w:val="414042" w:themeColor="text1"/>
          <w:sz w:val="21"/>
          <w:szCs w:val="21"/>
        </w:rPr>
        <w:t>Maturity analysis</w:t>
      </w:r>
    </w:p>
    <w:p w14:paraId="2F38AFCB" w14:textId="77777777" w:rsidR="00FC17BC" w:rsidRPr="00DF3006" w:rsidRDefault="00FC17BC" w:rsidP="00FC17BC">
      <w:pPr>
        <w:pStyle w:val="Policyfollowingparas"/>
        <w:spacing w:line="240" w:lineRule="auto"/>
        <w:rPr>
          <w:color w:val="414042" w:themeColor="text1"/>
        </w:rPr>
      </w:pPr>
      <w:r w:rsidRPr="00DF3006">
        <w:rPr>
          <w:color w:val="414042" w:themeColor="text1"/>
        </w:rPr>
        <w:t xml:space="preserve">The following table shows the undiscounted value for CCC lease </w:t>
      </w:r>
      <w:proofErr w:type="gramStart"/>
      <w:r w:rsidRPr="00DF3006">
        <w:rPr>
          <w:color w:val="414042" w:themeColor="text1"/>
        </w:rPr>
        <w:t>liabilities</w:t>
      </w:r>
      <w:proofErr w:type="gramEnd"/>
      <w:r w:rsidRPr="00DF3006">
        <w:rPr>
          <w:color w:val="414042" w:themeColor="text1"/>
        </w:rPr>
        <w:t xml:space="preserve">  </w:t>
      </w:r>
    </w:p>
    <w:p w14:paraId="2CBCDCC8" w14:textId="77777777" w:rsidR="00FC17BC" w:rsidRPr="00DF3006" w:rsidRDefault="00FC17BC" w:rsidP="00FC17BC">
      <w:pPr>
        <w:pStyle w:val="Policyfollowingparas"/>
        <w:spacing w:line="240" w:lineRule="auto"/>
        <w:rPr>
          <w:color w:val="414042" w:themeColor="text1"/>
          <w:sz w:val="16"/>
          <w:szCs w:val="16"/>
        </w:rPr>
      </w:pPr>
    </w:p>
    <w:tbl>
      <w:tblPr>
        <w:tblStyle w:val="GridTable2"/>
        <w:tblW w:w="9639" w:type="dxa"/>
        <w:tblLook w:val="04A0" w:firstRow="1" w:lastRow="0" w:firstColumn="1" w:lastColumn="0" w:noHBand="0" w:noVBand="1"/>
      </w:tblPr>
      <w:tblGrid>
        <w:gridCol w:w="1926"/>
        <w:gridCol w:w="964"/>
        <w:gridCol w:w="964"/>
        <w:gridCol w:w="964"/>
        <w:gridCol w:w="964"/>
        <w:gridCol w:w="964"/>
        <w:gridCol w:w="964"/>
        <w:gridCol w:w="964"/>
        <w:gridCol w:w="965"/>
      </w:tblGrid>
      <w:tr w:rsidR="00DF3006" w:rsidRPr="00DF3006" w14:paraId="07528287" w14:textId="77777777" w:rsidTr="00025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9"/>
            <w:tcBorders>
              <w:bottom w:val="nil"/>
            </w:tcBorders>
            <w:shd w:val="clear" w:color="auto" w:fill="D9D9D9" w:themeFill="background1" w:themeFillShade="D9"/>
            <w:vAlign w:val="center"/>
          </w:tcPr>
          <w:p w14:paraId="646EBCEB" w14:textId="77777777" w:rsidR="00FC17BC" w:rsidRPr="00DF3006" w:rsidRDefault="00FC17BC" w:rsidP="00025E55">
            <w:pPr>
              <w:pStyle w:val="Normal115pttext"/>
              <w:spacing w:line="240" w:lineRule="auto"/>
              <w:jc w:val="center"/>
              <w:rPr>
                <w:rFonts w:cstheme="minorHAnsi"/>
                <w:b/>
                <w:color w:val="414042" w:themeColor="text1"/>
                <w:sz w:val="20"/>
              </w:rPr>
            </w:pPr>
            <w:r w:rsidRPr="00DF3006">
              <w:rPr>
                <w:rFonts w:cstheme="minorHAnsi"/>
                <w:b/>
                <w:color w:val="414042" w:themeColor="text1"/>
                <w:sz w:val="20"/>
              </w:rPr>
              <w:t>Payable in</w:t>
            </w:r>
          </w:p>
        </w:tc>
      </w:tr>
      <w:tr w:rsidR="00DF3006" w:rsidRPr="00DF3006" w14:paraId="357847D0" w14:textId="77777777" w:rsidTr="00025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Borders>
              <w:left w:val="single" w:sz="2" w:space="0" w:color="8C8B8E" w:themeColor="text1" w:themeTint="99"/>
              <w:bottom w:val="nil"/>
              <w:right w:val="nil"/>
            </w:tcBorders>
            <w:shd w:val="clear" w:color="auto" w:fill="D9D9D9" w:themeFill="background1" w:themeFillShade="D9"/>
          </w:tcPr>
          <w:p w14:paraId="036631E4" w14:textId="77777777" w:rsidR="00FC17BC" w:rsidRPr="00DF3006" w:rsidRDefault="00FC17BC" w:rsidP="00025E55">
            <w:pPr>
              <w:pStyle w:val="Normal115pttext"/>
              <w:spacing w:line="240" w:lineRule="auto"/>
              <w:jc w:val="center"/>
              <w:rPr>
                <w:rFonts w:cstheme="minorHAnsi"/>
                <w:b/>
                <w:color w:val="414042" w:themeColor="text1"/>
                <w:sz w:val="20"/>
              </w:rPr>
            </w:pPr>
          </w:p>
        </w:tc>
        <w:tc>
          <w:tcPr>
            <w:tcW w:w="1928" w:type="dxa"/>
            <w:gridSpan w:val="2"/>
            <w:tcBorders>
              <w:bottom w:val="nil"/>
              <w:right w:val="single" w:sz="2" w:space="0" w:color="8C8B8E" w:themeColor="text1" w:themeTint="99"/>
            </w:tcBorders>
            <w:shd w:val="clear" w:color="auto" w:fill="D9D9D9" w:themeFill="background1" w:themeFillShade="D9"/>
          </w:tcPr>
          <w:p w14:paraId="029497D4"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color w:val="414042" w:themeColor="text1"/>
                <w:sz w:val="20"/>
              </w:rPr>
            </w:pPr>
            <w:r w:rsidRPr="00DF3006">
              <w:rPr>
                <w:rFonts w:cstheme="minorHAnsi"/>
                <w:bCs/>
                <w:color w:val="414042" w:themeColor="text1"/>
                <w:sz w:val="20"/>
              </w:rPr>
              <w:t>&lt; 1 year</w:t>
            </w:r>
          </w:p>
        </w:tc>
        <w:tc>
          <w:tcPr>
            <w:tcW w:w="1928" w:type="dxa"/>
            <w:gridSpan w:val="2"/>
            <w:tcBorders>
              <w:left w:val="single" w:sz="2" w:space="0" w:color="8C8B8E" w:themeColor="text1" w:themeTint="99"/>
              <w:bottom w:val="nil"/>
              <w:right w:val="single" w:sz="4" w:space="0" w:color="8C8B8E" w:themeColor="text1" w:themeTint="99"/>
            </w:tcBorders>
            <w:shd w:val="clear" w:color="auto" w:fill="D9D9D9" w:themeFill="background1" w:themeFillShade="D9"/>
          </w:tcPr>
          <w:p w14:paraId="199142A3"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color w:val="414042" w:themeColor="text1"/>
                <w:sz w:val="20"/>
              </w:rPr>
            </w:pPr>
            <w:r w:rsidRPr="00DF3006">
              <w:rPr>
                <w:rFonts w:cstheme="minorHAnsi"/>
                <w:bCs/>
                <w:color w:val="414042" w:themeColor="text1"/>
                <w:sz w:val="20"/>
              </w:rPr>
              <w:t>1–5 years</w:t>
            </w:r>
          </w:p>
        </w:tc>
        <w:tc>
          <w:tcPr>
            <w:tcW w:w="1928" w:type="dxa"/>
            <w:gridSpan w:val="2"/>
            <w:tcBorders>
              <w:left w:val="single" w:sz="4" w:space="0" w:color="8C8B8E" w:themeColor="text1" w:themeTint="99"/>
              <w:bottom w:val="nil"/>
              <w:right w:val="single" w:sz="4" w:space="0" w:color="8C8B8E" w:themeColor="text1" w:themeTint="99"/>
            </w:tcBorders>
            <w:shd w:val="clear" w:color="auto" w:fill="D9D9D9" w:themeFill="background1" w:themeFillShade="D9"/>
          </w:tcPr>
          <w:p w14:paraId="74B6178B"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color w:val="414042" w:themeColor="text1"/>
                <w:sz w:val="20"/>
              </w:rPr>
            </w:pPr>
            <w:r w:rsidRPr="00DF3006">
              <w:rPr>
                <w:rFonts w:cstheme="minorHAnsi"/>
                <w:bCs/>
                <w:color w:val="414042" w:themeColor="text1"/>
                <w:sz w:val="20"/>
              </w:rPr>
              <w:t>&gt; 5 years</w:t>
            </w:r>
          </w:p>
        </w:tc>
        <w:tc>
          <w:tcPr>
            <w:tcW w:w="1929" w:type="dxa"/>
            <w:gridSpan w:val="2"/>
            <w:tcBorders>
              <w:left w:val="single" w:sz="4" w:space="0" w:color="8C8B8E" w:themeColor="text1" w:themeTint="99"/>
              <w:bottom w:val="nil"/>
              <w:right w:val="single" w:sz="4" w:space="0" w:color="8C8B8E" w:themeColor="text1" w:themeTint="99"/>
            </w:tcBorders>
            <w:shd w:val="clear" w:color="auto" w:fill="D9D9D9" w:themeFill="background1" w:themeFillShade="D9"/>
          </w:tcPr>
          <w:p w14:paraId="08B22669"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Cs/>
                <w:color w:val="414042" w:themeColor="text1"/>
                <w:sz w:val="20"/>
              </w:rPr>
            </w:pPr>
            <w:r w:rsidRPr="00DF3006">
              <w:rPr>
                <w:rFonts w:cstheme="minorHAnsi"/>
                <w:bCs/>
                <w:color w:val="414042" w:themeColor="text1"/>
                <w:sz w:val="20"/>
              </w:rPr>
              <w:t>Total</w:t>
            </w:r>
          </w:p>
        </w:tc>
      </w:tr>
      <w:tr w:rsidR="00DF3006" w:rsidRPr="00DF3006" w14:paraId="0024A6C3" w14:textId="77777777" w:rsidTr="00025E55">
        <w:tc>
          <w:tcPr>
            <w:cnfStyle w:val="001000000000" w:firstRow="0" w:lastRow="0" w:firstColumn="1" w:lastColumn="0" w:oddVBand="0" w:evenVBand="0" w:oddHBand="0" w:evenHBand="0" w:firstRowFirstColumn="0" w:firstRowLastColumn="0" w:lastRowFirstColumn="0" w:lastRowLastColumn="0"/>
            <w:tcW w:w="1926" w:type="dxa"/>
            <w:tcBorders>
              <w:top w:val="nil"/>
              <w:left w:val="single" w:sz="2" w:space="0" w:color="8C8B8E" w:themeColor="text1" w:themeTint="99"/>
              <w:bottom w:val="nil"/>
            </w:tcBorders>
            <w:shd w:val="clear" w:color="auto" w:fill="D9D9D9" w:themeFill="background1" w:themeFillShade="D9"/>
          </w:tcPr>
          <w:p w14:paraId="6267BCD8" w14:textId="77777777" w:rsidR="00FC17BC" w:rsidRPr="00DF3006" w:rsidRDefault="00FC17BC" w:rsidP="00025E55">
            <w:pPr>
              <w:pStyle w:val="Normal115pttext"/>
              <w:spacing w:line="240" w:lineRule="auto"/>
              <w:jc w:val="center"/>
              <w:rPr>
                <w:b/>
                <w:color w:val="414042" w:themeColor="text1"/>
                <w:sz w:val="20"/>
              </w:rPr>
            </w:pPr>
          </w:p>
        </w:tc>
        <w:tc>
          <w:tcPr>
            <w:tcW w:w="964" w:type="dxa"/>
            <w:tcBorders>
              <w:top w:val="nil"/>
              <w:bottom w:val="single" w:sz="2" w:space="0" w:color="8C8B8E" w:themeColor="text1" w:themeTint="99"/>
            </w:tcBorders>
            <w:shd w:val="clear" w:color="auto" w:fill="D9D9D9" w:themeFill="background1" w:themeFillShade="D9"/>
          </w:tcPr>
          <w:p w14:paraId="40C492D8"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2023</w:t>
            </w:r>
          </w:p>
        </w:tc>
        <w:tc>
          <w:tcPr>
            <w:tcW w:w="964" w:type="dxa"/>
            <w:tcBorders>
              <w:top w:val="nil"/>
              <w:bottom w:val="single" w:sz="2" w:space="0" w:color="8C8B8E" w:themeColor="text1" w:themeTint="99"/>
              <w:right w:val="single" w:sz="2" w:space="0" w:color="8C8B8E" w:themeColor="text1" w:themeTint="99"/>
            </w:tcBorders>
            <w:shd w:val="clear" w:color="auto" w:fill="auto"/>
          </w:tcPr>
          <w:p w14:paraId="50424348"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2022</w:t>
            </w:r>
          </w:p>
        </w:tc>
        <w:tc>
          <w:tcPr>
            <w:tcW w:w="964" w:type="dxa"/>
            <w:tcBorders>
              <w:top w:val="nil"/>
              <w:left w:val="single" w:sz="2" w:space="0" w:color="8C8B8E" w:themeColor="text1" w:themeTint="99"/>
              <w:bottom w:val="single" w:sz="2" w:space="0" w:color="8C8B8E" w:themeColor="text1" w:themeTint="99"/>
            </w:tcBorders>
            <w:shd w:val="clear" w:color="auto" w:fill="D9D9D9" w:themeFill="background1" w:themeFillShade="D9"/>
          </w:tcPr>
          <w:p w14:paraId="191C00B1"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2023</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6253507A"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2022</w:t>
            </w:r>
          </w:p>
        </w:tc>
        <w:tc>
          <w:tcPr>
            <w:tcW w:w="964" w:type="dxa"/>
            <w:tcBorders>
              <w:top w:val="nil"/>
              <w:left w:val="single" w:sz="4" w:space="0" w:color="8C8B8E" w:themeColor="text1" w:themeTint="99"/>
              <w:bottom w:val="single" w:sz="2" w:space="0" w:color="8C8B8E" w:themeColor="text1" w:themeTint="99"/>
            </w:tcBorders>
            <w:shd w:val="clear" w:color="auto" w:fill="D9D9D9" w:themeFill="background1" w:themeFillShade="D9"/>
          </w:tcPr>
          <w:p w14:paraId="314351C8"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2023</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7EA529FD"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2022</w:t>
            </w:r>
          </w:p>
        </w:tc>
        <w:tc>
          <w:tcPr>
            <w:tcW w:w="964" w:type="dxa"/>
            <w:tcBorders>
              <w:top w:val="nil"/>
              <w:left w:val="single" w:sz="4" w:space="0" w:color="8C8B8E" w:themeColor="text1" w:themeTint="99"/>
              <w:bottom w:val="single" w:sz="2" w:space="0" w:color="8C8B8E" w:themeColor="text1" w:themeTint="99"/>
            </w:tcBorders>
            <w:shd w:val="clear" w:color="auto" w:fill="D9D9D9" w:themeFill="background1" w:themeFillShade="D9"/>
          </w:tcPr>
          <w:p w14:paraId="2148C1ED"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2023</w:t>
            </w:r>
          </w:p>
        </w:tc>
        <w:tc>
          <w:tcPr>
            <w:tcW w:w="965" w:type="dxa"/>
            <w:tcBorders>
              <w:top w:val="nil"/>
              <w:bottom w:val="single" w:sz="2" w:space="0" w:color="8C8B8E" w:themeColor="text1" w:themeTint="99"/>
              <w:right w:val="single" w:sz="4" w:space="0" w:color="8C8B8E" w:themeColor="text1" w:themeTint="99"/>
            </w:tcBorders>
            <w:shd w:val="clear" w:color="auto" w:fill="auto"/>
          </w:tcPr>
          <w:p w14:paraId="7F44740A"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bCs/>
                <w:color w:val="414042" w:themeColor="text1"/>
                <w:sz w:val="20"/>
              </w:rPr>
            </w:pPr>
            <w:r w:rsidRPr="00DF3006">
              <w:rPr>
                <w:bCs/>
                <w:color w:val="414042" w:themeColor="text1"/>
                <w:sz w:val="20"/>
              </w:rPr>
              <w:t>2022</w:t>
            </w:r>
          </w:p>
        </w:tc>
      </w:tr>
      <w:tr w:rsidR="00DF3006" w:rsidRPr="00DF3006" w14:paraId="2C8BBDD8" w14:textId="77777777" w:rsidTr="00025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Borders>
              <w:top w:val="nil"/>
              <w:left w:val="single" w:sz="2" w:space="0" w:color="8C8B8E" w:themeColor="text1" w:themeTint="99"/>
              <w:bottom w:val="nil"/>
              <w:right w:val="single" w:sz="4" w:space="0" w:color="8C8B8E" w:themeColor="text1" w:themeTint="99"/>
            </w:tcBorders>
            <w:shd w:val="clear" w:color="auto" w:fill="D9D9D9" w:themeFill="background1" w:themeFillShade="D9"/>
          </w:tcPr>
          <w:p w14:paraId="191E3586" w14:textId="77777777" w:rsidR="00FC17BC" w:rsidRPr="00DF3006" w:rsidRDefault="00FC17BC" w:rsidP="00025E55">
            <w:pPr>
              <w:pStyle w:val="Normal115pttext"/>
              <w:spacing w:line="240" w:lineRule="auto"/>
              <w:jc w:val="center"/>
              <w:rPr>
                <w:b/>
                <w:color w:val="414042" w:themeColor="text1"/>
                <w:sz w:val="20"/>
              </w:rPr>
            </w:pPr>
          </w:p>
        </w:tc>
        <w:tc>
          <w:tcPr>
            <w:tcW w:w="964" w:type="dxa"/>
            <w:tcBorders>
              <w:top w:val="nil"/>
              <w:left w:val="single" w:sz="4" w:space="0" w:color="8C8B8E" w:themeColor="text1" w:themeTint="99"/>
              <w:bottom w:val="single" w:sz="2" w:space="0" w:color="8C8B8E" w:themeColor="text1" w:themeTint="99"/>
            </w:tcBorders>
            <w:shd w:val="clear" w:color="auto" w:fill="D9D9D9" w:themeFill="background1" w:themeFillShade="D9"/>
          </w:tcPr>
          <w:p w14:paraId="36F80F60"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4" w:type="dxa"/>
            <w:tcBorders>
              <w:top w:val="nil"/>
              <w:bottom w:val="single" w:sz="2" w:space="0" w:color="8C8B8E" w:themeColor="text1" w:themeTint="99"/>
              <w:right w:val="single" w:sz="2" w:space="0" w:color="8C8B8E" w:themeColor="text1" w:themeTint="99"/>
            </w:tcBorders>
            <w:shd w:val="clear" w:color="auto" w:fill="auto"/>
          </w:tcPr>
          <w:p w14:paraId="6572B8D6"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4" w:type="dxa"/>
            <w:tcBorders>
              <w:top w:val="nil"/>
              <w:left w:val="single" w:sz="2" w:space="0" w:color="8C8B8E" w:themeColor="text1" w:themeTint="99"/>
              <w:bottom w:val="single" w:sz="2" w:space="0" w:color="8C8B8E" w:themeColor="text1" w:themeTint="99"/>
            </w:tcBorders>
            <w:shd w:val="clear" w:color="auto" w:fill="D9D9D9" w:themeFill="background1" w:themeFillShade="D9"/>
          </w:tcPr>
          <w:p w14:paraId="7D29C96C"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472132B7"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4" w:type="dxa"/>
            <w:tcBorders>
              <w:top w:val="nil"/>
              <w:left w:val="single" w:sz="4" w:space="0" w:color="8C8B8E" w:themeColor="text1" w:themeTint="99"/>
              <w:bottom w:val="single" w:sz="2" w:space="0" w:color="8C8B8E" w:themeColor="text1" w:themeTint="99"/>
            </w:tcBorders>
            <w:shd w:val="clear" w:color="auto" w:fill="D9D9D9" w:themeFill="background1" w:themeFillShade="D9"/>
          </w:tcPr>
          <w:p w14:paraId="5FA36155"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19D9E554"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4" w:type="dxa"/>
            <w:tcBorders>
              <w:top w:val="nil"/>
              <w:left w:val="single" w:sz="4" w:space="0" w:color="8C8B8E" w:themeColor="text1" w:themeTint="99"/>
              <w:bottom w:val="single" w:sz="2" w:space="0" w:color="8C8B8E" w:themeColor="text1" w:themeTint="99"/>
            </w:tcBorders>
            <w:shd w:val="clear" w:color="auto" w:fill="D9D9D9" w:themeFill="background1" w:themeFillShade="D9"/>
          </w:tcPr>
          <w:p w14:paraId="573F8D1F"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c>
          <w:tcPr>
            <w:tcW w:w="965" w:type="dxa"/>
            <w:tcBorders>
              <w:top w:val="nil"/>
              <w:bottom w:val="single" w:sz="2" w:space="0" w:color="8C8B8E" w:themeColor="text1" w:themeTint="99"/>
              <w:right w:val="single" w:sz="4" w:space="0" w:color="8C8B8E" w:themeColor="text1" w:themeTint="99"/>
            </w:tcBorders>
            <w:shd w:val="clear" w:color="auto" w:fill="auto"/>
          </w:tcPr>
          <w:p w14:paraId="3C15D4A6" w14:textId="77777777" w:rsidR="00FC17BC" w:rsidRPr="00DF3006" w:rsidRDefault="00FC17BC" w:rsidP="00025E55">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b w:val="0"/>
                <w:color w:val="414042" w:themeColor="text1"/>
                <w:sz w:val="20"/>
              </w:rPr>
            </w:pPr>
            <w:r w:rsidRPr="00DF3006">
              <w:rPr>
                <w:b w:val="0"/>
                <w:color w:val="414042" w:themeColor="text1"/>
                <w:sz w:val="20"/>
              </w:rPr>
              <w:t>$’000</w:t>
            </w:r>
          </w:p>
        </w:tc>
      </w:tr>
      <w:tr w:rsidR="00DF3006" w:rsidRPr="00DF3006" w14:paraId="10E091AD" w14:textId="77777777" w:rsidTr="00025E55">
        <w:tc>
          <w:tcPr>
            <w:cnfStyle w:val="001000000000" w:firstRow="0" w:lastRow="0" w:firstColumn="1" w:lastColumn="0" w:oddVBand="0" w:evenVBand="0" w:oddHBand="0" w:evenHBand="0" w:firstRowFirstColumn="0" w:firstRowLastColumn="0" w:lastRowFirstColumn="0" w:lastRowLastColumn="0"/>
            <w:tcW w:w="1926" w:type="dxa"/>
            <w:tcBorders>
              <w:top w:val="nil"/>
              <w:left w:val="single" w:sz="2" w:space="0" w:color="8C8B8E" w:themeColor="text1" w:themeTint="99"/>
              <w:bottom w:val="double" w:sz="4" w:space="0" w:color="8C8B8E" w:themeColor="text1" w:themeTint="99"/>
            </w:tcBorders>
            <w:shd w:val="clear" w:color="auto" w:fill="D9D9D9" w:themeFill="background1" w:themeFillShade="D9"/>
          </w:tcPr>
          <w:p w14:paraId="07FEE3A2" w14:textId="77777777" w:rsidR="00FC17BC" w:rsidRPr="00DF3006" w:rsidRDefault="00FC17BC" w:rsidP="00025E55">
            <w:pPr>
              <w:pStyle w:val="Normal115pttext"/>
              <w:spacing w:line="240" w:lineRule="auto"/>
              <w:jc w:val="center"/>
              <w:rPr>
                <w:b/>
                <w:bCs w:val="0"/>
                <w:color w:val="414042" w:themeColor="text1"/>
                <w:sz w:val="20"/>
              </w:rPr>
            </w:pPr>
            <w:r w:rsidRPr="00DF3006">
              <w:rPr>
                <w:b/>
                <w:bCs w:val="0"/>
                <w:color w:val="414042" w:themeColor="text1"/>
                <w:sz w:val="20"/>
              </w:rPr>
              <w:t>Lease liability</w:t>
            </w:r>
          </w:p>
        </w:tc>
        <w:tc>
          <w:tcPr>
            <w:tcW w:w="964" w:type="dxa"/>
            <w:tcBorders>
              <w:bottom w:val="double" w:sz="4" w:space="0" w:color="8C8B8E" w:themeColor="text1" w:themeTint="99"/>
            </w:tcBorders>
            <w:shd w:val="clear" w:color="auto" w:fill="D9D9D9" w:themeFill="background1" w:themeFillShade="D9"/>
          </w:tcPr>
          <w:p w14:paraId="586F815C"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color w:val="414042" w:themeColor="text1"/>
                <w:sz w:val="20"/>
              </w:rPr>
              <w:t>331</w:t>
            </w:r>
          </w:p>
        </w:tc>
        <w:tc>
          <w:tcPr>
            <w:tcW w:w="964" w:type="dxa"/>
            <w:tcBorders>
              <w:bottom w:val="double" w:sz="4" w:space="0" w:color="8C8B8E" w:themeColor="text1" w:themeTint="99"/>
              <w:right w:val="single" w:sz="2" w:space="0" w:color="8C8B8E" w:themeColor="text1" w:themeTint="99"/>
            </w:tcBorders>
            <w:shd w:val="clear" w:color="auto" w:fill="auto"/>
          </w:tcPr>
          <w:p w14:paraId="48C29983"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color w:val="414042" w:themeColor="text1"/>
                <w:sz w:val="20"/>
              </w:rPr>
              <w:t>332</w:t>
            </w:r>
          </w:p>
        </w:tc>
        <w:tc>
          <w:tcPr>
            <w:tcW w:w="964" w:type="dxa"/>
            <w:tcBorders>
              <w:left w:val="single" w:sz="2" w:space="0" w:color="8C8B8E" w:themeColor="text1" w:themeTint="99"/>
              <w:bottom w:val="double" w:sz="4" w:space="0" w:color="8C8B8E" w:themeColor="text1" w:themeTint="99"/>
            </w:tcBorders>
            <w:shd w:val="clear" w:color="auto" w:fill="D9D9D9" w:themeFill="background1" w:themeFillShade="D9"/>
          </w:tcPr>
          <w:p w14:paraId="6C88106D"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color w:val="414042" w:themeColor="text1"/>
                <w:sz w:val="20"/>
              </w:rPr>
              <w:t>693</w:t>
            </w:r>
          </w:p>
        </w:tc>
        <w:tc>
          <w:tcPr>
            <w:tcW w:w="964" w:type="dxa"/>
            <w:tcBorders>
              <w:bottom w:val="double" w:sz="4" w:space="0" w:color="8C8B8E" w:themeColor="text1" w:themeTint="99"/>
              <w:right w:val="single" w:sz="4" w:space="0" w:color="8C8B8E" w:themeColor="text1" w:themeTint="99"/>
            </w:tcBorders>
            <w:shd w:val="clear" w:color="auto" w:fill="auto"/>
          </w:tcPr>
          <w:p w14:paraId="3AEB1DA2"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color w:val="414042" w:themeColor="text1"/>
                <w:sz w:val="20"/>
              </w:rPr>
              <w:t>-</w:t>
            </w:r>
          </w:p>
        </w:tc>
        <w:tc>
          <w:tcPr>
            <w:tcW w:w="964" w:type="dxa"/>
            <w:tcBorders>
              <w:left w:val="single" w:sz="4" w:space="0" w:color="8C8B8E" w:themeColor="text1" w:themeTint="99"/>
              <w:bottom w:val="double" w:sz="4" w:space="0" w:color="8C8B8E" w:themeColor="text1" w:themeTint="99"/>
            </w:tcBorders>
            <w:shd w:val="clear" w:color="auto" w:fill="D9D9D9" w:themeFill="background1" w:themeFillShade="D9"/>
          </w:tcPr>
          <w:p w14:paraId="68DCA964"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414042" w:themeColor="text1"/>
                <w:sz w:val="20"/>
              </w:rPr>
            </w:pPr>
            <w:r w:rsidRPr="00DF3006">
              <w:rPr>
                <w:rFonts w:cstheme="minorHAnsi"/>
                <w:color w:val="414042" w:themeColor="text1"/>
                <w:sz w:val="20"/>
              </w:rPr>
              <w:t>-</w:t>
            </w:r>
          </w:p>
        </w:tc>
        <w:tc>
          <w:tcPr>
            <w:tcW w:w="964" w:type="dxa"/>
            <w:tcBorders>
              <w:bottom w:val="double" w:sz="4" w:space="0" w:color="8C8B8E" w:themeColor="text1" w:themeTint="99"/>
              <w:right w:val="single" w:sz="4" w:space="0" w:color="8C8B8E" w:themeColor="text1" w:themeTint="99"/>
            </w:tcBorders>
            <w:shd w:val="clear" w:color="auto" w:fill="auto"/>
          </w:tcPr>
          <w:p w14:paraId="745B3D7D"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rFonts w:cstheme="minorHAnsi"/>
                <w:color w:val="414042" w:themeColor="text1"/>
                <w:sz w:val="20"/>
              </w:rPr>
              <w:t>-</w:t>
            </w:r>
          </w:p>
        </w:tc>
        <w:tc>
          <w:tcPr>
            <w:tcW w:w="964" w:type="dxa"/>
            <w:tcBorders>
              <w:left w:val="single" w:sz="4" w:space="0" w:color="8C8B8E" w:themeColor="text1" w:themeTint="99"/>
              <w:bottom w:val="double" w:sz="4" w:space="0" w:color="8C8B8E" w:themeColor="text1" w:themeTint="99"/>
            </w:tcBorders>
            <w:shd w:val="clear" w:color="auto" w:fill="D9D9D9" w:themeFill="background1" w:themeFillShade="D9"/>
          </w:tcPr>
          <w:p w14:paraId="6B52CE48"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color w:val="414042" w:themeColor="text1"/>
                <w:sz w:val="20"/>
              </w:rPr>
              <w:t>1,024</w:t>
            </w:r>
          </w:p>
        </w:tc>
        <w:tc>
          <w:tcPr>
            <w:tcW w:w="965" w:type="dxa"/>
            <w:tcBorders>
              <w:bottom w:val="double" w:sz="4" w:space="0" w:color="8C8B8E" w:themeColor="text1" w:themeTint="99"/>
              <w:right w:val="single" w:sz="4" w:space="0" w:color="8C8B8E" w:themeColor="text1" w:themeTint="99"/>
            </w:tcBorders>
            <w:shd w:val="clear" w:color="auto" w:fill="auto"/>
          </w:tcPr>
          <w:p w14:paraId="62C09352" w14:textId="77777777" w:rsidR="00FC17BC" w:rsidRPr="00DF3006" w:rsidRDefault="00FC17BC" w:rsidP="00025E55">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color w:val="414042" w:themeColor="text1"/>
                <w:sz w:val="20"/>
              </w:rPr>
            </w:pPr>
            <w:r w:rsidRPr="00DF3006">
              <w:rPr>
                <w:color w:val="414042" w:themeColor="text1"/>
                <w:sz w:val="20"/>
              </w:rPr>
              <w:t>332</w:t>
            </w:r>
          </w:p>
        </w:tc>
      </w:tr>
    </w:tbl>
    <w:p w14:paraId="12414802" w14:textId="77777777" w:rsidR="00FC17BC" w:rsidRPr="00DF3006" w:rsidRDefault="00FC17BC" w:rsidP="005268F0">
      <w:pPr>
        <w:rPr>
          <w:color w:val="414042" w:themeColor="text1"/>
        </w:rPr>
      </w:pPr>
    </w:p>
    <w:p w14:paraId="6D742401" w14:textId="77777777" w:rsidR="00FC17BC" w:rsidRPr="00DF3006" w:rsidRDefault="00FC17BC" w:rsidP="005268F0">
      <w:pPr>
        <w:rPr>
          <w:color w:val="414042" w:themeColor="text1"/>
        </w:rPr>
      </w:pPr>
    </w:p>
    <w:p w14:paraId="1B962BCF" w14:textId="77777777" w:rsidR="00FC17BC" w:rsidRPr="00DF3006" w:rsidRDefault="00FC17BC" w:rsidP="005268F0">
      <w:pPr>
        <w:rPr>
          <w:color w:val="414042" w:themeColor="text1"/>
        </w:rPr>
      </w:pPr>
    </w:p>
    <w:p w14:paraId="6B1B57F9" w14:textId="77777777" w:rsidR="00FC17BC" w:rsidRPr="00DF3006" w:rsidRDefault="00FC17BC" w:rsidP="00FC17BC">
      <w:pPr>
        <w:pStyle w:val="Normal115pttext"/>
        <w:spacing w:line="240" w:lineRule="auto"/>
        <w:rPr>
          <w:color w:val="414042" w:themeColor="text1"/>
        </w:rPr>
      </w:pPr>
      <w:r w:rsidRPr="00DF3006">
        <w:rPr>
          <w:color w:val="414042" w:themeColor="text1"/>
        </w:rPr>
        <w:t>Note 12:  Payables</w:t>
      </w:r>
    </w:p>
    <w:p w14:paraId="130AD901" w14:textId="77777777" w:rsidR="00FC17BC" w:rsidRPr="00DF3006" w:rsidRDefault="00FC17BC" w:rsidP="00FC17BC">
      <w:pPr>
        <w:pStyle w:val="Normal1stpara"/>
        <w:spacing w:line="240" w:lineRule="auto"/>
        <w:rPr>
          <w:color w:val="414042" w:themeColor="text1"/>
        </w:rPr>
      </w:pPr>
    </w:p>
    <w:tbl>
      <w:tblPr>
        <w:tblStyle w:val="TableGrid"/>
        <w:tblW w:w="9209" w:type="dxa"/>
        <w:tblCellMar>
          <w:top w:w="113" w:type="dxa"/>
          <w:bottom w:w="113" w:type="dxa"/>
        </w:tblCellMar>
        <w:tblLook w:val="04A0" w:firstRow="1" w:lastRow="0" w:firstColumn="1" w:lastColumn="0" w:noHBand="0" w:noVBand="1"/>
      </w:tblPr>
      <w:tblGrid>
        <w:gridCol w:w="9209"/>
      </w:tblGrid>
      <w:tr w:rsidR="00FC17BC" w:rsidRPr="00DF3006" w14:paraId="0D1DAF32" w14:textId="77777777" w:rsidTr="00025E55">
        <w:tc>
          <w:tcPr>
            <w:tcW w:w="9209" w:type="dxa"/>
          </w:tcPr>
          <w:p w14:paraId="2233C46C"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37031A88" w14:textId="77777777" w:rsidR="00FC17BC" w:rsidRPr="00DF3006" w:rsidRDefault="00FC17BC" w:rsidP="00025E55">
            <w:pPr>
              <w:pStyle w:val="Policy1stpara"/>
              <w:spacing w:line="240" w:lineRule="auto"/>
              <w:rPr>
                <w:color w:val="414042" w:themeColor="text1"/>
                <w:sz w:val="16"/>
                <w:szCs w:val="16"/>
              </w:rPr>
            </w:pPr>
            <w:r w:rsidRPr="00DF3006">
              <w:rPr>
                <w:b/>
                <w:i/>
                <w:color w:val="414042" w:themeColor="text1"/>
              </w:rPr>
              <w:t>Payables</w:t>
            </w:r>
            <w:r w:rsidRPr="00DF3006">
              <w:rPr>
                <w:color w:val="414042" w:themeColor="text1"/>
              </w:rPr>
              <w:t xml:space="preserve"> – The CCC recognises creditors upon receipt of the goods or services and are measured at the agreed purchase price or contract price including any trade and other discounts when goods and services ordered are received.  Amounts owing are unsecured and are generally settled on 30-day terms. While these are generally settled on 30-day terms, due to COVID-19 the CCC is currently paying its suppliers on zero-day payments terms. </w:t>
            </w:r>
          </w:p>
        </w:tc>
      </w:tr>
    </w:tbl>
    <w:p w14:paraId="46D6D832" w14:textId="77777777" w:rsidR="00FC17BC" w:rsidRPr="00DF3006" w:rsidRDefault="00FC17BC" w:rsidP="00FC17BC">
      <w:pPr>
        <w:rPr>
          <w:color w:val="414042" w:themeColor="text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6BED6492" w14:textId="77777777" w:rsidTr="00025E55">
        <w:trPr>
          <w:trHeight w:val="20"/>
        </w:trPr>
        <w:tc>
          <w:tcPr>
            <w:tcW w:w="5529" w:type="dxa"/>
            <w:tcBorders>
              <w:top w:val="nil"/>
              <w:left w:val="nil"/>
              <w:bottom w:val="nil"/>
            </w:tcBorders>
            <w:noWrap/>
            <w:tcMar>
              <w:left w:w="0" w:type="dxa"/>
              <w:right w:w="0" w:type="dxa"/>
            </w:tcMar>
            <w:vAlign w:val="bottom"/>
          </w:tcPr>
          <w:p w14:paraId="3B30D77F"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5BC7FB1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1F8F7B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674467E5"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652A76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73D88197" w14:textId="77777777" w:rsidTr="00025E55">
        <w:trPr>
          <w:trHeight w:val="20"/>
        </w:trPr>
        <w:tc>
          <w:tcPr>
            <w:tcW w:w="5529" w:type="dxa"/>
            <w:tcBorders>
              <w:top w:val="nil"/>
              <w:left w:val="nil"/>
              <w:bottom w:val="nil"/>
            </w:tcBorders>
            <w:noWrap/>
            <w:tcMar>
              <w:left w:w="0" w:type="dxa"/>
              <w:right w:w="0" w:type="dxa"/>
            </w:tcMar>
            <w:vAlign w:val="bottom"/>
          </w:tcPr>
          <w:p w14:paraId="0D3837CB"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40C118E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4AE410B5"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2A61C699"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40CA311"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08C010E2" w14:textId="77777777" w:rsidTr="00025E55">
        <w:trPr>
          <w:trHeight w:val="20"/>
        </w:trPr>
        <w:tc>
          <w:tcPr>
            <w:tcW w:w="5529" w:type="dxa"/>
            <w:tcBorders>
              <w:top w:val="nil"/>
              <w:left w:val="nil"/>
              <w:bottom w:val="nil"/>
            </w:tcBorders>
            <w:noWrap/>
            <w:tcMar>
              <w:left w:w="0" w:type="dxa"/>
              <w:right w:w="0" w:type="dxa"/>
            </w:tcMar>
          </w:tcPr>
          <w:p w14:paraId="53F06375" w14:textId="77777777" w:rsidR="00FC17BC" w:rsidRPr="00DF3006" w:rsidRDefault="00FC17BC" w:rsidP="00025E55">
            <w:pPr>
              <w:pStyle w:val="Normaltabletextleft"/>
              <w:spacing w:line="240" w:lineRule="auto"/>
              <w:rPr>
                <w:b/>
                <w:color w:val="414042" w:themeColor="text1"/>
                <w:lang w:eastAsia="en-AU"/>
              </w:rPr>
            </w:pPr>
          </w:p>
          <w:p w14:paraId="48246508"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Contractual Payables</w:t>
            </w:r>
          </w:p>
        </w:tc>
        <w:tc>
          <w:tcPr>
            <w:tcW w:w="567" w:type="dxa"/>
            <w:tcBorders>
              <w:top w:val="nil"/>
              <w:bottom w:val="nil"/>
            </w:tcBorders>
            <w:noWrap/>
            <w:tcMar>
              <w:left w:w="0" w:type="dxa"/>
              <w:right w:w="0" w:type="dxa"/>
            </w:tcMar>
            <w:vAlign w:val="bottom"/>
          </w:tcPr>
          <w:p w14:paraId="3744C277"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3E531E9" w14:textId="77777777" w:rsidR="00FC17BC" w:rsidRPr="00DF3006" w:rsidRDefault="00FC17BC" w:rsidP="00025E55">
            <w:pPr>
              <w:pStyle w:val="Normaltabletextleft"/>
              <w:spacing w:line="240" w:lineRule="auto"/>
              <w:rPr>
                <w:color w:val="414042" w:themeColor="text1"/>
                <w:lang w:eastAsia="en-AU"/>
              </w:rPr>
            </w:pPr>
          </w:p>
        </w:tc>
        <w:tc>
          <w:tcPr>
            <w:tcW w:w="283" w:type="dxa"/>
            <w:tcBorders>
              <w:top w:val="nil"/>
              <w:bottom w:val="nil"/>
            </w:tcBorders>
            <w:noWrap/>
          </w:tcPr>
          <w:p w14:paraId="6AB899F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6F6E51B"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0E42BC75" w14:textId="77777777" w:rsidTr="00025E55">
        <w:trPr>
          <w:trHeight w:val="20"/>
        </w:trPr>
        <w:tc>
          <w:tcPr>
            <w:tcW w:w="5529" w:type="dxa"/>
            <w:tcBorders>
              <w:top w:val="nil"/>
              <w:left w:val="nil"/>
              <w:bottom w:val="nil"/>
            </w:tcBorders>
            <w:noWrap/>
            <w:tcMar>
              <w:left w:w="0" w:type="dxa"/>
              <w:right w:w="0" w:type="dxa"/>
            </w:tcMar>
          </w:tcPr>
          <w:p w14:paraId="4B5459EF"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Creditors</w:t>
            </w:r>
          </w:p>
        </w:tc>
        <w:tc>
          <w:tcPr>
            <w:tcW w:w="567" w:type="dxa"/>
            <w:tcBorders>
              <w:top w:val="nil"/>
              <w:bottom w:val="nil"/>
            </w:tcBorders>
            <w:noWrap/>
            <w:tcMar>
              <w:left w:w="0" w:type="dxa"/>
              <w:right w:w="0" w:type="dxa"/>
            </w:tcMar>
            <w:vAlign w:val="bottom"/>
          </w:tcPr>
          <w:p w14:paraId="7E0B09A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87D3D3C"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838</w:t>
            </w:r>
          </w:p>
        </w:tc>
        <w:tc>
          <w:tcPr>
            <w:tcW w:w="283" w:type="dxa"/>
            <w:tcBorders>
              <w:top w:val="nil"/>
              <w:bottom w:val="nil"/>
            </w:tcBorders>
            <w:noWrap/>
          </w:tcPr>
          <w:p w14:paraId="47A2CEE2"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BE794C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1,246</w:t>
            </w:r>
          </w:p>
        </w:tc>
      </w:tr>
      <w:tr w:rsidR="00DF3006" w:rsidRPr="00DF3006" w14:paraId="48D1890C" w14:textId="77777777" w:rsidTr="00025E55">
        <w:trPr>
          <w:trHeight w:val="20"/>
        </w:trPr>
        <w:tc>
          <w:tcPr>
            <w:tcW w:w="5529" w:type="dxa"/>
            <w:tcBorders>
              <w:top w:val="nil"/>
              <w:left w:val="nil"/>
              <w:bottom w:val="nil"/>
            </w:tcBorders>
            <w:noWrap/>
            <w:tcMar>
              <w:left w:w="0" w:type="dxa"/>
              <w:right w:w="0" w:type="dxa"/>
            </w:tcMar>
          </w:tcPr>
          <w:p w14:paraId="31449026"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Queensland Police Service</w:t>
            </w:r>
          </w:p>
        </w:tc>
        <w:tc>
          <w:tcPr>
            <w:tcW w:w="567" w:type="dxa"/>
            <w:tcBorders>
              <w:top w:val="nil"/>
              <w:bottom w:val="nil"/>
            </w:tcBorders>
            <w:noWrap/>
            <w:tcMar>
              <w:left w:w="0" w:type="dxa"/>
              <w:right w:w="0" w:type="dxa"/>
            </w:tcMar>
            <w:vAlign w:val="bottom"/>
          </w:tcPr>
          <w:p w14:paraId="2E5ACBC3"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single" w:sz="4" w:space="0" w:color="auto"/>
            </w:tcBorders>
            <w:shd w:val="clear" w:color="auto" w:fill="D9D9D9" w:themeFill="background1" w:themeFillShade="D9"/>
            <w:noWrap/>
            <w:tcMar>
              <w:left w:w="0" w:type="dxa"/>
              <w:right w:w="113" w:type="dxa"/>
            </w:tcMar>
            <w:vAlign w:val="bottom"/>
          </w:tcPr>
          <w:p w14:paraId="6C47B60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1,361</w:t>
            </w:r>
          </w:p>
        </w:tc>
        <w:tc>
          <w:tcPr>
            <w:tcW w:w="283" w:type="dxa"/>
            <w:tcBorders>
              <w:top w:val="nil"/>
              <w:bottom w:val="nil"/>
            </w:tcBorders>
            <w:noWrap/>
          </w:tcPr>
          <w:p w14:paraId="161F219B"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435902E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1,407</w:t>
            </w:r>
          </w:p>
        </w:tc>
      </w:tr>
      <w:tr w:rsidR="00DF3006" w:rsidRPr="00DF3006" w14:paraId="4FE6F822" w14:textId="77777777" w:rsidTr="00025E55">
        <w:trPr>
          <w:trHeight w:val="20"/>
        </w:trPr>
        <w:tc>
          <w:tcPr>
            <w:tcW w:w="5529" w:type="dxa"/>
            <w:tcBorders>
              <w:top w:val="nil"/>
              <w:left w:val="nil"/>
              <w:bottom w:val="nil"/>
            </w:tcBorders>
            <w:noWrap/>
            <w:tcMar>
              <w:left w:w="0" w:type="dxa"/>
              <w:right w:w="0" w:type="dxa"/>
            </w:tcMar>
          </w:tcPr>
          <w:p w14:paraId="29837A7C" w14:textId="77777777" w:rsidR="00FC17BC" w:rsidRPr="00DF3006" w:rsidRDefault="00FC17BC" w:rsidP="00025E55">
            <w:pPr>
              <w:pStyle w:val="Normaltabletextleft"/>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33FEBAD1"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nil"/>
            </w:tcBorders>
            <w:shd w:val="clear" w:color="auto" w:fill="D9D9D9" w:themeFill="background1" w:themeFillShade="D9"/>
            <w:noWrap/>
            <w:tcMar>
              <w:left w:w="0" w:type="dxa"/>
              <w:right w:w="113" w:type="dxa"/>
            </w:tcMar>
            <w:vAlign w:val="bottom"/>
          </w:tcPr>
          <w:p w14:paraId="4E51C09D"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2,199</w:t>
            </w:r>
          </w:p>
        </w:tc>
        <w:tc>
          <w:tcPr>
            <w:tcW w:w="283" w:type="dxa"/>
            <w:tcBorders>
              <w:top w:val="nil"/>
              <w:bottom w:val="nil"/>
            </w:tcBorders>
            <w:noWrap/>
          </w:tcPr>
          <w:p w14:paraId="315714F6"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74CBF79B"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2,653</w:t>
            </w:r>
          </w:p>
        </w:tc>
      </w:tr>
      <w:tr w:rsidR="00DF3006" w:rsidRPr="00DF3006" w14:paraId="7D25DDBC" w14:textId="77777777" w:rsidTr="00025E55">
        <w:trPr>
          <w:trHeight w:val="20"/>
        </w:trPr>
        <w:tc>
          <w:tcPr>
            <w:tcW w:w="5529" w:type="dxa"/>
            <w:tcBorders>
              <w:top w:val="nil"/>
              <w:left w:val="nil"/>
              <w:bottom w:val="nil"/>
            </w:tcBorders>
            <w:noWrap/>
            <w:tcMar>
              <w:left w:w="0" w:type="dxa"/>
              <w:right w:w="0" w:type="dxa"/>
            </w:tcMar>
          </w:tcPr>
          <w:p w14:paraId="6ACA0FE2"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Statutory Payables</w:t>
            </w:r>
          </w:p>
        </w:tc>
        <w:tc>
          <w:tcPr>
            <w:tcW w:w="567" w:type="dxa"/>
            <w:tcBorders>
              <w:top w:val="nil"/>
              <w:bottom w:val="nil"/>
            </w:tcBorders>
            <w:noWrap/>
            <w:tcMar>
              <w:left w:w="0" w:type="dxa"/>
              <w:right w:w="0" w:type="dxa"/>
            </w:tcMar>
            <w:vAlign w:val="bottom"/>
          </w:tcPr>
          <w:p w14:paraId="64D041A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4732A30" w14:textId="77777777" w:rsidR="00FC17BC" w:rsidRPr="00DF3006" w:rsidRDefault="00FC17BC" w:rsidP="00025E55">
            <w:pPr>
              <w:pStyle w:val="Normaltabletext1stpararight"/>
              <w:spacing w:line="240" w:lineRule="auto"/>
              <w:rPr>
                <w:b/>
                <w:color w:val="414042" w:themeColor="text1"/>
                <w:lang w:eastAsia="en-AU"/>
              </w:rPr>
            </w:pPr>
          </w:p>
        </w:tc>
        <w:tc>
          <w:tcPr>
            <w:tcW w:w="283" w:type="dxa"/>
            <w:tcBorders>
              <w:top w:val="nil"/>
              <w:bottom w:val="nil"/>
            </w:tcBorders>
            <w:noWrap/>
          </w:tcPr>
          <w:p w14:paraId="712645B5"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44D1B86" w14:textId="77777777" w:rsidR="00FC17BC" w:rsidRPr="00DF3006" w:rsidRDefault="00FC17BC" w:rsidP="00025E55">
            <w:pPr>
              <w:pStyle w:val="Normaltabletext1stpararight"/>
              <w:spacing w:line="240" w:lineRule="auto"/>
              <w:rPr>
                <w:b/>
                <w:color w:val="414042" w:themeColor="text1"/>
                <w:lang w:eastAsia="en-AU"/>
              </w:rPr>
            </w:pPr>
          </w:p>
        </w:tc>
      </w:tr>
      <w:tr w:rsidR="00DF3006" w:rsidRPr="00DF3006" w14:paraId="3D725CA7" w14:textId="77777777" w:rsidTr="00025E55">
        <w:trPr>
          <w:trHeight w:val="20"/>
        </w:trPr>
        <w:tc>
          <w:tcPr>
            <w:tcW w:w="5529" w:type="dxa"/>
            <w:tcBorders>
              <w:top w:val="nil"/>
              <w:left w:val="nil"/>
              <w:bottom w:val="nil"/>
            </w:tcBorders>
            <w:noWrap/>
            <w:tcMar>
              <w:left w:w="0" w:type="dxa"/>
              <w:right w:w="0" w:type="dxa"/>
            </w:tcMar>
          </w:tcPr>
          <w:p w14:paraId="30B87161"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Payroll Tax</w:t>
            </w:r>
          </w:p>
        </w:tc>
        <w:tc>
          <w:tcPr>
            <w:tcW w:w="567" w:type="dxa"/>
            <w:tcBorders>
              <w:top w:val="nil"/>
              <w:bottom w:val="nil"/>
            </w:tcBorders>
            <w:noWrap/>
            <w:tcMar>
              <w:left w:w="0" w:type="dxa"/>
              <w:right w:w="0" w:type="dxa"/>
            </w:tcMar>
            <w:vAlign w:val="bottom"/>
          </w:tcPr>
          <w:p w14:paraId="2EE26849"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EC78E63" w14:textId="77777777" w:rsidR="00FC17BC" w:rsidRPr="00DF3006" w:rsidRDefault="00FC17BC" w:rsidP="00025E55">
            <w:pPr>
              <w:pStyle w:val="Normaltabletextleft"/>
              <w:spacing w:line="240" w:lineRule="auto"/>
              <w:jc w:val="right"/>
              <w:rPr>
                <w:color w:val="414042" w:themeColor="text1"/>
                <w:lang w:eastAsia="en-AU"/>
              </w:rPr>
            </w:pPr>
            <w:r w:rsidRPr="00DF3006">
              <w:rPr>
                <w:color w:val="414042" w:themeColor="text1"/>
                <w:lang w:eastAsia="en-AU"/>
              </w:rPr>
              <w:t>122</w:t>
            </w:r>
          </w:p>
        </w:tc>
        <w:tc>
          <w:tcPr>
            <w:tcW w:w="283" w:type="dxa"/>
            <w:tcBorders>
              <w:top w:val="nil"/>
              <w:bottom w:val="nil"/>
            </w:tcBorders>
            <w:noWrap/>
          </w:tcPr>
          <w:p w14:paraId="08AE4BF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1A476E8" w14:textId="77777777" w:rsidR="00FC17BC" w:rsidRPr="00DF3006" w:rsidRDefault="00FC17BC" w:rsidP="00025E55">
            <w:pPr>
              <w:pStyle w:val="Normaltabletextleft"/>
              <w:spacing w:line="240" w:lineRule="auto"/>
              <w:jc w:val="right"/>
              <w:rPr>
                <w:color w:val="414042" w:themeColor="text1"/>
                <w:lang w:eastAsia="en-AU"/>
              </w:rPr>
            </w:pPr>
            <w:r w:rsidRPr="00DF3006">
              <w:rPr>
                <w:color w:val="414042" w:themeColor="text1"/>
                <w:lang w:eastAsia="en-AU"/>
              </w:rPr>
              <w:t>115</w:t>
            </w:r>
          </w:p>
        </w:tc>
      </w:tr>
      <w:tr w:rsidR="00DF3006" w:rsidRPr="00DF3006" w14:paraId="72EA168C" w14:textId="77777777" w:rsidTr="00025E55">
        <w:trPr>
          <w:trHeight w:val="20"/>
        </w:trPr>
        <w:tc>
          <w:tcPr>
            <w:tcW w:w="5529" w:type="dxa"/>
            <w:tcBorders>
              <w:top w:val="nil"/>
              <w:left w:val="nil"/>
              <w:bottom w:val="nil"/>
            </w:tcBorders>
            <w:noWrap/>
            <w:tcMar>
              <w:left w:w="0" w:type="dxa"/>
              <w:right w:w="0" w:type="dxa"/>
            </w:tcMar>
          </w:tcPr>
          <w:p w14:paraId="67593940"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Superannuation</w:t>
            </w:r>
          </w:p>
        </w:tc>
        <w:tc>
          <w:tcPr>
            <w:tcW w:w="567" w:type="dxa"/>
            <w:tcBorders>
              <w:top w:val="nil"/>
              <w:bottom w:val="nil"/>
            </w:tcBorders>
            <w:noWrap/>
            <w:tcMar>
              <w:left w:w="0" w:type="dxa"/>
              <w:right w:w="0" w:type="dxa"/>
            </w:tcMar>
            <w:vAlign w:val="bottom"/>
          </w:tcPr>
          <w:p w14:paraId="64F62A22"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2BB4B0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c>
          <w:tcPr>
            <w:tcW w:w="283" w:type="dxa"/>
            <w:tcBorders>
              <w:top w:val="nil"/>
              <w:bottom w:val="nil"/>
            </w:tcBorders>
            <w:noWrap/>
          </w:tcPr>
          <w:p w14:paraId="763AC606"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7CBDD0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r>
      <w:tr w:rsidR="00DF3006" w:rsidRPr="00DF3006" w14:paraId="1F35886F" w14:textId="77777777" w:rsidTr="00025E55">
        <w:trPr>
          <w:trHeight w:val="20"/>
        </w:trPr>
        <w:tc>
          <w:tcPr>
            <w:tcW w:w="5529" w:type="dxa"/>
            <w:tcBorders>
              <w:top w:val="nil"/>
              <w:left w:val="nil"/>
              <w:bottom w:val="nil"/>
            </w:tcBorders>
            <w:noWrap/>
            <w:tcMar>
              <w:left w:w="0" w:type="dxa"/>
              <w:right w:w="0" w:type="dxa"/>
            </w:tcMar>
          </w:tcPr>
          <w:p w14:paraId="196FF8FD" w14:textId="77777777" w:rsidR="00FC17BC" w:rsidRPr="00DF3006" w:rsidRDefault="00FC17BC" w:rsidP="00025E55">
            <w:pPr>
              <w:pStyle w:val="Normaltabletextleft"/>
              <w:spacing w:line="240" w:lineRule="auto"/>
              <w:rPr>
                <w:color w:val="414042" w:themeColor="text1"/>
                <w:highlight w:val="yellow"/>
                <w:lang w:eastAsia="en-AU"/>
              </w:rPr>
            </w:pPr>
            <w:r w:rsidRPr="00DF3006">
              <w:rPr>
                <w:color w:val="414042" w:themeColor="text1"/>
                <w:lang w:eastAsia="en-AU"/>
              </w:rPr>
              <w:t xml:space="preserve">Fringe Benefits Tax </w:t>
            </w:r>
          </w:p>
        </w:tc>
        <w:tc>
          <w:tcPr>
            <w:tcW w:w="567" w:type="dxa"/>
            <w:tcBorders>
              <w:top w:val="nil"/>
              <w:bottom w:val="nil"/>
            </w:tcBorders>
            <w:noWrap/>
            <w:tcMar>
              <w:left w:w="0" w:type="dxa"/>
              <w:right w:w="0" w:type="dxa"/>
            </w:tcMar>
            <w:vAlign w:val="bottom"/>
          </w:tcPr>
          <w:p w14:paraId="77AFCCC3"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single" w:sz="4" w:space="0" w:color="auto"/>
            </w:tcBorders>
            <w:shd w:val="clear" w:color="auto" w:fill="D9D9D9" w:themeFill="background1" w:themeFillShade="D9"/>
            <w:noWrap/>
            <w:tcMar>
              <w:left w:w="0" w:type="dxa"/>
              <w:right w:w="113" w:type="dxa"/>
            </w:tcMar>
            <w:vAlign w:val="bottom"/>
          </w:tcPr>
          <w:p w14:paraId="2E4F404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30</w:t>
            </w:r>
          </w:p>
        </w:tc>
        <w:tc>
          <w:tcPr>
            <w:tcW w:w="283" w:type="dxa"/>
            <w:tcBorders>
              <w:top w:val="nil"/>
              <w:bottom w:val="nil"/>
            </w:tcBorders>
            <w:noWrap/>
          </w:tcPr>
          <w:p w14:paraId="31621CA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1BF19D8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30</w:t>
            </w:r>
          </w:p>
        </w:tc>
      </w:tr>
      <w:tr w:rsidR="00DF3006" w:rsidRPr="00DF3006" w14:paraId="2BFACED3" w14:textId="77777777" w:rsidTr="00025E55">
        <w:trPr>
          <w:trHeight w:val="20"/>
        </w:trPr>
        <w:tc>
          <w:tcPr>
            <w:tcW w:w="5529" w:type="dxa"/>
            <w:tcBorders>
              <w:top w:val="nil"/>
              <w:left w:val="nil"/>
              <w:bottom w:val="nil"/>
            </w:tcBorders>
            <w:noWrap/>
            <w:tcMar>
              <w:left w:w="0" w:type="dxa"/>
              <w:right w:w="0" w:type="dxa"/>
            </w:tcMar>
            <w:vAlign w:val="bottom"/>
          </w:tcPr>
          <w:p w14:paraId="63BFC0DF" w14:textId="77777777" w:rsidR="00FC17BC" w:rsidRPr="00DF3006" w:rsidRDefault="00FC17BC" w:rsidP="00025E55">
            <w:pPr>
              <w:pStyle w:val="Normaltabletextleft"/>
              <w:tabs>
                <w:tab w:val="left" w:pos="0"/>
              </w:tabs>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4E570DD7"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nil"/>
            </w:tcBorders>
            <w:shd w:val="clear" w:color="auto" w:fill="D9D9D9" w:themeFill="background1" w:themeFillShade="D9"/>
            <w:noWrap/>
            <w:tcMar>
              <w:left w:w="0" w:type="dxa"/>
              <w:right w:w="113" w:type="dxa"/>
            </w:tcMar>
            <w:vAlign w:val="bottom"/>
          </w:tcPr>
          <w:p w14:paraId="7CBAE158"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152</w:t>
            </w:r>
          </w:p>
        </w:tc>
        <w:tc>
          <w:tcPr>
            <w:tcW w:w="283" w:type="dxa"/>
            <w:tcBorders>
              <w:top w:val="nil"/>
              <w:bottom w:val="nil"/>
            </w:tcBorders>
            <w:noWrap/>
          </w:tcPr>
          <w:p w14:paraId="2863F0EB"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1D1E3C44"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145</w:t>
            </w:r>
          </w:p>
        </w:tc>
      </w:tr>
      <w:tr w:rsidR="00DF3006" w:rsidRPr="00DF3006" w14:paraId="68C705CD" w14:textId="77777777" w:rsidTr="00025E55">
        <w:trPr>
          <w:trHeight w:val="20"/>
        </w:trPr>
        <w:tc>
          <w:tcPr>
            <w:tcW w:w="5529" w:type="dxa"/>
            <w:tcBorders>
              <w:top w:val="nil"/>
              <w:left w:val="nil"/>
              <w:bottom w:val="nil"/>
            </w:tcBorders>
            <w:noWrap/>
            <w:tcMar>
              <w:left w:w="0" w:type="dxa"/>
              <w:right w:w="0" w:type="dxa"/>
            </w:tcMar>
            <w:vAlign w:val="bottom"/>
          </w:tcPr>
          <w:p w14:paraId="4FDD517D" w14:textId="77777777" w:rsidR="00FC17BC" w:rsidRPr="00DF3006" w:rsidRDefault="00FC17BC" w:rsidP="00025E55">
            <w:pPr>
              <w:pStyle w:val="Normaltabletextleft"/>
              <w:tabs>
                <w:tab w:val="left" w:pos="0"/>
              </w:tabs>
              <w:spacing w:line="240" w:lineRule="auto"/>
              <w:rPr>
                <w:b/>
                <w:color w:val="414042" w:themeColor="text1"/>
                <w:lang w:eastAsia="en-AU"/>
              </w:rPr>
            </w:pPr>
          </w:p>
        </w:tc>
        <w:tc>
          <w:tcPr>
            <w:tcW w:w="567" w:type="dxa"/>
            <w:tcBorders>
              <w:top w:val="nil"/>
              <w:bottom w:val="nil"/>
            </w:tcBorders>
            <w:noWrap/>
            <w:tcMar>
              <w:left w:w="0" w:type="dxa"/>
              <w:right w:w="0" w:type="dxa"/>
            </w:tcMar>
            <w:vAlign w:val="bottom"/>
          </w:tcPr>
          <w:p w14:paraId="788C0445"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nil"/>
              <w:bottom w:val="single" w:sz="4" w:space="0" w:color="auto"/>
            </w:tcBorders>
            <w:shd w:val="clear" w:color="auto" w:fill="D9D9D9" w:themeFill="background1" w:themeFillShade="D9"/>
            <w:noWrap/>
            <w:tcMar>
              <w:left w:w="0" w:type="dxa"/>
              <w:right w:w="113" w:type="dxa"/>
            </w:tcMar>
            <w:vAlign w:val="bottom"/>
          </w:tcPr>
          <w:p w14:paraId="2E8CBF6E" w14:textId="77777777" w:rsidR="00FC17BC" w:rsidRPr="00DF3006" w:rsidRDefault="00FC17BC" w:rsidP="00025E55">
            <w:pPr>
              <w:pStyle w:val="Normaltabletext1stpararight"/>
              <w:spacing w:line="240" w:lineRule="auto"/>
              <w:rPr>
                <w:b/>
                <w:iCs/>
                <w:color w:val="414042" w:themeColor="text1"/>
                <w:lang w:eastAsia="en-AU"/>
              </w:rPr>
            </w:pPr>
          </w:p>
        </w:tc>
        <w:tc>
          <w:tcPr>
            <w:tcW w:w="283" w:type="dxa"/>
            <w:tcBorders>
              <w:top w:val="nil"/>
              <w:bottom w:val="nil"/>
            </w:tcBorders>
            <w:noWrap/>
          </w:tcPr>
          <w:p w14:paraId="6898BC3F" w14:textId="77777777" w:rsidR="00FC17BC" w:rsidRPr="00DF3006" w:rsidRDefault="00FC17BC" w:rsidP="00025E55">
            <w:pPr>
              <w:pStyle w:val="Normaltabletextleft"/>
              <w:spacing w:line="240" w:lineRule="auto"/>
              <w:rPr>
                <w:b/>
                <w:color w:val="414042" w:themeColor="text1"/>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467A9C32" w14:textId="77777777" w:rsidR="00FC17BC" w:rsidRPr="00DF3006" w:rsidRDefault="00FC17BC" w:rsidP="00025E55">
            <w:pPr>
              <w:pStyle w:val="Normaltabletext1stpararight"/>
              <w:spacing w:line="240" w:lineRule="auto"/>
              <w:rPr>
                <w:b/>
                <w:iCs/>
                <w:color w:val="414042" w:themeColor="text1"/>
                <w:lang w:eastAsia="en-AU"/>
              </w:rPr>
            </w:pPr>
          </w:p>
        </w:tc>
      </w:tr>
      <w:tr w:rsidR="00DF3006" w:rsidRPr="00DF3006" w14:paraId="04FA4034" w14:textId="77777777" w:rsidTr="00025E55">
        <w:trPr>
          <w:trHeight w:val="20"/>
        </w:trPr>
        <w:tc>
          <w:tcPr>
            <w:tcW w:w="5529" w:type="dxa"/>
            <w:tcBorders>
              <w:top w:val="nil"/>
              <w:left w:val="nil"/>
              <w:bottom w:val="nil"/>
            </w:tcBorders>
            <w:noWrap/>
            <w:tcMar>
              <w:left w:w="0" w:type="dxa"/>
              <w:right w:w="0" w:type="dxa"/>
            </w:tcMar>
            <w:vAlign w:val="bottom"/>
          </w:tcPr>
          <w:p w14:paraId="363668EF"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60645C09"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052B9C7D"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2,351</w:t>
            </w:r>
          </w:p>
        </w:tc>
        <w:tc>
          <w:tcPr>
            <w:tcW w:w="283" w:type="dxa"/>
            <w:tcBorders>
              <w:top w:val="nil"/>
              <w:bottom w:val="nil"/>
            </w:tcBorders>
            <w:noWrap/>
          </w:tcPr>
          <w:p w14:paraId="751F2B5E"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47CFABAF"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2,798</w:t>
            </w:r>
          </w:p>
        </w:tc>
      </w:tr>
    </w:tbl>
    <w:p w14:paraId="0F7DC663" w14:textId="77777777" w:rsidR="00FC17BC" w:rsidRPr="00DF3006" w:rsidRDefault="00FC17BC" w:rsidP="00FC17BC">
      <w:pPr>
        <w:pStyle w:val="Noteswithhangingindent"/>
        <w:spacing w:line="240" w:lineRule="auto"/>
        <w:rPr>
          <w:vertAlign w:val="superscript"/>
        </w:rPr>
      </w:pPr>
    </w:p>
    <w:p w14:paraId="67307FFB" w14:textId="77777777" w:rsidR="00FC17BC" w:rsidRPr="00DF3006" w:rsidRDefault="00FC17BC" w:rsidP="00FC17BC">
      <w:pPr>
        <w:pStyle w:val="Noteswithhangingindent"/>
        <w:spacing w:line="240" w:lineRule="auto"/>
        <w:rPr>
          <w:vertAlign w:val="superscript"/>
        </w:rPr>
      </w:pPr>
    </w:p>
    <w:p w14:paraId="4AAAACFB" w14:textId="77777777" w:rsidR="00FC17BC" w:rsidRPr="00DF3006" w:rsidRDefault="00FC17BC" w:rsidP="00FC17BC">
      <w:pPr>
        <w:pStyle w:val="Noteswithhangingindent"/>
        <w:spacing w:line="240" w:lineRule="auto"/>
      </w:pPr>
      <w:r w:rsidRPr="00DF3006">
        <w:t xml:space="preserve"> </w:t>
      </w:r>
    </w:p>
    <w:p w14:paraId="10BAE923" w14:textId="77777777" w:rsidR="00FC17BC" w:rsidRPr="00DF3006" w:rsidRDefault="00FC17BC" w:rsidP="00FC17BC">
      <w:pPr>
        <w:pStyle w:val="Noteswithhangingindent"/>
        <w:spacing w:line="240" w:lineRule="auto"/>
      </w:pPr>
    </w:p>
    <w:p w14:paraId="6D8E8FEC" w14:textId="77777777" w:rsidR="00FC17BC" w:rsidRPr="00DF3006" w:rsidRDefault="00FC17BC" w:rsidP="00FC17BC">
      <w:pPr>
        <w:rPr>
          <w:color w:val="414042" w:themeColor="text1"/>
          <w:lang w:eastAsia="en-AU"/>
        </w:rPr>
      </w:pPr>
    </w:p>
    <w:p w14:paraId="11343105" w14:textId="77777777" w:rsidR="00FC17BC" w:rsidRPr="00DF3006" w:rsidRDefault="00FC17BC" w:rsidP="00FC17BC">
      <w:pPr>
        <w:pStyle w:val="Normal115pttext"/>
        <w:spacing w:line="240" w:lineRule="auto"/>
        <w:rPr>
          <w:color w:val="414042" w:themeColor="text1"/>
        </w:rPr>
      </w:pPr>
      <w:r w:rsidRPr="00DF3006">
        <w:rPr>
          <w:color w:val="414042" w:themeColor="text1"/>
        </w:rPr>
        <w:t>Note 13:  Accrued Employee Benefits</w:t>
      </w:r>
      <w:r w:rsidRPr="00DF3006">
        <w:rPr>
          <w:color w:val="414042" w:themeColor="text1"/>
          <w:sz w:val="17"/>
          <w:szCs w:val="17"/>
          <w:lang w:eastAsia="en-AU"/>
        </w:rPr>
        <w:t>*</w:t>
      </w:r>
    </w:p>
    <w:p w14:paraId="1A495008" w14:textId="77777777" w:rsidR="00FC17BC" w:rsidRPr="00DF3006" w:rsidRDefault="00FC17BC" w:rsidP="00FC17BC">
      <w:pPr>
        <w:rPr>
          <w:color w:val="414042" w:themeColor="text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3FC0B3CA" w14:textId="77777777" w:rsidTr="00025E55">
        <w:trPr>
          <w:trHeight w:val="20"/>
        </w:trPr>
        <w:tc>
          <w:tcPr>
            <w:tcW w:w="5529" w:type="dxa"/>
            <w:tcBorders>
              <w:top w:val="nil"/>
              <w:left w:val="nil"/>
              <w:bottom w:val="nil"/>
            </w:tcBorders>
            <w:noWrap/>
            <w:tcMar>
              <w:left w:w="0" w:type="dxa"/>
              <w:right w:w="0" w:type="dxa"/>
            </w:tcMar>
            <w:vAlign w:val="bottom"/>
          </w:tcPr>
          <w:p w14:paraId="098FF3C3"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728743CC"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4A40DFA5"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35D0A49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0463089"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6BBF8301" w14:textId="77777777" w:rsidTr="00025E55">
        <w:trPr>
          <w:trHeight w:val="20"/>
        </w:trPr>
        <w:tc>
          <w:tcPr>
            <w:tcW w:w="5529" w:type="dxa"/>
            <w:tcBorders>
              <w:top w:val="nil"/>
              <w:left w:val="nil"/>
              <w:bottom w:val="nil"/>
            </w:tcBorders>
            <w:noWrap/>
            <w:tcMar>
              <w:left w:w="0" w:type="dxa"/>
              <w:right w:w="0" w:type="dxa"/>
            </w:tcMar>
            <w:vAlign w:val="bottom"/>
          </w:tcPr>
          <w:p w14:paraId="5EBE12D0"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3CE4ABE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BA282F3"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14865E3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1D88DAB"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3A643412" w14:textId="77777777" w:rsidTr="00025E55">
        <w:trPr>
          <w:trHeight w:val="20"/>
        </w:trPr>
        <w:tc>
          <w:tcPr>
            <w:tcW w:w="5529" w:type="dxa"/>
            <w:tcBorders>
              <w:top w:val="nil"/>
              <w:left w:val="nil"/>
              <w:bottom w:val="nil"/>
            </w:tcBorders>
            <w:noWrap/>
            <w:tcMar>
              <w:left w:w="0" w:type="dxa"/>
              <w:right w:w="0" w:type="dxa"/>
            </w:tcMar>
            <w:vAlign w:val="bottom"/>
          </w:tcPr>
          <w:p w14:paraId="2D11ABD0" w14:textId="77777777" w:rsidR="00FC17BC" w:rsidRPr="00DF3006" w:rsidRDefault="00FC17BC" w:rsidP="00025E55">
            <w:pPr>
              <w:pStyle w:val="Normaltabletextleft"/>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19F90B14"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22AC0CE"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3D335DB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69E8513"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179FE96E" w14:textId="77777777" w:rsidTr="00025E55">
        <w:trPr>
          <w:trHeight w:val="20"/>
        </w:trPr>
        <w:tc>
          <w:tcPr>
            <w:tcW w:w="5529" w:type="dxa"/>
            <w:tcBorders>
              <w:top w:val="nil"/>
              <w:left w:val="nil"/>
              <w:bottom w:val="nil"/>
            </w:tcBorders>
            <w:noWrap/>
            <w:tcMar>
              <w:left w:w="0" w:type="dxa"/>
              <w:right w:w="0" w:type="dxa"/>
            </w:tcMar>
          </w:tcPr>
          <w:p w14:paraId="312E6E48"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Wages outstanding</w:t>
            </w:r>
          </w:p>
        </w:tc>
        <w:tc>
          <w:tcPr>
            <w:tcW w:w="567" w:type="dxa"/>
            <w:tcBorders>
              <w:top w:val="nil"/>
              <w:bottom w:val="nil"/>
            </w:tcBorders>
            <w:noWrap/>
            <w:tcMar>
              <w:left w:w="0" w:type="dxa"/>
              <w:right w:w="0" w:type="dxa"/>
            </w:tcMar>
            <w:vAlign w:val="bottom"/>
          </w:tcPr>
          <w:p w14:paraId="5D498E88"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9EDD11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49</w:t>
            </w:r>
          </w:p>
        </w:tc>
        <w:tc>
          <w:tcPr>
            <w:tcW w:w="283" w:type="dxa"/>
            <w:tcBorders>
              <w:top w:val="nil"/>
              <w:bottom w:val="nil"/>
            </w:tcBorders>
            <w:noWrap/>
          </w:tcPr>
          <w:p w14:paraId="637B6FD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17D868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77</w:t>
            </w:r>
          </w:p>
        </w:tc>
      </w:tr>
      <w:tr w:rsidR="00DF3006" w:rsidRPr="00DF3006" w14:paraId="47B84F7D" w14:textId="77777777" w:rsidTr="00025E55">
        <w:trPr>
          <w:trHeight w:val="20"/>
        </w:trPr>
        <w:tc>
          <w:tcPr>
            <w:tcW w:w="5529" w:type="dxa"/>
            <w:tcBorders>
              <w:top w:val="nil"/>
              <w:left w:val="nil"/>
              <w:bottom w:val="nil"/>
            </w:tcBorders>
            <w:noWrap/>
            <w:tcMar>
              <w:left w:w="0" w:type="dxa"/>
              <w:right w:w="0" w:type="dxa"/>
            </w:tcMar>
          </w:tcPr>
          <w:p w14:paraId="6CCACD64"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Annual leave levy payable</w:t>
            </w:r>
          </w:p>
        </w:tc>
        <w:tc>
          <w:tcPr>
            <w:tcW w:w="567" w:type="dxa"/>
            <w:tcBorders>
              <w:top w:val="nil"/>
              <w:bottom w:val="nil"/>
            </w:tcBorders>
            <w:noWrap/>
            <w:tcMar>
              <w:left w:w="0" w:type="dxa"/>
              <w:right w:w="0" w:type="dxa"/>
            </w:tcMar>
            <w:vAlign w:val="bottom"/>
          </w:tcPr>
          <w:p w14:paraId="3B366A8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1A1271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716</w:t>
            </w:r>
          </w:p>
        </w:tc>
        <w:tc>
          <w:tcPr>
            <w:tcW w:w="283" w:type="dxa"/>
            <w:tcBorders>
              <w:top w:val="nil"/>
              <w:bottom w:val="nil"/>
            </w:tcBorders>
            <w:noWrap/>
          </w:tcPr>
          <w:p w14:paraId="0E656EBB"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455B97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723</w:t>
            </w:r>
          </w:p>
        </w:tc>
      </w:tr>
      <w:tr w:rsidR="00DF3006" w:rsidRPr="00DF3006" w14:paraId="4416C58D" w14:textId="77777777" w:rsidTr="00025E55">
        <w:trPr>
          <w:trHeight w:val="20"/>
        </w:trPr>
        <w:tc>
          <w:tcPr>
            <w:tcW w:w="5529" w:type="dxa"/>
            <w:tcBorders>
              <w:top w:val="nil"/>
              <w:left w:val="nil"/>
              <w:bottom w:val="nil"/>
            </w:tcBorders>
            <w:noWrap/>
            <w:tcMar>
              <w:left w:w="0" w:type="dxa"/>
              <w:right w:w="0" w:type="dxa"/>
            </w:tcMar>
          </w:tcPr>
          <w:p w14:paraId="04CE38AB"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Long service leave levy payable</w:t>
            </w:r>
          </w:p>
        </w:tc>
        <w:tc>
          <w:tcPr>
            <w:tcW w:w="567" w:type="dxa"/>
            <w:tcBorders>
              <w:top w:val="nil"/>
              <w:bottom w:val="nil"/>
            </w:tcBorders>
            <w:noWrap/>
            <w:tcMar>
              <w:left w:w="0" w:type="dxa"/>
              <w:right w:w="0" w:type="dxa"/>
            </w:tcMar>
            <w:vAlign w:val="bottom"/>
          </w:tcPr>
          <w:p w14:paraId="7660ABD2"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5AC7DD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183</w:t>
            </w:r>
          </w:p>
        </w:tc>
        <w:tc>
          <w:tcPr>
            <w:tcW w:w="283" w:type="dxa"/>
            <w:tcBorders>
              <w:top w:val="nil"/>
              <w:bottom w:val="nil"/>
            </w:tcBorders>
            <w:noWrap/>
          </w:tcPr>
          <w:p w14:paraId="75657ABF"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122EE24"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180</w:t>
            </w:r>
          </w:p>
        </w:tc>
      </w:tr>
      <w:tr w:rsidR="00DF3006" w:rsidRPr="00DF3006" w14:paraId="431F457C" w14:textId="77777777" w:rsidTr="00025E55">
        <w:trPr>
          <w:trHeight w:val="20"/>
        </w:trPr>
        <w:tc>
          <w:tcPr>
            <w:tcW w:w="5529" w:type="dxa"/>
            <w:tcBorders>
              <w:top w:val="nil"/>
              <w:left w:val="nil"/>
              <w:bottom w:val="nil"/>
            </w:tcBorders>
            <w:noWrap/>
            <w:tcMar>
              <w:left w:w="0" w:type="dxa"/>
              <w:right w:w="0" w:type="dxa"/>
            </w:tcMar>
          </w:tcPr>
          <w:p w14:paraId="38A59055"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Employee entitlement</w:t>
            </w:r>
            <w:r w:rsidRPr="00DF3006">
              <w:rPr>
                <w:rFonts w:cstheme="minorHAnsi"/>
                <w:color w:val="414042" w:themeColor="text1"/>
                <w:lang w:eastAsia="en-AU"/>
              </w:rPr>
              <w:t>¹</w:t>
            </w:r>
          </w:p>
        </w:tc>
        <w:tc>
          <w:tcPr>
            <w:tcW w:w="567" w:type="dxa"/>
            <w:tcBorders>
              <w:top w:val="nil"/>
              <w:bottom w:val="nil"/>
            </w:tcBorders>
            <w:noWrap/>
            <w:tcMar>
              <w:left w:w="0" w:type="dxa"/>
              <w:right w:w="0" w:type="dxa"/>
            </w:tcMar>
            <w:vAlign w:val="bottom"/>
          </w:tcPr>
          <w:p w14:paraId="429EEC1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65D4E934"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c>
          <w:tcPr>
            <w:tcW w:w="283" w:type="dxa"/>
            <w:tcBorders>
              <w:top w:val="nil"/>
              <w:bottom w:val="nil"/>
            </w:tcBorders>
            <w:noWrap/>
          </w:tcPr>
          <w:p w14:paraId="34035379"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EA60BC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320</w:t>
            </w:r>
          </w:p>
        </w:tc>
      </w:tr>
      <w:tr w:rsidR="00DF3006" w:rsidRPr="00DF3006" w14:paraId="58E7DFA7" w14:textId="77777777" w:rsidTr="00025E55">
        <w:trPr>
          <w:trHeight w:val="20"/>
        </w:trPr>
        <w:tc>
          <w:tcPr>
            <w:tcW w:w="5529" w:type="dxa"/>
            <w:tcBorders>
              <w:top w:val="nil"/>
              <w:left w:val="nil"/>
              <w:bottom w:val="nil"/>
            </w:tcBorders>
            <w:noWrap/>
            <w:tcMar>
              <w:left w:w="0" w:type="dxa"/>
              <w:right w:w="0" w:type="dxa"/>
            </w:tcMar>
            <w:vAlign w:val="bottom"/>
          </w:tcPr>
          <w:p w14:paraId="21B97EB0"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643DFB34"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38DAEEDB"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948</w:t>
            </w:r>
          </w:p>
        </w:tc>
        <w:tc>
          <w:tcPr>
            <w:tcW w:w="283" w:type="dxa"/>
            <w:tcBorders>
              <w:top w:val="nil"/>
              <w:bottom w:val="nil"/>
            </w:tcBorders>
            <w:noWrap/>
          </w:tcPr>
          <w:p w14:paraId="420A0FCA"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70C961F"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1,300</w:t>
            </w:r>
          </w:p>
        </w:tc>
      </w:tr>
    </w:tbl>
    <w:p w14:paraId="527BF2F1" w14:textId="77777777" w:rsidR="00FC17BC" w:rsidRPr="00DF3006" w:rsidRDefault="00FC17BC" w:rsidP="00FC17BC">
      <w:pPr>
        <w:rPr>
          <w:color w:val="414042" w:themeColor="text1"/>
          <w:lang w:eastAsia="en-AU"/>
        </w:rPr>
      </w:pPr>
    </w:p>
    <w:p w14:paraId="7823E941" w14:textId="77777777" w:rsidR="00FC17BC" w:rsidRPr="00DF3006" w:rsidRDefault="00FC17BC" w:rsidP="00FC17BC">
      <w:pPr>
        <w:tabs>
          <w:tab w:val="left" w:pos="284"/>
        </w:tabs>
        <w:rPr>
          <w:color w:val="414042" w:themeColor="text1"/>
          <w:sz w:val="17"/>
          <w:szCs w:val="17"/>
          <w:lang w:eastAsia="en-AU"/>
        </w:rPr>
      </w:pPr>
      <w:r w:rsidRPr="00DF3006">
        <w:rPr>
          <w:color w:val="414042" w:themeColor="text1"/>
          <w:sz w:val="17"/>
          <w:szCs w:val="17"/>
          <w:lang w:eastAsia="en-AU"/>
        </w:rPr>
        <w:t>*</w:t>
      </w:r>
      <w:r w:rsidRPr="00DF3006">
        <w:rPr>
          <w:color w:val="414042" w:themeColor="text1"/>
          <w:sz w:val="17"/>
          <w:szCs w:val="17"/>
          <w:lang w:eastAsia="en-AU"/>
        </w:rPr>
        <w:tab/>
        <w:t>Refer Note 3 for employee expenses accounting policy</w:t>
      </w:r>
    </w:p>
    <w:p w14:paraId="14B85D6C" w14:textId="77777777" w:rsidR="00FC17BC" w:rsidRPr="00DF3006" w:rsidRDefault="00FC17BC" w:rsidP="00FC17BC">
      <w:pPr>
        <w:tabs>
          <w:tab w:val="left" w:pos="284"/>
        </w:tabs>
        <w:ind w:left="284" w:hanging="284"/>
        <w:jc w:val="both"/>
        <w:rPr>
          <w:color w:val="414042" w:themeColor="text1"/>
          <w:szCs w:val="20"/>
          <w:lang w:eastAsia="en-AU"/>
        </w:rPr>
      </w:pPr>
      <w:r w:rsidRPr="00DF3006">
        <w:rPr>
          <w:rFonts w:cs="Calibri"/>
          <w:color w:val="414042" w:themeColor="text1"/>
          <w:sz w:val="17"/>
          <w:szCs w:val="17"/>
          <w:lang w:eastAsia="en-AU"/>
        </w:rPr>
        <w:t>¹</w:t>
      </w:r>
      <w:r w:rsidRPr="00DF3006">
        <w:rPr>
          <w:color w:val="414042" w:themeColor="text1"/>
          <w:sz w:val="17"/>
          <w:szCs w:val="17"/>
          <w:lang w:eastAsia="en-AU"/>
        </w:rPr>
        <w:tab/>
        <w:t>Employee entitlements are payments due to a group of current and former casual employees that are employed under the Queensland Public Service Officers and Other Employees Award – State 2015 and State Government Entities Certified Agreement 2019 that have been identified to have not received their full entitlements in 2021-22. These employees had been paid under their agreement, but an inadvertent award interpretation issue meant they did not receive their full entitlements under the award. The CCC has paid all entitlements owed in full, with interest in 2022-23.</w:t>
      </w:r>
    </w:p>
    <w:p w14:paraId="7FE4C6FB" w14:textId="77777777" w:rsidR="00FC17BC" w:rsidRPr="00DF3006" w:rsidRDefault="00FC17BC" w:rsidP="00FC17BC">
      <w:pPr>
        <w:rPr>
          <w:color w:val="414042" w:themeColor="text1"/>
          <w:lang w:eastAsia="en-AU"/>
        </w:rPr>
      </w:pPr>
    </w:p>
    <w:p w14:paraId="3B548FB4" w14:textId="77777777" w:rsidR="00FC17BC" w:rsidRPr="00DF3006" w:rsidRDefault="00FC17BC" w:rsidP="005268F0">
      <w:pPr>
        <w:rPr>
          <w:color w:val="414042" w:themeColor="text1"/>
        </w:rPr>
      </w:pPr>
    </w:p>
    <w:p w14:paraId="3619C661" w14:textId="77777777" w:rsidR="00FC17BC" w:rsidRPr="00DF3006" w:rsidRDefault="00FC17BC" w:rsidP="00FC17BC">
      <w:pPr>
        <w:pStyle w:val="Normal115pttextnospacebefore"/>
        <w:spacing w:line="240" w:lineRule="auto"/>
        <w:rPr>
          <w:color w:val="414042" w:themeColor="text1"/>
        </w:rPr>
      </w:pPr>
      <w:r w:rsidRPr="00DF3006">
        <w:rPr>
          <w:color w:val="414042" w:themeColor="text1"/>
        </w:rPr>
        <w:t>Note 14:  Provisions</w:t>
      </w:r>
    </w:p>
    <w:p w14:paraId="15DC56DA" w14:textId="77777777" w:rsidR="00FC17BC" w:rsidRPr="00DF3006" w:rsidRDefault="00FC17BC" w:rsidP="00FC17BC">
      <w:pPr>
        <w:pStyle w:val="Normal1stpara"/>
        <w:spacing w:line="240" w:lineRule="auto"/>
        <w:rPr>
          <w:color w:val="414042" w:themeColor="text1"/>
        </w:rPr>
      </w:pPr>
    </w:p>
    <w:tbl>
      <w:tblPr>
        <w:tblStyle w:val="TableGrid"/>
        <w:tblW w:w="9351" w:type="dxa"/>
        <w:tblCellMar>
          <w:top w:w="113" w:type="dxa"/>
          <w:bottom w:w="113" w:type="dxa"/>
        </w:tblCellMar>
        <w:tblLook w:val="04A0" w:firstRow="1" w:lastRow="0" w:firstColumn="1" w:lastColumn="0" w:noHBand="0" w:noVBand="1"/>
      </w:tblPr>
      <w:tblGrid>
        <w:gridCol w:w="9351"/>
      </w:tblGrid>
      <w:tr w:rsidR="00FC17BC" w:rsidRPr="00DF3006" w14:paraId="5C37D451" w14:textId="77777777" w:rsidTr="00025E55">
        <w:tc>
          <w:tcPr>
            <w:tcW w:w="9351" w:type="dxa"/>
          </w:tcPr>
          <w:p w14:paraId="40FC93FB"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34C5D329" w14:textId="77777777" w:rsidR="00FC17BC" w:rsidRPr="00DF3006" w:rsidRDefault="00FC17BC" w:rsidP="00025E55">
            <w:pPr>
              <w:pStyle w:val="Policy1stpara"/>
              <w:spacing w:line="240" w:lineRule="auto"/>
              <w:rPr>
                <w:color w:val="414042" w:themeColor="text1"/>
              </w:rPr>
            </w:pPr>
            <w:r w:rsidRPr="00DF3006">
              <w:rPr>
                <w:b/>
                <w:i/>
                <w:color w:val="414042" w:themeColor="text1"/>
              </w:rPr>
              <w:t>Recognition and Measurement</w:t>
            </w:r>
            <w:r w:rsidRPr="00DF3006">
              <w:rPr>
                <w:color w:val="414042" w:themeColor="text1"/>
              </w:rPr>
              <w:t xml:space="preserve"> – Provisions are recorded when the CCC has a present obligation, either legal or constructive, </w:t>
            </w:r>
            <w:proofErr w:type="gramStart"/>
            <w:r w:rsidRPr="00DF3006">
              <w:rPr>
                <w:color w:val="414042" w:themeColor="text1"/>
              </w:rPr>
              <w:t>as a result of</w:t>
            </w:r>
            <w:proofErr w:type="gramEnd"/>
            <w:r w:rsidRPr="00DF3006">
              <w:rPr>
                <w:color w:val="414042" w:themeColor="text1"/>
              </w:rPr>
              <w:t xml:space="preserve"> a past event, and the amount of the provision can be reliably measured. They are recognised at the amount expected at reporting date for which the obligation will be settled in a future period. </w:t>
            </w:r>
          </w:p>
          <w:p w14:paraId="2442909B" w14:textId="77777777" w:rsidR="00FC17BC" w:rsidRPr="00DF3006" w:rsidRDefault="00FC17BC" w:rsidP="00025E55">
            <w:pPr>
              <w:pStyle w:val="Policy1stpara"/>
              <w:spacing w:line="240" w:lineRule="auto"/>
              <w:rPr>
                <w:color w:val="414042" w:themeColor="text1"/>
                <w:szCs w:val="19"/>
              </w:rPr>
            </w:pPr>
            <w:r w:rsidRPr="00DF3006">
              <w:rPr>
                <w:color w:val="414042" w:themeColor="text1"/>
              </w:rPr>
              <w:t>The provision for restoration costs relate to clauses in lease agreements for office accommodation which require the CCC to restore a leased premises at the completion of the lease. As the settlement of the obligation is expected after 12 or more months, the provision has been discounted to reflect the present value of these obligations using a rate that reflects current market assessments and risks specific to the liability.</w:t>
            </w:r>
            <w:r w:rsidRPr="00DF3006">
              <w:rPr>
                <w:color w:val="414042" w:themeColor="text1"/>
                <w:sz w:val="16"/>
                <w:szCs w:val="16"/>
              </w:rPr>
              <w:t xml:space="preserve">  </w:t>
            </w:r>
            <w:r w:rsidRPr="00DF3006">
              <w:rPr>
                <w:color w:val="414042" w:themeColor="text1"/>
                <w:szCs w:val="19"/>
              </w:rPr>
              <w:t>The finance costs relate to unwinding of the discount on the provision.</w:t>
            </w:r>
          </w:p>
          <w:p w14:paraId="28B25371" w14:textId="77777777" w:rsidR="00FC17BC" w:rsidRPr="00DF3006" w:rsidRDefault="00FC17BC" w:rsidP="00025E55">
            <w:pPr>
              <w:pStyle w:val="Policyfollowingparas"/>
              <w:spacing w:line="240" w:lineRule="auto"/>
              <w:rPr>
                <w:color w:val="414042" w:themeColor="text1"/>
                <w:sz w:val="16"/>
                <w:szCs w:val="16"/>
              </w:rPr>
            </w:pPr>
          </w:p>
        </w:tc>
      </w:tr>
    </w:tbl>
    <w:p w14:paraId="64D8FF17" w14:textId="77777777" w:rsidR="00FC17BC" w:rsidRPr="00DF3006" w:rsidRDefault="00FC17BC" w:rsidP="00FC17BC">
      <w:pPr>
        <w:rPr>
          <w:color w:val="414042" w:themeColor="text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40781BB4" w14:textId="77777777" w:rsidTr="00025E55">
        <w:trPr>
          <w:trHeight w:val="20"/>
        </w:trPr>
        <w:tc>
          <w:tcPr>
            <w:tcW w:w="5529" w:type="dxa"/>
            <w:tcBorders>
              <w:top w:val="nil"/>
              <w:left w:val="nil"/>
              <w:bottom w:val="nil"/>
            </w:tcBorders>
            <w:noWrap/>
            <w:tcMar>
              <w:left w:w="0" w:type="dxa"/>
              <w:right w:w="0" w:type="dxa"/>
            </w:tcMar>
            <w:vAlign w:val="bottom"/>
          </w:tcPr>
          <w:p w14:paraId="73BF031F"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01E7C070"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2CE4C0D" w14:textId="77777777" w:rsidR="00FC17BC" w:rsidRPr="00DF3006" w:rsidRDefault="00FC17BC" w:rsidP="00025E55">
            <w:pPr>
              <w:pStyle w:val="Normaltabletext1stpararight"/>
              <w:spacing w:line="240" w:lineRule="auto"/>
              <w:rPr>
                <w:b/>
                <w:color w:val="414042" w:themeColor="text1"/>
                <w:lang w:eastAsia="en-AU"/>
              </w:rPr>
            </w:pPr>
          </w:p>
        </w:tc>
        <w:tc>
          <w:tcPr>
            <w:tcW w:w="283" w:type="dxa"/>
            <w:tcBorders>
              <w:top w:val="nil"/>
              <w:bottom w:val="nil"/>
            </w:tcBorders>
            <w:noWrap/>
          </w:tcPr>
          <w:p w14:paraId="2F484D84"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3D293AE" w14:textId="77777777" w:rsidR="00FC17BC" w:rsidRPr="00DF3006" w:rsidRDefault="00FC17BC" w:rsidP="00025E55">
            <w:pPr>
              <w:pStyle w:val="Normaltabletext1stpararight"/>
              <w:spacing w:line="240" w:lineRule="auto"/>
              <w:rPr>
                <w:b/>
                <w:color w:val="414042" w:themeColor="text1"/>
                <w:lang w:eastAsia="en-AU"/>
              </w:rPr>
            </w:pPr>
          </w:p>
        </w:tc>
      </w:tr>
      <w:tr w:rsidR="00DF3006" w:rsidRPr="00DF3006" w14:paraId="35AA5984" w14:textId="77777777" w:rsidTr="00025E55">
        <w:trPr>
          <w:trHeight w:val="20"/>
        </w:trPr>
        <w:tc>
          <w:tcPr>
            <w:tcW w:w="5529" w:type="dxa"/>
            <w:tcBorders>
              <w:top w:val="nil"/>
              <w:left w:val="nil"/>
              <w:bottom w:val="nil"/>
            </w:tcBorders>
            <w:noWrap/>
            <w:tcMar>
              <w:left w:w="0" w:type="dxa"/>
              <w:right w:w="0" w:type="dxa"/>
            </w:tcMar>
            <w:vAlign w:val="bottom"/>
          </w:tcPr>
          <w:p w14:paraId="5ACBA9A5"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5238164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4CBC6F60"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740982D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BECC766"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30AEA999" w14:textId="77777777" w:rsidTr="00025E55">
        <w:trPr>
          <w:trHeight w:val="20"/>
        </w:trPr>
        <w:tc>
          <w:tcPr>
            <w:tcW w:w="5529" w:type="dxa"/>
            <w:tcBorders>
              <w:top w:val="nil"/>
              <w:left w:val="nil"/>
              <w:bottom w:val="nil"/>
            </w:tcBorders>
            <w:noWrap/>
            <w:tcMar>
              <w:left w:w="0" w:type="dxa"/>
              <w:right w:w="0" w:type="dxa"/>
            </w:tcMar>
            <w:vAlign w:val="bottom"/>
          </w:tcPr>
          <w:p w14:paraId="6338DF0A"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17D1646B"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70611EB"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1EEA554A"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ED6C776"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7E63EE1D" w14:textId="77777777" w:rsidTr="00025E55">
        <w:trPr>
          <w:trHeight w:val="20"/>
        </w:trPr>
        <w:tc>
          <w:tcPr>
            <w:tcW w:w="5529" w:type="dxa"/>
            <w:tcBorders>
              <w:top w:val="nil"/>
              <w:left w:val="nil"/>
              <w:bottom w:val="nil"/>
            </w:tcBorders>
            <w:noWrap/>
            <w:tcMar>
              <w:left w:w="0" w:type="dxa"/>
              <w:right w:w="0" w:type="dxa"/>
            </w:tcMar>
            <w:vAlign w:val="bottom"/>
          </w:tcPr>
          <w:p w14:paraId="37AD211C" w14:textId="77777777" w:rsidR="00FC17BC" w:rsidRPr="00DF3006" w:rsidRDefault="00FC17BC" w:rsidP="00025E55">
            <w:pPr>
              <w:pStyle w:val="Normaltabletextleft"/>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07DBF070"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BA3B42F"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72442B1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C35FE27"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44B07ACA" w14:textId="77777777" w:rsidTr="00025E55">
        <w:trPr>
          <w:trHeight w:val="20"/>
        </w:trPr>
        <w:tc>
          <w:tcPr>
            <w:tcW w:w="5529" w:type="dxa"/>
            <w:tcBorders>
              <w:top w:val="nil"/>
              <w:left w:val="nil"/>
              <w:bottom w:val="nil"/>
            </w:tcBorders>
            <w:noWrap/>
            <w:tcMar>
              <w:left w:w="0" w:type="dxa"/>
              <w:right w:w="0" w:type="dxa"/>
            </w:tcMar>
          </w:tcPr>
          <w:p w14:paraId="5AB2C778" w14:textId="77777777" w:rsidR="00FC17BC" w:rsidRPr="00DF3006" w:rsidRDefault="00FC17BC" w:rsidP="00025E55">
            <w:pPr>
              <w:pStyle w:val="Normaltabletextleft"/>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179B2707"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3635089E"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Pr>
          <w:p w14:paraId="2B985D68"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F44279D"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5F9E6DC6" w14:textId="77777777" w:rsidTr="00025E55">
        <w:trPr>
          <w:trHeight w:val="20"/>
        </w:trPr>
        <w:tc>
          <w:tcPr>
            <w:tcW w:w="5529" w:type="dxa"/>
            <w:tcBorders>
              <w:top w:val="nil"/>
              <w:left w:val="nil"/>
              <w:bottom w:val="nil"/>
            </w:tcBorders>
            <w:noWrap/>
            <w:tcMar>
              <w:left w:w="0" w:type="dxa"/>
              <w:right w:w="0" w:type="dxa"/>
            </w:tcMar>
          </w:tcPr>
          <w:p w14:paraId="41637F89"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Restoration costs</w:t>
            </w:r>
          </w:p>
        </w:tc>
        <w:tc>
          <w:tcPr>
            <w:tcW w:w="567" w:type="dxa"/>
            <w:tcBorders>
              <w:top w:val="nil"/>
              <w:bottom w:val="nil"/>
            </w:tcBorders>
            <w:noWrap/>
            <w:tcMar>
              <w:left w:w="0" w:type="dxa"/>
              <w:right w:w="0" w:type="dxa"/>
            </w:tcMar>
            <w:vAlign w:val="bottom"/>
          </w:tcPr>
          <w:p w14:paraId="212070AE"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48F88B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257</w:t>
            </w:r>
          </w:p>
        </w:tc>
        <w:tc>
          <w:tcPr>
            <w:tcW w:w="283" w:type="dxa"/>
            <w:tcBorders>
              <w:top w:val="nil"/>
              <w:bottom w:val="nil"/>
            </w:tcBorders>
            <w:noWrap/>
          </w:tcPr>
          <w:p w14:paraId="417DD071"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2B25CC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219</w:t>
            </w:r>
          </w:p>
        </w:tc>
      </w:tr>
      <w:tr w:rsidR="00DF3006" w:rsidRPr="00DF3006" w14:paraId="2134B3DB" w14:textId="77777777" w:rsidTr="00025E55">
        <w:trPr>
          <w:trHeight w:val="20"/>
        </w:trPr>
        <w:tc>
          <w:tcPr>
            <w:tcW w:w="5529" w:type="dxa"/>
            <w:tcBorders>
              <w:top w:val="nil"/>
              <w:left w:val="nil"/>
              <w:bottom w:val="nil"/>
            </w:tcBorders>
            <w:noWrap/>
            <w:tcMar>
              <w:left w:w="0" w:type="dxa"/>
              <w:right w:w="0" w:type="dxa"/>
            </w:tcMar>
            <w:vAlign w:val="bottom"/>
          </w:tcPr>
          <w:p w14:paraId="5BE62E34" w14:textId="77777777" w:rsidR="00FC17BC" w:rsidRPr="00DF3006" w:rsidRDefault="00FC17BC" w:rsidP="00025E55">
            <w:pPr>
              <w:pStyle w:val="Normaltabletextleft"/>
              <w:tabs>
                <w:tab w:val="left" w:pos="0"/>
              </w:tabs>
              <w:spacing w:line="240" w:lineRule="auto"/>
              <w:rPr>
                <w:b/>
                <w:color w:val="414042" w:themeColor="text1"/>
                <w:lang w:eastAsia="en-AU"/>
              </w:rPr>
            </w:pPr>
            <w:r w:rsidRPr="00DF3006">
              <w:rPr>
                <w:b/>
                <w:color w:val="414042" w:themeColor="text1"/>
                <w:lang w:eastAsia="en-AU"/>
              </w:rPr>
              <w:t>Total</w:t>
            </w:r>
          </w:p>
        </w:tc>
        <w:tc>
          <w:tcPr>
            <w:tcW w:w="567" w:type="dxa"/>
            <w:tcBorders>
              <w:top w:val="nil"/>
              <w:bottom w:val="nil"/>
            </w:tcBorders>
            <w:noWrap/>
            <w:tcMar>
              <w:left w:w="0" w:type="dxa"/>
              <w:right w:w="0" w:type="dxa"/>
            </w:tcMar>
            <w:vAlign w:val="bottom"/>
          </w:tcPr>
          <w:p w14:paraId="28876299"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6CDE5C06"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257</w:t>
            </w:r>
          </w:p>
        </w:tc>
        <w:tc>
          <w:tcPr>
            <w:tcW w:w="283" w:type="dxa"/>
            <w:tcBorders>
              <w:top w:val="nil"/>
              <w:bottom w:val="nil"/>
            </w:tcBorders>
            <w:noWrap/>
          </w:tcPr>
          <w:p w14:paraId="297D4738"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4621FEB1"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219</w:t>
            </w:r>
          </w:p>
        </w:tc>
      </w:tr>
    </w:tbl>
    <w:p w14:paraId="7DE48D14" w14:textId="77777777" w:rsidR="00FC17BC" w:rsidRPr="00DF3006" w:rsidRDefault="00FC17BC" w:rsidP="00FC17BC">
      <w:pPr>
        <w:rPr>
          <w:color w:val="414042" w:themeColor="text1"/>
          <w:lang w:eastAsia="en-AU"/>
        </w:rPr>
      </w:pPr>
    </w:p>
    <w:p w14:paraId="44054522" w14:textId="77777777" w:rsidR="00FC17BC" w:rsidRPr="00DF3006" w:rsidRDefault="00FC17BC" w:rsidP="00FC17BC">
      <w:pPr>
        <w:rPr>
          <w:color w:val="414042" w:themeColor="text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DF3006" w:rsidRPr="00DF3006" w14:paraId="4541E611" w14:textId="77777777" w:rsidTr="00025E55">
        <w:trPr>
          <w:trHeight w:val="20"/>
        </w:trPr>
        <w:tc>
          <w:tcPr>
            <w:tcW w:w="5529" w:type="dxa"/>
            <w:tcBorders>
              <w:top w:val="nil"/>
              <w:left w:val="nil"/>
              <w:bottom w:val="nil"/>
            </w:tcBorders>
            <w:noWrap/>
            <w:tcMar>
              <w:left w:w="0" w:type="dxa"/>
              <w:right w:w="0" w:type="dxa"/>
            </w:tcMar>
            <w:vAlign w:val="bottom"/>
          </w:tcPr>
          <w:p w14:paraId="1939EF6A"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5EA2629D"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6AE0837" w14:textId="77777777" w:rsidR="00FC17BC" w:rsidRPr="00DF3006" w:rsidRDefault="00FC17BC" w:rsidP="00025E55">
            <w:pPr>
              <w:pStyle w:val="Normaltabletext1stpararight"/>
              <w:spacing w:line="240" w:lineRule="auto"/>
              <w:rPr>
                <w:b/>
                <w:color w:val="414042" w:themeColor="text1"/>
                <w:lang w:eastAsia="en-AU"/>
              </w:rPr>
            </w:pPr>
          </w:p>
        </w:tc>
        <w:tc>
          <w:tcPr>
            <w:tcW w:w="283" w:type="dxa"/>
            <w:tcBorders>
              <w:top w:val="nil"/>
              <w:bottom w:val="nil"/>
            </w:tcBorders>
            <w:noWrap/>
          </w:tcPr>
          <w:p w14:paraId="2D7DDE0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0BB8749" w14:textId="77777777" w:rsidR="00FC17BC" w:rsidRPr="00DF3006" w:rsidRDefault="00FC17BC" w:rsidP="00025E55">
            <w:pPr>
              <w:pStyle w:val="Normaltabletext1stpararight"/>
              <w:spacing w:line="240" w:lineRule="auto"/>
              <w:rPr>
                <w:b/>
                <w:color w:val="414042" w:themeColor="text1"/>
                <w:lang w:eastAsia="en-AU"/>
              </w:rPr>
            </w:pPr>
          </w:p>
        </w:tc>
      </w:tr>
      <w:tr w:rsidR="00DF3006" w:rsidRPr="00DF3006" w14:paraId="4C7B00AC" w14:textId="77777777" w:rsidTr="00025E55">
        <w:trPr>
          <w:trHeight w:val="20"/>
        </w:trPr>
        <w:tc>
          <w:tcPr>
            <w:tcW w:w="5529" w:type="dxa"/>
            <w:tcBorders>
              <w:top w:val="nil"/>
              <w:left w:val="nil"/>
              <w:bottom w:val="nil"/>
            </w:tcBorders>
            <w:noWrap/>
            <w:tcMar>
              <w:left w:w="0" w:type="dxa"/>
              <w:right w:w="0" w:type="dxa"/>
            </w:tcMar>
            <w:vAlign w:val="bottom"/>
          </w:tcPr>
          <w:p w14:paraId="0C23FF42"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567" w:type="dxa"/>
            <w:tcBorders>
              <w:top w:val="nil"/>
              <w:bottom w:val="nil"/>
            </w:tcBorders>
            <w:noWrap/>
            <w:tcMar>
              <w:left w:w="0" w:type="dxa"/>
              <w:right w:w="0" w:type="dxa"/>
            </w:tcMar>
            <w:vAlign w:val="bottom"/>
          </w:tcPr>
          <w:p w14:paraId="5C043BBA"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974239E"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67871E17"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59A5350"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59244985" w14:textId="77777777" w:rsidTr="00025E55">
        <w:trPr>
          <w:trHeight w:val="20"/>
        </w:trPr>
        <w:tc>
          <w:tcPr>
            <w:tcW w:w="5529" w:type="dxa"/>
            <w:tcBorders>
              <w:top w:val="nil"/>
              <w:left w:val="nil"/>
              <w:bottom w:val="nil"/>
            </w:tcBorders>
            <w:noWrap/>
            <w:tcMar>
              <w:left w:w="0" w:type="dxa"/>
              <w:right w:w="0" w:type="dxa"/>
            </w:tcMar>
            <w:vAlign w:val="bottom"/>
          </w:tcPr>
          <w:p w14:paraId="25D5B3CF"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125FC03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7E5D409C"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283" w:type="dxa"/>
            <w:tcBorders>
              <w:top w:val="nil"/>
              <w:bottom w:val="nil"/>
            </w:tcBorders>
            <w:noWrap/>
          </w:tcPr>
          <w:p w14:paraId="5A84A9F0"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E785366"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54F99A55" w14:textId="77777777" w:rsidTr="00025E55">
        <w:trPr>
          <w:trHeight w:val="20"/>
        </w:trPr>
        <w:tc>
          <w:tcPr>
            <w:tcW w:w="5529" w:type="dxa"/>
            <w:tcBorders>
              <w:top w:val="nil"/>
              <w:left w:val="nil"/>
              <w:bottom w:val="nil"/>
            </w:tcBorders>
            <w:noWrap/>
            <w:tcMar>
              <w:left w:w="0" w:type="dxa"/>
              <w:right w:w="0" w:type="dxa"/>
            </w:tcMar>
            <w:vAlign w:val="bottom"/>
          </w:tcPr>
          <w:p w14:paraId="60254882" w14:textId="77777777" w:rsidR="00FC17BC" w:rsidRPr="00DF3006" w:rsidRDefault="00FC17BC" w:rsidP="00025E55">
            <w:pPr>
              <w:pStyle w:val="Normaltabletextleft"/>
              <w:spacing w:line="240" w:lineRule="auto"/>
              <w:rPr>
                <w:color w:val="414042" w:themeColor="text1"/>
                <w:sz w:val="16"/>
                <w:szCs w:val="16"/>
                <w:lang w:eastAsia="en-AU"/>
              </w:rPr>
            </w:pPr>
          </w:p>
        </w:tc>
        <w:tc>
          <w:tcPr>
            <w:tcW w:w="567" w:type="dxa"/>
            <w:tcBorders>
              <w:top w:val="nil"/>
              <w:bottom w:val="nil"/>
            </w:tcBorders>
            <w:noWrap/>
            <w:tcMar>
              <w:left w:w="0" w:type="dxa"/>
              <w:right w:w="0" w:type="dxa"/>
            </w:tcMar>
            <w:vAlign w:val="bottom"/>
          </w:tcPr>
          <w:p w14:paraId="115B9139" w14:textId="77777777" w:rsidR="00FC17BC" w:rsidRPr="00DF3006" w:rsidRDefault="00FC17BC" w:rsidP="00025E55">
            <w:pPr>
              <w:pStyle w:val="Normaltabletextleft"/>
              <w:spacing w:line="240" w:lineRule="auto"/>
              <w:jc w:val="center"/>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00DF0410"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06AB90D0"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EDF3B79"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38CD2125" w14:textId="77777777" w:rsidTr="00025E55">
        <w:trPr>
          <w:trHeight w:val="20"/>
        </w:trPr>
        <w:tc>
          <w:tcPr>
            <w:tcW w:w="5529" w:type="dxa"/>
            <w:tcBorders>
              <w:top w:val="nil"/>
              <w:left w:val="nil"/>
              <w:bottom w:val="nil"/>
            </w:tcBorders>
            <w:noWrap/>
            <w:tcMar>
              <w:left w:w="0" w:type="dxa"/>
              <w:right w:w="0" w:type="dxa"/>
            </w:tcMar>
          </w:tcPr>
          <w:p w14:paraId="06A295C2"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Movements in provisions</w:t>
            </w:r>
          </w:p>
        </w:tc>
        <w:tc>
          <w:tcPr>
            <w:tcW w:w="567" w:type="dxa"/>
            <w:tcBorders>
              <w:top w:val="nil"/>
              <w:bottom w:val="nil"/>
            </w:tcBorders>
            <w:noWrap/>
            <w:tcMar>
              <w:left w:w="0" w:type="dxa"/>
              <w:right w:w="0" w:type="dxa"/>
            </w:tcMar>
            <w:vAlign w:val="bottom"/>
          </w:tcPr>
          <w:p w14:paraId="2657F60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1785B652"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Pr>
          <w:p w14:paraId="7FB02A79"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45A5720"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5630434D" w14:textId="77777777" w:rsidTr="00025E55">
        <w:trPr>
          <w:trHeight w:val="20"/>
        </w:trPr>
        <w:tc>
          <w:tcPr>
            <w:tcW w:w="5529" w:type="dxa"/>
            <w:tcBorders>
              <w:top w:val="nil"/>
              <w:left w:val="nil"/>
              <w:bottom w:val="nil"/>
            </w:tcBorders>
            <w:noWrap/>
            <w:tcMar>
              <w:left w:w="0" w:type="dxa"/>
              <w:right w:w="0" w:type="dxa"/>
            </w:tcMar>
          </w:tcPr>
          <w:p w14:paraId="307D5CF6"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Restoration Costs</w:t>
            </w:r>
          </w:p>
        </w:tc>
        <w:tc>
          <w:tcPr>
            <w:tcW w:w="567" w:type="dxa"/>
            <w:tcBorders>
              <w:top w:val="nil"/>
              <w:bottom w:val="nil"/>
            </w:tcBorders>
            <w:noWrap/>
            <w:tcMar>
              <w:left w:w="0" w:type="dxa"/>
              <w:right w:w="0" w:type="dxa"/>
            </w:tcMar>
            <w:vAlign w:val="bottom"/>
          </w:tcPr>
          <w:p w14:paraId="54641F02"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006812C" w14:textId="77777777" w:rsidR="00FC17BC" w:rsidRPr="00DF3006" w:rsidRDefault="00FC17BC" w:rsidP="00025E55">
            <w:pPr>
              <w:pStyle w:val="Normaltabletext1stpararight"/>
              <w:spacing w:line="240" w:lineRule="auto"/>
              <w:rPr>
                <w:color w:val="414042" w:themeColor="text1"/>
                <w:lang w:eastAsia="en-AU"/>
              </w:rPr>
            </w:pPr>
          </w:p>
        </w:tc>
        <w:tc>
          <w:tcPr>
            <w:tcW w:w="283" w:type="dxa"/>
            <w:tcBorders>
              <w:top w:val="nil"/>
              <w:bottom w:val="nil"/>
            </w:tcBorders>
            <w:noWrap/>
          </w:tcPr>
          <w:p w14:paraId="3496289C"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FA0C847"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06C3D524" w14:textId="77777777" w:rsidTr="00025E55">
        <w:trPr>
          <w:trHeight w:val="20"/>
        </w:trPr>
        <w:tc>
          <w:tcPr>
            <w:tcW w:w="5529" w:type="dxa"/>
            <w:tcBorders>
              <w:top w:val="nil"/>
              <w:left w:val="nil"/>
              <w:bottom w:val="nil"/>
            </w:tcBorders>
            <w:noWrap/>
            <w:tcMar>
              <w:left w:w="0" w:type="dxa"/>
              <w:right w:w="0" w:type="dxa"/>
            </w:tcMar>
          </w:tcPr>
          <w:p w14:paraId="1492D663"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 xml:space="preserve">Balance </w:t>
            </w:r>
            <w:proofErr w:type="gramStart"/>
            <w:r w:rsidRPr="00DF3006">
              <w:rPr>
                <w:color w:val="414042" w:themeColor="text1"/>
                <w:lang w:eastAsia="en-AU"/>
              </w:rPr>
              <w:t>at</w:t>
            </w:r>
            <w:proofErr w:type="gramEnd"/>
            <w:r w:rsidRPr="00DF3006">
              <w:rPr>
                <w:color w:val="414042" w:themeColor="text1"/>
                <w:lang w:eastAsia="en-AU"/>
              </w:rPr>
              <w:t xml:space="preserve"> 1 July</w:t>
            </w:r>
          </w:p>
        </w:tc>
        <w:tc>
          <w:tcPr>
            <w:tcW w:w="567" w:type="dxa"/>
            <w:tcBorders>
              <w:top w:val="nil"/>
              <w:bottom w:val="nil"/>
            </w:tcBorders>
            <w:noWrap/>
            <w:tcMar>
              <w:left w:w="0" w:type="dxa"/>
              <w:right w:w="0" w:type="dxa"/>
            </w:tcMar>
            <w:vAlign w:val="bottom"/>
          </w:tcPr>
          <w:p w14:paraId="60375FA4"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475D01F3"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219</w:t>
            </w:r>
          </w:p>
        </w:tc>
        <w:tc>
          <w:tcPr>
            <w:tcW w:w="283" w:type="dxa"/>
            <w:tcBorders>
              <w:top w:val="nil"/>
              <w:bottom w:val="nil"/>
            </w:tcBorders>
            <w:noWrap/>
          </w:tcPr>
          <w:p w14:paraId="5620AC48"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E7E1A4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222</w:t>
            </w:r>
          </w:p>
        </w:tc>
      </w:tr>
      <w:tr w:rsidR="00DF3006" w:rsidRPr="00DF3006" w14:paraId="6247920F" w14:textId="77777777" w:rsidTr="00025E55">
        <w:trPr>
          <w:trHeight w:val="20"/>
        </w:trPr>
        <w:tc>
          <w:tcPr>
            <w:tcW w:w="5529" w:type="dxa"/>
            <w:tcBorders>
              <w:top w:val="nil"/>
              <w:left w:val="nil"/>
              <w:bottom w:val="nil"/>
            </w:tcBorders>
            <w:noWrap/>
            <w:tcMar>
              <w:left w:w="0" w:type="dxa"/>
              <w:right w:w="0" w:type="dxa"/>
            </w:tcMar>
          </w:tcPr>
          <w:p w14:paraId="21D47F67"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Provision adjustment</w:t>
            </w:r>
          </w:p>
        </w:tc>
        <w:tc>
          <w:tcPr>
            <w:tcW w:w="567" w:type="dxa"/>
            <w:tcBorders>
              <w:top w:val="nil"/>
              <w:bottom w:val="nil"/>
            </w:tcBorders>
            <w:noWrap/>
            <w:tcMar>
              <w:left w:w="0" w:type="dxa"/>
              <w:right w:w="0" w:type="dxa"/>
            </w:tcMar>
            <w:vAlign w:val="bottom"/>
          </w:tcPr>
          <w:p w14:paraId="7028442B"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53CC16D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32</w:t>
            </w:r>
          </w:p>
        </w:tc>
        <w:tc>
          <w:tcPr>
            <w:tcW w:w="283" w:type="dxa"/>
            <w:tcBorders>
              <w:top w:val="nil"/>
              <w:bottom w:val="nil"/>
            </w:tcBorders>
            <w:noWrap/>
          </w:tcPr>
          <w:p w14:paraId="5794FB43"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9782C4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(4)</w:t>
            </w:r>
          </w:p>
        </w:tc>
      </w:tr>
      <w:tr w:rsidR="00DF3006" w:rsidRPr="00DF3006" w14:paraId="60848B9F" w14:textId="77777777" w:rsidTr="00025E55">
        <w:trPr>
          <w:trHeight w:val="20"/>
        </w:trPr>
        <w:tc>
          <w:tcPr>
            <w:tcW w:w="5529" w:type="dxa"/>
            <w:tcBorders>
              <w:top w:val="nil"/>
              <w:left w:val="nil"/>
              <w:bottom w:val="nil"/>
            </w:tcBorders>
            <w:noWrap/>
            <w:tcMar>
              <w:left w:w="0" w:type="dxa"/>
              <w:right w:w="0" w:type="dxa"/>
            </w:tcMar>
          </w:tcPr>
          <w:p w14:paraId="6EBB235C" w14:textId="77777777" w:rsidR="00FC17BC" w:rsidRPr="00DF3006" w:rsidRDefault="00FC17BC" w:rsidP="00025E55">
            <w:pPr>
              <w:pStyle w:val="Normaltabletextleft"/>
              <w:spacing w:line="240" w:lineRule="auto"/>
              <w:rPr>
                <w:color w:val="414042" w:themeColor="text1"/>
                <w:lang w:eastAsia="en-AU"/>
              </w:rPr>
            </w:pPr>
            <w:r w:rsidRPr="00DF3006">
              <w:rPr>
                <w:color w:val="414042" w:themeColor="text1"/>
                <w:lang w:eastAsia="en-AU"/>
              </w:rPr>
              <w:t xml:space="preserve">Finance Costs  </w:t>
            </w:r>
          </w:p>
        </w:tc>
        <w:tc>
          <w:tcPr>
            <w:tcW w:w="567" w:type="dxa"/>
            <w:tcBorders>
              <w:top w:val="nil"/>
              <w:bottom w:val="nil"/>
            </w:tcBorders>
            <w:noWrap/>
            <w:tcMar>
              <w:left w:w="0" w:type="dxa"/>
              <w:right w:w="0" w:type="dxa"/>
            </w:tcMar>
            <w:vAlign w:val="bottom"/>
          </w:tcPr>
          <w:p w14:paraId="1C487F6E" w14:textId="77777777" w:rsidR="00FC17BC" w:rsidRPr="00DF3006" w:rsidRDefault="00FC17BC" w:rsidP="00025E55">
            <w:pPr>
              <w:pStyle w:val="Normaltabletextcentred"/>
              <w:spacing w:line="240" w:lineRule="auto"/>
              <w:rPr>
                <w:color w:val="414042" w:themeColor="text1"/>
                <w:lang w:eastAsia="en-AU"/>
              </w:rPr>
            </w:pPr>
          </w:p>
        </w:tc>
        <w:tc>
          <w:tcPr>
            <w:tcW w:w="1417" w:type="dxa"/>
            <w:tcBorders>
              <w:top w:val="nil"/>
              <w:bottom w:val="nil"/>
            </w:tcBorders>
            <w:shd w:val="clear" w:color="auto" w:fill="D9D9D9" w:themeFill="background1" w:themeFillShade="D9"/>
            <w:noWrap/>
            <w:tcMar>
              <w:left w:w="0" w:type="dxa"/>
              <w:right w:w="113" w:type="dxa"/>
            </w:tcMar>
            <w:vAlign w:val="bottom"/>
          </w:tcPr>
          <w:p w14:paraId="244D4DF1"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6</w:t>
            </w:r>
          </w:p>
        </w:tc>
        <w:tc>
          <w:tcPr>
            <w:tcW w:w="283" w:type="dxa"/>
            <w:tcBorders>
              <w:top w:val="nil"/>
              <w:bottom w:val="nil"/>
            </w:tcBorders>
            <w:noWrap/>
          </w:tcPr>
          <w:p w14:paraId="44B3EC1E" w14:textId="77777777" w:rsidR="00FC17BC" w:rsidRPr="00DF3006" w:rsidRDefault="00FC17BC" w:rsidP="00025E55">
            <w:pPr>
              <w:pStyle w:val="Normaltabletextleft"/>
              <w:spacing w:line="240" w:lineRule="auto"/>
              <w:rPr>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576255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r>
      <w:tr w:rsidR="00DF3006" w:rsidRPr="00DF3006" w14:paraId="381E28D7" w14:textId="77777777" w:rsidTr="00025E55">
        <w:trPr>
          <w:trHeight w:val="20"/>
        </w:trPr>
        <w:tc>
          <w:tcPr>
            <w:tcW w:w="5529" w:type="dxa"/>
            <w:tcBorders>
              <w:top w:val="nil"/>
              <w:left w:val="nil"/>
              <w:bottom w:val="nil"/>
            </w:tcBorders>
            <w:noWrap/>
            <w:tcMar>
              <w:left w:w="0" w:type="dxa"/>
              <w:right w:w="0" w:type="dxa"/>
            </w:tcMar>
          </w:tcPr>
          <w:p w14:paraId="57ED31FF"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 xml:space="preserve">Balance </w:t>
            </w:r>
            <w:proofErr w:type="gramStart"/>
            <w:r w:rsidRPr="00DF3006">
              <w:rPr>
                <w:b/>
                <w:color w:val="414042" w:themeColor="text1"/>
                <w:lang w:eastAsia="en-AU"/>
              </w:rPr>
              <w:t>at</w:t>
            </w:r>
            <w:proofErr w:type="gramEnd"/>
            <w:r w:rsidRPr="00DF3006">
              <w:rPr>
                <w:b/>
                <w:color w:val="414042" w:themeColor="text1"/>
                <w:lang w:eastAsia="en-AU"/>
              </w:rPr>
              <w:t xml:space="preserve"> 30 June</w:t>
            </w:r>
          </w:p>
        </w:tc>
        <w:tc>
          <w:tcPr>
            <w:tcW w:w="567" w:type="dxa"/>
            <w:tcBorders>
              <w:top w:val="nil"/>
              <w:bottom w:val="nil"/>
            </w:tcBorders>
            <w:noWrap/>
            <w:tcMar>
              <w:left w:w="0" w:type="dxa"/>
              <w:right w:w="0" w:type="dxa"/>
            </w:tcMar>
            <w:vAlign w:val="bottom"/>
          </w:tcPr>
          <w:p w14:paraId="41A3D84E" w14:textId="77777777" w:rsidR="00FC17BC" w:rsidRPr="00DF3006" w:rsidRDefault="00FC17BC" w:rsidP="00025E55">
            <w:pPr>
              <w:pStyle w:val="Normaltabletextcentred"/>
              <w:spacing w:line="240" w:lineRule="auto"/>
              <w:rPr>
                <w:b/>
                <w:color w:val="414042" w:themeColor="text1"/>
                <w:lang w:eastAsia="en-AU"/>
              </w:rPr>
            </w:pPr>
          </w:p>
        </w:tc>
        <w:tc>
          <w:tcPr>
            <w:tcW w:w="1417"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45AE0BEA"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257</w:t>
            </w:r>
          </w:p>
        </w:tc>
        <w:tc>
          <w:tcPr>
            <w:tcW w:w="283" w:type="dxa"/>
            <w:tcBorders>
              <w:top w:val="nil"/>
              <w:bottom w:val="nil"/>
            </w:tcBorders>
            <w:noWrap/>
          </w:tcPr>
          <w:p w14:paraId="410BF935" w14:textId="77777777" w:rsidR="00FC17BC" w:rsidRPr="00DF3006" w:rsidRDefault="00FC17BC" w:rsidP="00025E55">
            <w:pPr>
              <w:pStyle w:val="Normaltabletextleft"/>
              <w:spacing w:line="240" w:lineRule="auto"/>
              <w:rPr>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36440FF"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219</w:t>
            </w:r>
          </w:p>
        </w:tc>
      </w:tr>
    </w:tbl>
    <w:p w14:paraId="78118E67" w14:textId="77777777" w:rsidR="00FC17BC" w:rsidRPr="00DF3006" w:rsidRDefault="00FC17BC" w:rsidP="00FC17BC">
      <w:pPr>
        <w:rPr>
          <w:color w:val="414042" w:themeColor="text1"/>
          <w:lang w:eastAsia="en-AU"/>
        </w:rPr>
      </w:pPr>
    </w:p>
    <w:p w14:paraId="2621CC72" w14:textId="77777777" w:rsidR="00FC17BC" w:rsidRPr="00DF3006" w:rsidRDefault="00FC17BC" w:rsidP="00FC17BC">
      <w:pPr>
        <w:spacing w:line="259" w:lineRule="auto"/>
        <w:rPr>
          <w:rFonts w:eastAsia="Calibri" w:cs="Times New Roman"/>
          <w:b/>
          <w:color w:val="414042" w:themeColor="text1"/>
        </w:rPr>
      </w:pPr>
      <w:r w:rsidRPr="00DF3006">
        <w:rPr>
          <w:b/>
          <w:color w:val="414042" w:themeColor="text1"/>
        </w:rPr>
        <w:br w:type="page"/>
      </w:r>
    </w:p>
    <w:p w14:paraId="79ACF273" w14:textId="77777777" w:rsidR="00FC17BC" w:rsidRPr="00DF3006" w:rsidRDefault="00FC17BC" w:rsidP="00FC17BC">
      <w:pPr>
        <w:pStyle w:val="Normal115pttext"/>
        <w:spacing w:line="240" w:lineRule="auto"/>
        <w:rPr>
          <w:color w:val="414042" w:themeColor="text1"/>
        </w:rPr>
      </w:pPr>
      <w:r w:rsidRPr="00DF3006">
        <w:rPr>
          <w:color w:val="414042" w:themeColor="text1"/>
        </w:rPr>
        <w:t>Note 15:  Commitments for Expenditure</w:t>
      </w:r>
    </w:p>
    <w:p w14:paraId="7ADE1917" w14:textId="77777777" w:rsidR="00FC17BC" w:rsidRPr="00DF3006" w:rsidRDefault="00FC17BC" w:rsidP="00FC17BC">
      <w:pPr>
        <w:pStyle w:val="Normal1stpara"/>
        <w:spacing w:before="0" w:line="240" w:lineRule="auto"/>
        <w:rPr>
          <w:color w:val="414042" w:themeColor="text1"/>
          <w:sz w:val="16"/>
          <w:szCs w:val="16"/>
        </w:rPr>
      </w:pPr>
    </w:p>
    <w:p w14:paraId="3575762D" w14:textId="16AEB310" w:rsidR="00FC17BC" w:rsidRPr="00DF3006" w:rsidRDefault="00FC17BC" w:rsidP="00FC17BC">
      <w:pPr>
        <w:pStyle w:val="Normal1stpara"/>
        <w:spacing w:line="240" w:lineRule="auto"/>
        <w:jc w:val="both"/>
        <w:rPr>
          <w:color w:val="414042" w:themeColor="text1"/>
          <w:sz w:val="20"/>
          <w:szCs w:val="20"/>
        </w:rPr>
      </w:pPr>
      <w:r w:rsidRPr="00DF3006">
        <w:rPr>
          <w:color w:val="414042" w:themeColor="text1"/>
          <w:sz w:val="20"/>
          <w:szCs w:val="20"/>
        </w:rPr>
        <w:t>Commitments for future expenditure include capital commitments and material expenditure commitments arising from contracts. These future expenditures cease to be disclosed as commitments once the related liabilities are recognised in the statement of financial position. Commitments at reporting date are disclosed at their nominal value inclusive of anticipated GST and are payable as follows:</w:t>
      </w:r>
    </w:p>
    <w:p w14:paraId="764368B2" w14:textId="77777777" w:rsidR="00FC17BC" w:rsidRPr="00DF3006" w:rsidRDefault="00FC17BC" w:rsidP="00FC17BC">
      <w:pPr>
        <w:pStyle w:val="Normal1stpara"/>
        <w:spacing w:line="240" w:lineRule="auto"/>
        <w:jc w:val="both"/>
        <w:rPr>
          <w:color w:val="414042" w:themeColor="text1"/>
          <w:sz w:val="20"/>
          <w:szCs w:val="20"/>
        </w:rPr>
      </w:pPr>
    </w:p>
    <w:tbl>
      <w:tblPr>
        <w:tblW w:w="9214" w:type="dxa"/>
        <w:tblLayout w:type="fixed"/>
        <w:tblLook w:val="04A0" w:firstRow="1" w:lastRow="0" w:firstColumn="1" w:lastColumn="0" w:noHBand="0" w:noVBand="1"/>
      </w:tblPr>
      <w:tblGrid>
        <w:gridCol w:w="2268"/>
        <w:gridCol w:w="1157"/>
        <w:gridCol w:w="1158"/>
        <w:gridCol w:w="1158"/>
        <w:gridCol w:w="1157"/>
        <w:gridCol w:w="1158"/>
        <w:gridCol w:w="1158"/>
      </w:tblGrid>
      <w:tr w:rsidR="00DF3006" w:rsidRPr="00DF3006" w14:paraId="07ED34B1" w14:textId="77777777" w:rsidTr="00025E55">
        <w:trPr>
          <w:trHeight w:val="210"/>
        </w:trPr>
        <w:tc>
          <w:tcPr>
            <w:tcW w:w="2268"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13147864" w14:textId="77777777" w:rsidR="00FC17BC" w:rsidRPr="00DF3006" w:rsidRDefault="00FC17BC" w:rsidP="00CC5BBF">
            <w:pPr>
              <w:spacing w:after="0"/>
              <w:jc w:val="center"/>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 </w:t>
            </w:r>
          </w:p>
        </w:tc>
        <w:tc>
          <w:tcPr>
            <w:tcW w:w="2315" w:type="dxa"/>
            <w:gridSpan w:val="2"/>
            <w:tcBorders>
              <w:top w:val="single" w:sz="8" w:space="0" w:color="auto"/>
              <w:left w:val="nil"/>
              <w:bottom w:val="nil"/>
              <w:right w:val="single" w:sz="8" w:space="0" w:color="000000"/>
            </w:tcBorders>
            <w:shd w:val="clear" w:color="000000" w:fill="FFFFFF"/>
            <w:vAlign w:val="center"/>
            <w:hideMark/>
          </w:tcPr>
          <w:p w14:paraId="135B5465"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Property</w:t>
            </w:r>
          </w:p>
        </w:tc>
        <w:tc>
          <w:tcPr>
            <w:tcW w:w="2315" w:type="dxa"/>
            <w:gridSpan w:val="2"/>
            <w:tcBorders>
              <w:top w:val="single" w:sz="8" w:space="0" w:color="auto"/>
              <w:left w:val="nil"/>
              <w:bottom w:val="nil"/>
              <w:right w:val="single" w:sz="8" w:space="0" w:color="000000"/>
            </w:tcBorders>
            <w:shd w:val="clear" w:color="000000" w:fill="FFFFFF"/>
            <w:vAlign w:val="center"/>
            <w:hideMark/>
          </w:tcPr>
          <w:p w14:paraId="31C165C8"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Capital</w:t>
            </w:r>
          </w:p>
        </w:tc>
        <w:tc>
          <w:tcPr>
            <w:tcW w:w="2316" w:type="dxa"/>
            <w:gridSpan w:val="2"/>
            <w:tcBorders>
              <w:top w:val="single" w:sz="8" w:space="0" w:color="auto"/>
              <w:left w:val="nil"/>
              <w:bottom w:val="nil"/>
              <w:right w:val="nil"/>
            </w:tcBorders>
            <w:shd w:val="clear" w:color="000000" w:fill="FFFFFF"/>
            <w:vAlign w:val="center"/>
            <w:hideMark/>
          </w:tcPr>
          <w:p w14:paraId="636A813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Total</w:t>
            </w:r>
          </w:p>
        </w:tc>
      </w:tr>
      <w:tr w:rsidR="00DF3006" w:rsidRPr="00DF3006" w14:paraId="04A06AF7" w14:textId="77777777" w:rsidTr="00025E55">
        <w:trPr>
          <w:trHeight w:val="210"/>
        </w:trPr>
        <w:tc>
          <w:tcPr>
            <w:tcW w:w="2268" w:type="dxa"/>
            <w:vMerge/>
            <w:tcBorders>
              <w:top w:val="single" w:sz="8" w:space="0" w:color="auto"/>
              <w:left w:val="nil"/>
              <w:bottom w:val="single" w:sz="8" w:space="0" w:color="000000"/>
              <w:right w:val="single" w:sz="8" w:space="0" w:color="auto"/>
            </w:tcBorders>
            <w:vAlign w:val="center"/>
            <w:hideMark/>
          </w:tcPr>
          <w:p w14:paraId="320B25DF" w14:textId="77777777" w:rsidR="00FC17BC" w:rsidRPr="00DF3006" w:rsidRDefault="00FC17BC" w:rsidP="00CC5BBF">
            <w:pPr>
              <w:spacing w:after="0"/>
              <w:rPr>
                <w:rFonts w:eastAsia="Times New Roman" w:cs="Calibri"/>
                <w:color w:val="414042" w:themeColor="text1"/>
                <w:sz w:val="18"/>
                <w:szCs w:val="18"/>
                <w:lang w:eastAsia="en-AU"/>
              </w:rPr>
            </w:pPr>
          </w:p>
        </w:tc>
        <w:tc>
          <w:tcPr>
            <w:tcW w:w="2315" w:type="dxa"/>
            <w:gridSpan w:val="2"/>
            <w:tcBorders>
              <w:top w:val="nil"/>
              <w:left w:val="nil"/>
              <w:bottom w:val="single" w:sz="8" w:space="0" w:color="auto"/>
              <w:right w:val="single" w:sz="8" w:space="0" w:color="000000"/>
            </w:tcBorders>
            <w:shd w:val="clear" w:color="000000" w:fill="FFFFFF"/>
            <w:vAlign w:val="center"/>
            <w:hideMark/>
          </w:tcPr>
          <w:p w14:paraId="70B89EF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Rentals¹</w:t>
            </w:r>
          </w:p>
        </w:tc>
        <w:tc>
          <w:tcPr>
            <w:tcW w:w="2315" w:type="dxa"/>
            <w:gridSpan w:val="2"/>
            <w:tcBorders>
              <w:top w:val="nil"/>
              <w:left w:val="nil"/>
              <w:bottom w:val="single" w:sz="8" w:space="0" w:color="auto"/>
              <w:right w:val="single" w:sz="8" w:space="0" w:color="000000"/>
            </w:tcBorders>
            <w:shd w:val="clear" w:color="000000" w:fill="FFFFFF"/>
            <w:vAlign w:val="center"/>
            <w:hideMark/>
          </w:tcPr>
          <w:p w14:paraId="75B8854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Expenditure</w:t>
            </w:r>
          </w:p>
        </w:tc>
        <w:tc>
          <w:tcPr>
            <w:tcW w:w="2316" w:type="dxa"/>
            <w:gridSpan w:val="2"/>
            <w:tcBorders>
              <w:top w:val="nil"/>
              <w:left w:val="nil"/>
              <w:bottom w:val="single" w:sz="8" w:space="0" w:color="auto"/>
              <w:right w:val="nil"/>
            </w:tcBorders>
            <w:shd w:val="clear" w:color="000000" w:fill="FFFFFF"/>
            <w:vAlign w:val="center"/>
            <w:hideMark/>
          </w:tcPr>
          <w:p w14:paraId="42DF1E76"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Commitments</w:t>
            </w:r>
          </w:p>
        </w:tc>
      </w:tr>
      <w:tr w:rsidR="00DF3006" w:rsidRPr="00DF3006" w14:paraId="4EA5689D" w14:textId="77777777" w:rsidTr="00025E55">
        <w:trPr>
          <w:trHeight w:val="210"/>
        </w:trPr>
        <w:tc>
          <w:tcPr>
            <w:tcW w:w="2268" w:type="dxa"/>
            <w:vMerge/>
            <w:tcBorders>
              <w:top w:val="single" w:sz="8" w:space="0" w:color="auto"/>
              <w:left w:val="nil"/>
              <w:bottom w:val="single" w:sz="8" w:space="0" w:color="000000"/>
              <w:right w:val="single" w:sz="8" w:space="0" w:color="auto"/>
            </w:tcBorders>
            <w:vAlign w:val="center"/>
            <w:hideMark/>
          </w:tcPr>
          <w:p w14:paraId="19342DE5" w14:textId="77777777" w:rsidR="00FC17BC" w:rsidRPr="00DF3006" w:rsidRDefault="00FC17BC" w:rsidP="00CC5BBF">
            <w:pPr>
              <w:spacing w:after="0"/>
              <w:rPr>
                <w:rFonts w:eastAsia="Times New Roman" w:cs="Calibri"/>
                <w:color w:val="414042" w:themeColor="text1"/>
                <w:sz w:val="18"/>
                <w:szCs w:val="18"/>
                <w:lang w:eastAsia="en-AU"/>
              </w:rPr>
            </w:pPr>
          </w:p>
        </w:tc>
        <w:tc>
          <w:tcPr>
            <w:tcW w:w="1157" w:type="dxa"/>
            <w:tcBorders>
              <w:top w:val="nil"/>
              <w:left w:val="nil"/>
              <w:bottom w:val="nil"/>
              <w:right w:val="single" w:sz="8" w:space="0" w:color="auto"/>
            </w:tcBorders>
            <w:shd w:val="clear" w:color="auto" w:fill="D9D9D9" w:themeFill="background1" w:themeFillShade="D9"/>
            <w:vAlign w:val="center"/>
            <w:hideMark/>
          </w:tcPr>
          <w:p w14:paraId="01D16B75"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2023</w:t>
            </w:r>
          </w:p>
        </w:tc>
        <w:tc>
          <w:tcPr>
            <w:tcW w:w="1158" w:type="dxa"/>
            <w:tcBorders>
              <w:top w:val="nil"/>
              <w:left w:val="nil"/>
              <w:bottom w:val="nil"/>
              <w:right w:val="single" w:sz="8" w:space="0" w:color="auto"/>
            </w:tcBorders>
            <w:shd w:val="clear" w:color="000000" w:fill="FFFFFF"/>
            <w:vAlign w:val="center"/>
            <w:hideMark/>
          </w:tcPr>
          <w:p w14:paraId="5A1422F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2022</w:t>
            </w:r>
          </w:p>
        </w:tc>
        <w:tc>
          <w:tcPr>
            <w:tcW w:w="1158" w:type="dxa"/>
            <w:tcBorders>
              <w:top w:val="nil"/>
              <w:left w:val="nil"/>
              <w:bottom w:val="nil"/>
              <w:right w:val="single" w:sz="8" w:space="0" w:color="auto"/>
            </w:tcBorders>
            <w:shd w:val="clear" w:color="auto" w:fill="D9D9D9" w:themeFill="background1" w:themeFillShade="D9"/>
            <w:vAlign w:val="center"/>
            <w:hideMark/>
          </w:tcPr>
          <w:p w14:paraId="518F7305"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2023</w:t>
            </w:r>
          </w:p>
        </w:tc>
        <w:tc>
          <w:tcPr>
            <w:tcW w:w="1157" w:type="dxa"/>
            <w:tcBorders>
              <w:top w:val="nil"/>
              <w:left w:val="nil"/>
              <w:bottom w:val="nil"/>
              <w:right w:val="single" w:sz="8" w:space="0" w:color="auto"/>
            </w:tcBorders>
            <w:shd w:val="clear" w:color="000000" w:fill="FFFFFF"/>
            <w:vAlign w:val="center"/>
            <w:hideMark/>
          </w:tcPr>
          <w:p w14:paraId="073C6441"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2022</w:t>
            </w:r>
          </w:p>
        </w:tc>
        <w:tc>
          <w:tcPr>
            <w:tcW w:w="1158" w:type="dxa"/>
            <w:tcBorders>
              <w:top w:val="nil"/>
              <w:left w:val="nil"/>
              <w:bottom w:val="nil"/>
              <w:right w:val="nil"/>
            </w:tcBorders>
            <w:shd w:val="clear" w:color="auto" w:fill="D9D9D9" w:themeFill="background1" w:themeFillShade="D9"/>
            <w:vAlign w:val="center"/>
            <w:hideMark/>
          </w:tcPr>
          <w:p w14:paraId="32DED87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2023</w:t>
            </w:r>
          </w:p>
        </w:tc>
        <w:tc>
          <w:tcPr>
            <w:tcW w:w="1158" w:type="dxa"/>
            <w:tcBorders>
              <w:top w:val="nil"/>
              <w:left w:val="single" w:sz="8" w:space="0" w:color="auto"/>
              <w:bottom w:val="nil"/>
              <w:right w:val="nil"/>
            </w:tcBorders>
            <w:shd w:val="clear" w:color="000000" w:fill="FFFFFF"/>
            <w:vAlign w:val="center"/>
            <w:hideMark/>
          </w:tcPr>
          <w:p w14:paraId="2A245389"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2022</w:t>
            </w:r>
          </w:p>
        </w:tc>
      </w:tr>
      <w:tr w:rsidR="00DF3006" w:rsidRPr="00DF3006" w14:paraId="4EB7C29A" w14:textId="77777777" w:rsidTr="00025E55">
        <w:trPr>
          <w:trHeight w:val="210"/>
        </w:trPr>
        <w:tc>
          <w:tcPr>
            <w:tcW w:w="2268" w:type="dxa"/>
            <w:vMerge/>
            <w:tcBorders>
              <w:top w:val="single" w:sz="8" w:space="0" w:color="auto"/>
              <w:left w:val="nil"/>
              <w:bottom w:val="single" w:sz="8" w:space="0" w:color="000000"/>
              <w:right w:val="single" w:sz="8" w:space="0" w:color="auto"/>
            </w:tcBorders>
            <w:vAlign w:val="center"/>
            <w:hideMark/>
          </w:tcPr>
          <w:p w14:paraId="3AAB3191" w14:textId="77777777" w:rsidR="00FC17BC" w:rsidRPr="00DF3006" w:rsidRDefault="00FC17BC" w:rsidP="00CC5BBF">
            <w:pPr>
              <w:spacing w:after="0"/>
              <w:rPr>
                <w:rFonts w:eastAsia="Times New Roman" w:cs="Calibri"/>
                <w:color w:val="414042" w:themeColor="text1"/>
                <w:sz w:val="18"/>
                <w:szCs w:val="18"/>
                <w:lang w:eastAsia="en-AU"/>
              </w:rPr>
            </w:pPr>
          </w:p>
        </w:tc>
        <w:tc>
          <w:tcPr>
            <w:tcW w:w="1157" w:type="dxa"/>
            <w:tcBorders>
              <w:top w:val="nil"/>
              <w:left w:val="nil"/>
              <w:bottom w:val="single" w:sz="8" w:space="0" w:color="auto"/>
              <w:right w:val="single" w:sz="8" w:space="0" w:color="auto"/>
            </w:tcBorders>
            <w:shd w:val="clear" w:color="auto" w:fill="D9D9D9" w:themeFill="background1" w:themeFillShade="D9"/>
            <w:vAlign w:val="center"/>
            <w:hideMark/>
          </w:tcPr>
          <w:p w14:paraId="54995C0B"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$’000</w:t>
            </w:r>
          </w:p>
        </w:tc>
        <w:tc>
          <w:tcPr>
            <w:tcW w:w="1158" w:type="dxa"/>
            <w:tcBorders>
              <w:top w:val="nil"/>
              <w:left w:val="nil"/>
              <w:bottom w:val="single" w:sz="8" w:space="0" w:color="auto"/>
              <w:right w:val="single" w:sz="8" w:space="0" w:color="auto"/>
            </w:tcBorders>
            <w:shd w:val="clear" w:color="000000" w:fill="FFFFFF"/>
            <w:vAlign w:val="center"/>
            <w:hideMark/>
          </w:tcPr>
          <w:p w14:paraId="1A6D0012"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$’000</w:t>
            </w:r>
          </w:p>
        </w:tc>
        <w:tc>
          <w:tcPr>
            <w:tcW w:w="1158" w:type="dxa"/>
            <w:tcBorders>
              <w:top w:val="nil"/>
              <w:left w:val="nil"/>
              <w:bottom w:val="single" w:sz="8" w:space="0" w:color="auto"/>
              <w:right w:val="single" w:sz="8" w:space="0" w:color="auto"/>
            </w:tcBorders>
            <w:shd w:val="clear" w:color="auto" w:fill="D9D9D9" w:themeFill="background1" w:themeFillShade="D9"/>
            <w:vAlign w:val="center"/>
            <w:hideMark/>
          </w:tcPr>
          <w:p w14:paraId="62A85F7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$’000</w:t>
            </w:r>
          </w:p>
        </w:tc>
        <w:tc>
          <w:tcPr>
            <w:tcW w:w="1157" w:type="dxa"/>
            <w:tcBorders>
              <w:top w:val="nil"/>
              <w:left w:val="nil"/>
              <w:bottom w:val="single" w:sz="8" w:space="0" w:color="auto"/>
              <w:right w:val="single" w:sz="8" w:space="0" w:color="auto"/>
            </w:tcBorders>
            <w:shd w:val="clear" w:color="000000" w:fill="FFFFFF"/>
            <w:vAlign w:val="center"/>
            <w:hideMark/>
          </w:tcPr>
          <w:p w14:paraId="70646460"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$’000</w:t>
            </w:r>
          </w:p>
        </w:tc>
        <w:tc>
          <w:tcPr>
            <w:tcW w:w="1158" w:type="dxa"/>
            <w:tcBorders>
              <w:top w:val="nil"/>
              <w:left w:val="nil"/>
              <w:bottom w:val="single" w:sz="8" w:space="0" w:color="auto"/>
              <w:right w:val="nil"/>
            </w:tcBorders>
            <w:shd w:val="clear" w:color="auto" w:fill="D9D9D9" w:themeFill="background1" w:themeFillShade="D9"/>
            <w:vAlign w:val="center"/>
            <w:hideMark/>
          </w:tcPr>
          <w:p w14:paraId="566B9D87"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$’000</w:t>
            </w:r>
          </w:p>
        </w:tc>
        <w:tc>
          <w:tcPr>
            <w:tcW w:w="1158" w:type="dxa"/>
            <w:tcBorders>
              <w:top w:val="nil"/>
              <w:left w:val="single" w:sz="8" w:space="0" w:color="auto"/>
              <w:bottom w:val="single" w:sz="8" w:space="0" w:color="auto"/>
              <w:right w:val="nil"/>
            </w:tcBorders>
            <w:shd w:val="clear" w:color="000000" w:fill="FFFFFF"/>
            <w:vAlign w:val="center"/>
            <w:hideMark/>
          </w:tcPr>
          <w:p w14:paraId="7987182F" w14:textId="77777777" w:rsidR="00FC17BC" w:rsidRPr="00DF3006" w:rsidRDefault="00FC17BC" w:rsidP="00CC5BBF">
            <w:pPr>
              <w:spacing w:after="0"/>
              <w:jc w:val="center"/>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$’000</w:t>
            </w:r>
          </w:p>
        </w:tc>
      </w:tr>
      <w:tr w:rsidR="00DF3006" w:rsidRPr="00DF3006" w14:paraId="4B4FE809" w14:textId="77777777" w:rsidTr="00025E55">
        <w:trPr>
          <w:trHeight w:val="360"/>
        </w:trPr>
        <w:tc>
          <w:tcPr>
            <w:tcW w:w="2268" w:type="dxa"/>
            <w:tcBorders>
              <w:top w:val="nil"/>
              <w:left w:val="nil"/>
              <w:bottom w:val="nil"/>
              <w:right w:val="single" w:sz="8" w:space="0" w:color="auto"/>
            </w:tcBorders>
            <w:shd w:val="clear" w:color="000000" w:fill="FFFFFF"/>
            <w:vAlign w:val="center"/>
            <w:hideMark/>
          </w:tcPr>
          <w:p w14:paraId="7AB16DC6" w14:textId="77777777" w:rsidR="00FC17BC" w:rsidRPr="00DF3006" w:rsidRDefault="00FC17BC" w:rsidP="00CC5BBF">
            <w:pPr>
              <w:spacing w:after="0"/>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Not later than one year</w:t>
            </w:r>
          </w:p>
        </w:tc>
        <w:tc>
          <w:tcPr>
            <w:tcW w:w="1157" w:type="dxa"/>
            <w:tcBorders>
              <w:top w:val="nil"/>
              <w:left w:val="nil"/>
              <w:bottom w:val="single" w:sz="8" w:space="0" w:color="auto"/>
              <w:right w:val="single" w:sz="8" w:space="0" w:color="auto"/>
            </w:tcBorders>
            <w:shd w:val="clear" w:color="auto" w:fill="D9D9D9" w:themeFill="background1" w:themeFillShade="D9"/>
            <w:vAlign w:val="center"/>
          </w:tcPr>
          <w:p w14:paraId="03CD5159"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4,166</w:t>
            </w:r>
          </w:p>
        </w:tc>
        <w:tc>
          <w:tcPr>
            <w:tcW w:w="1158" w:type="dxa"/>
            <w:tcBorders>
              <w:top w:val="nil"/>
              <w:left w:val="nil"/>
              <w:bottom w:val="single" w:sz="8" w:space="0" w:color="auto"/>
              <w:right w:val="single" w:sz="8" w:space="0" w:color="auto"/>
            </w:tcBorders>
            <w:shd w:val="clear" w:color="000000" w:fill="FFFFFF"/>
            <w:vAlign w:val="center"/>
            <w:hideMark/>
          </w:tcPr>
          <w:p w14:paraId="76B68617"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3,560</w:t>
            </w:r>
          </w:p>
        </w:tc>
        <w:tc>
          <w:tcPr>
            <w:tcW w:w="1158" w:type="dxa"/>
            <w:tcBorders>
              <w:top w:val="nil"/>
              <w:left w:val="nil"/>
              <w:bottom w:val="single" w:sz="8" w:space="0" w:color="auto"/>
              <w:right w:val="single" w:sz="8" w:space="0" w:color="auto"/>
            </w:tcBorders>
            <w:shd w:val="clear" w:color="auto" w:fill="D9D9D9" w:themeFill="background1" w:themeFillShade="D9"/>
            <w:vAlign w:val="center"/>
          </w:tcPr>
          <w:p w14:paraId="53431A7D"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16</w:t>
            </w:r>
          </w:p>
        </w:tc>
        <w:tc>
          <w:tcPr>
            <w:tcW w:w="1157" w:type="dxa"/>
            <w:tcBorders>
              <w:top w:val="nil"/>
              <w:left w:val="nil"/>
              <w:bottom w:val="single" w:sz="8" w:space="0" w:color="auto"/>
              <w:right w:val="single" w:sz="8" w:space="0" w:color="auto"/>
            </w:tcBorders>
            <w:shd w:val="clear" w:color="000000" w:fill="FFFFFF"/>
            <w:vAlign w:val="center"/>
            <w:hideMark/>
          </w:tcPr>
          <w:p w14:paraId="505C0A3F"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63</w:t>
            </w:r>
          </w:p>
        </w:tc>
        <w:tc>
          <w:tcPr>
            <w:tcW w:w="1158" w:type="dxa"/>
            <w:tcBorders>
              <w:top w:val="nil"/>
              <w:left w:val="nil"/>
              <w:bottom w:val="single" w:sz="8" w:space="0" w:color="auto"/>
              <w:right w:val="nil"/>
            </w:tcBorders>
            <w:shd w:val="clear" w:color="auto" w:fill="D9D9D9" w:themeFill="background1" w:themeFillShade="D9"/>
            <w:vAlign w:val="center"/>
          </w:tcPr>
          <w:p w14:paraId="7601EEBF"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4,182</w:t>
            </w:r>
          </w:p>
        </w:tc>
        <w:tc>
          <w:tcPr>
            <w:tcW w:w="1158" w:type="dxa"/>
            <w:tcBorders>
              <w:top w:val="nil"/>
              <w:left w:val="single" w:sz="8" w:space="0" w:color="auto"/>
              <w:bottom w:val="single" w:sz="8" w:space="0" w:color="auto"/>
              <w:right w:val="nil"/>
            </w:tcBorders>
            <w:shd w:val="clear" w:color="000000" w:fill="FFFFFF"/>
            <w:vAlign w:val="center"/>
            <w:hideMark/>
          </w:tcPr>
          <w:p w14:paraId="433109C0"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3,623</w:t>
            </w:r>
          </w:p>
        </w:tc>
      </w:tr>
      <w:tr w:rsidR="00DF3006" w:rsidRPr="00DF3006" w14:paraId="565C19F5" w14:textId="77777777" w:rsidTr="00025E55">
        <w:trPr>
          <w:trHeight w:val="501"/>
        </w:trPr>
        <w:tc>
          <w:tcPr>
            <w:tcW w:w="2268" w:type="dxa"/>
            <w:tcBorders>
              <w:top w:val="single" w:sz="8" w:space="0" w:color="auto"/>
              <w:left w:val="nil"/>
              <w:bottom w:val="nil"/>
              <w:right w:val="single" w:sz="8" w:space="0" w:color="auto"/>
            </w:tcBorders>
            <w:shd w:val="clear" w:color="000000" w:fill="FFFFFF"/>
            <w:vAlign w:val="center"/>
            <w:hideMark/>
          </w:tcPr>
          <w:p w14:paraId="53858094" w14:textId="77777777" w:rsidR="00FC17BC" w:rsidRPr="00DF3006" w:rsidRDefault="00FC17BC" w:rsidP="00CC5BBF">
            <w:pPr>
              <w:spacing w:after="0"/>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 xml:space="preserve">Later than one year and </w:t>
            </w:r>
            <w:r w:rsidRPr="00DF3006">
              <w:rPr>
                <w:rFonts w:eastAsia="Times New Roman" w:cs="Calibri"/>
                <w:color w:val="414042" w:themeColor="text1"/>
                <w:sz w:val="18"/>
                <w:szCs w:val="18"/>
                <w:lang w:eastAsia="en-AU"/>
              </w:rPr>
              <w:br/>
              <w:t>not later than five years</w:t>
            </w:r>
          </w:p>
        </w:tc>
        <w:tc>
          <w:tcPr>
            <w:tcW w:w="1157" w:type="dxa"/>
            <w:tcBorders>
              <w:top w:val="nil"/>
              <w:left w:val="nil"/>
              <w:bottom w:val="single" w:sz="8" w:space="0" w:color="auto"/>
              <w:right w:val="single" w:sz="8" w:space="0" w:color="auto"/>
            </w:tcBorders>
            <w:shd w:val="clear" w:color="auto" w:fill="D9D9D9" w:themeFill="background1" w:themeFillShade="D9"/>
            <w:vAlign w:val="center"/>
          </w:tcPr>
          <w:p w14:paraId="43A28967"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9,006</w:t>
            </w:r>
          </w:p>
        </w:tc>
        <w:tc>
          <w:tcPr>
            <w:tcW w:w="1158" w:type="dxa"/>
            <w:tcBorders>
              <w:top w:val="nil"/>
              <w:left w:val="nil"/>
              <w:bottom w:val="single" w:sz="8" w:space="0" w:color="auto"/>
              <w:right w:val="single" w:sz="8" w:space="0" w:color="auto"/>
            </w:tcBorders>
            <w:shd w:val="clear" w:color="000000" w:fill="FFFFFF"/>
            <w:vAlign w:val="center"/>
            <w:hideMark/>
          </w:tcPr>
          <w:p w14:paraId="4D7E13E0"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11,445</w:t>
            </w:r>
          </w:p>
        </w:tc>
        <w:tc>
          <w:tcPr>
            <w:tcW w:w="1158" w:type="dxa"/>
            <w:tcBorders>
              <w:top w:val="nil"/>
              <w:left w:val="nil"/>
              <w:bottom w:val="single" w:sz="8" w:space="0" w:color="auto"/>
              <w:right w:val="single" w:sz="8" w:space="0" w:color="auto"/>
            </w:tcBorders>
            <w:shd w:val="clear" w:color="auto" w:fill="D9D9D9" w:themeFill="background1" w:themeFillShade="D9"/>
            <w:vAlign w:val="center"/>
          </w:tcPr>
          <w:p w14:paraId="78CD61F2"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w:t>
            </w:r>
          </w:p>
        </w:tc>
        <w:tc>
          <w:tcPr>
            <w:tcW w:w="1157" w:type="dxa"/>
            <w:tcBorders>
              <w:top w:val="nil"/>
              <w:left w:val="nil"/>
              <w:bottom w:val="single" w:sz="8" w:space="0" w:color="auto"/>
              <w:right w:val="single" w:sz="8" w:space="0" w:color="auto"/>
            </w:tcBorders>
            <w:shd w:val="clear" w:color="000000" w:fill="FFFFFF"/>
            <w:vAlign w:val="center"/>
            <w:hideMark/>
          </w:tcPr>
          <w:p w14:paraId="7A337E7E"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w:t>
            </w:r>
          </w:p>
        </w:tc>
        <w:tc>
          <w:tcPr>
            <w:tcW w:w="1158" w:type="dxa"/>
            <w:tcBorders>
              <w:top w:val="nil"/>
              <w:left w:val="nil"/>
              <w:bottom w:val="single" w:sz="8" w:space="0" w:color="auto"/>
              <w:right w:val="nil"/>
            </w:tcBorders>
            <w:shd w:val="clear" w:color="auto" w:fill="D9D9D9" w:themeFill="background1" w:themeFillShade="D9"/>
            <w:vAlign w:val="center"/>
          </w:tcPr>
          <w:p w14:paraId="24889219"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9,006</w:t>
            </w:r>
          </w:p>
        </w:tc>
        <w:tc>
          <w:tcPr>
            <w:tcW w:w="1158" w:type="dxa"/>
            <w:tcBorders>
              <w:top w:val="nil"/>
              <w:left w:val="single" w:sz="8" w:space="0" w:color="auto"/>
              <w:bottom w:val="single" w:sz="8" w:space="0" w:color="auto"/>
              <w:right w:val="nil"/>
            </w:tcBorders>
            <w:shd w:val="clear" w:color="000000" w:fill="FFFFFF"/>
            <w:vAlign w:val="center"/>
            <w:hideMark/>
          </w:tcPr>
          <w:p w14:paraId="26599955" w14:textId="77777777" w:rsidR="00FC17BC" w:rsidRPr="00DF3006" w:rsidRDefault="00FC17BC" w:rsidP="00CC5BBF">
            <w:pPr>
              <w:spacing w:after="0"/>
              <w:jc w:val="right"/>
              <w:rPr>
                <w:rFonts w:eastAsia="Times New Roman" w:cs="Calibri"/>
                <w:color w:val="414042" w:themeColor="text1"/>
                <w:sz w:val="18"/>
                <w:szCs w:val="18"/>
                <w:lang w:eastAsia="en-AU"/>
              </w:rPr>
            </w:pPr>
            <w:r w:rsidRPr="00DF3006">
              <w:rPr>
                <w:rFonts w:eastAsia="Times New Roman" w:cs="Calibri"/>
                <w:color w:val="414042" w:themeColor="text1"/>
                <w:sz w:val="18"/>
                <w:szCs w:val="18"/>
                <w:lang w:eastAsia="en-AU"/>
              </w:rPr>
              <w:t>11,445</w:t>
            </w:r>
          </w:p>
        </w:tc>
      </w:tr>
      <w:tr w:rsidR="00DF3006" w:rsidRPr="00DF3006" w14:paraId="6FDCC50E" w14:textId="77777777" w:rsidTr="00025E55">
        <w:trPr>
          <w:trHeight w:val="360"/>
        </w:trPr>
        <w:tc>
          <w:tcPr>
            <w:tcW w:w="2268" w:type="dxa"/>
            <w:tcBorders>
              <w:top w:val="single" w:sz="8" w:space="0" w:color="auto"/>
              <w:left w:val="nil"/>
              <w:bottom w:val="double" w:sz="4" w:space="0" w:color="auto"/>
              <w:right w:val="single" w:sz="8" w:space="0" w:color="auto"/>
            </w:tcBorders>
            <w:shd w:val="clear" w:color="000000" w:fill="FFFFFF"/>
            <w:vAlign w:val="center"/>
            <w:hideMark/>
          </w:tcPr>
          <w:p w14:paraId="265CC22B" w14:textId="77777777" w:rsidR="00FC17BC" w:rsidRPr="00DF3006" w:rsidRDefault="00FC17BC" w:rsidP="00CC5BBF">
            <w:pPr>
              <w:spacing w:after="0"/>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Total</w:t>
            </w:r>
          </w:p>
        </w:tc>
        <w:tc>
          <w:tcPr>
            <w:tcW w:w="1157" w:type="dxa"/>
            <w:tcBorders>
              <w:top w:val="nil"/>
              <w:left w:val="nil"/>
              <w:bottom w:val="double" w:sz="6" w:space="0" w:color="auto"/>
              <w:right w:val="single" w:sz="8" w:space="0" w:color="auto"/>
            </w:tcBorders>
            <w:shd w:val="clear" w:color="auto" w:fill="D9D9D9" w:themeFill="background1" w:themeFillShade="D9"/>
            <w:vAlign w:val="center"/>
          </w:tcPr>
          <w:p w14:paraId="4F91B041" w14:textId="77777777" w:rsidR="00FC17BC" w:rsidRPr="00DF3006" w:rsidRDefault="00FC17BC" w:rsidP="00CC5BBF">
            <w:pPr>
              <w:spacing w:after="0"/>
              <w:jc w:val="right"/>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13,172</w:t>
            </w:r>
          </w:p>
        </w:tc>
        <w:tc>
          <w:tcPr>
            <w:tcW w:w="1158" w:type="dxa"/>
            <w:tcBorders>
              <w:top w:val="nil"/>
              <w:left w:val="nil"/>
              <w:bottom w:val="double" w:sz="6" w:space="0" w:color="auto"/>
              <w:right w:val="single" w:sz="8" w:space="0" w:color="auto"/>
            </w:tcBorders>
            <w:shd w:val="clear" w:color="000000" w:fill="FFFFFF"/>
            <w:vAlign w:val="center"/>
            <w:hideMark/>
          </w:tcPr>
          <w:p w14:paraId="23239624" w14:textId="77777777" w:rsidR="00FC17BC" w:rsidRPr="00DF3006" w:rsidRDefault="00FC17BC" w:rsidP="00CC5BBF">
            <w:pPr>
              <w:spacing w:after="0"/>
              <w:jc w:val="right"/>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15,005</w:t>
            </w:r>
          </w:p>
        </w:tc>
        <w:tc>
          <w:tcPr>
            <w:tcW w:w="1158" w:type="dxa"/>
            <w:tcBorders>
              <w:top w:val="nil"/>
              <w:left w:val="nil"/>
              <w:bottom w:val="double" w:sz="6" w:space="0" w:color="auto"/>
              <w:right w:val="single" w:sz="8" w:space="0" w:color="auto"/>
            </w:tcBorders>
            <w:shd w:val="clear" w:color="auto" w:fill="D9D9D9" w:themeFill="background1" w:themeFillShade="D9"/>
            <w:vAlign w:val="center"/>
          </w:tcPr>
          <w:p w14:paraId="2743A577" w14:textId="77777777" w:rsidR="00FC17BC" w:rsidRPr="00DF3006" w:rsidRDefault="00FC17BC" w:rsidP="00CC5BBF">
            <w:pPr>
              <w:spacing w:after="0"/>
              <w:jc w:val="right"/>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16</w:t>
            </w:r>
          </w:p>
        </w:tc>
        <w:tc>
          <w:tcPr>
            <w:tcW w:w="1157" w:type="dxa"/>
            <w:tcBorders>
              <w:top w:val="nil"/>
              <w:left w:val="nil"/>
              <w:bottom w:val="double" w:sz="6" w:space="0" w:color="auto"/>
              <w:right w:val="single" w:sz="8" w:space="0" w:color="auto"/>
            </w:tcBorders>
            <w:shd w:val="clear" w:color="000000" w:fill="FFFFFF"/>
            <w:vAlign w:val="center"/>
            <w:hideMark/>
          </w:tcPr>
          <w:p w14:paraId="692F9D85" w14:textId="77777777" w:rsidR="00FC17BC" w:rsidRPr="00DF3006" w:rsidRDefault="00FC17BC" w:rsidP="00CC5BBF">
            <w:pPr>
              <w:spacing w:after="0"/>
              <w:jc w:val="right"/>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63</w:t>
            </w:r>
          </w:p>
        </w:tc>
        <w:tc>
          <w:tcPr>
            <w:tcW w:w="1158" w:type="dxa"/>
            <w:tcBorders>
              <w:top w:val="nil"/>
              <w:left w:val="nil"/>
              <w:bottom w:val="double" w:sz="6" w:space="0" w:color="auto"/>
              <w:right w:val="single" w:sz="8" w:space="0" w:color="auto"/>
            </w:tcBorders>
            <w:shd w:val="clear" w:color="auto" w:fill="D9D9D9" w:themeFill="background1" w:themeFillShade="D9"/>
            <w:vAlign w:val="center"/>
          </w:tcPr>
          <w:p w14:paraId="62BAE89B" w14:textId="77777777" w:rsidR="00FC17BC" w:rsidRPr="00DF3006" w:rsidRDefault="00FC17BC" w:rsidP="00CC5BBF">
            <w:pPr>
              <w:spacing w:after="0"/>
              <w:jc w:val="right"/>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13,188</w:t>
            </w:r>
          </w:p>
        </w:tc>
        <w:tc>
          <w:tcPr>
            <w:tcW w:w="1158" w:type="dxa"/>
            <w:tcBorders>
              <w:top w:val="nil"/>
              <w:left w:val="nil"/>
              <w:bottom w:val="double" w:sz="6" w:space="0" w:color="auto"/>
              <w:right w:val="nil"/>
            </w:tcBorders>
            <w:shd w:val="clear" w:color="000000" w:fill="FFFFFF"/>
            <w:vAlign w:val="center"/>
            <w:hideMark/>
          </w:tcPr>
          <w:p w14:paraId="377A74BA" w14:textId="77777777" w:rsidR="00FC17BC" w:rsidRPr="00DF3006" w:rsidRDefault="00FC17BC" w:rsidP="00CC5BBF">
            <w:pPr>
              <w:spacing w:after="0"/>
              <w:jc w:val="right"/>
              <w:rPr>
                <w:rFonts w:eastAsia="Times New Roman" w:cs="Calibri"/>
                <w:b/>
                <w:bCs/>
                <w:color w:val="414042" w:themeColor="text1"/>
                <w:sz w:val="18"/>
                <w:szCs w:val="18"/>
                <w:lang w:eastAsia="en-AU"/>
              </w:rPr>
            </w:pPr>
            <w:r w:rsidRPr="00DF3006">
              <w:rPr>
                <w:rFonts w:eastAsia="Times New Roman" w:cs="Calibri"/>
                <w:b/>
                <w:bCs/>
                <w:color w:val="414042" w:themeColor="text1"/>
                <w:sz w:val="18"/>
                <w:szCs w:val="18"/>
                <w:lang w:eastAsia="en-AU"/>
              </w:rPr>
              <w:t>15,068</w:t>
            </w:r>
          </w:p>
        </w:tc>
      </w:tr>
    </w:tbl>
    <w:p w14:paraId="0380A0DA" w14:textId="77777777" w:rsidR="00FC17BC" w:rsidRPr="00DF3006" w:rsidRDefault="00FC17BC" w:rsidP="00FC17BC">
      <w:pPr>
        <w:pStyle w:val="Noteswithhangingindent"/>
        <w:spacing w:line="240" w:lineRule="auto"/>
      </w:pPr>
      <w:r w:rsidRPr="00DF3006">
        <w:rPr>
          <w:vertAlign w:val="superscript"/>
        </w:rPr>
        <w:t>1</w:t>
      </w:r>
      <w:r w:rsidRPr="00DF3006">
        <w:tab/>
        <w:t xml:space="preserve">Property rentals for office accommodation are non-cancellable and have a renewal option that is exercisable at market prices. Lease payments are generally fixed, and no lease arrangements create restrictions on other financing transactions. </w:t>
      </w:r>
    </w:p>
    <w:p w14:paraId="78A77AEC" w14:textId="77777777" w:rsidR="00FC17BC" w:rsidRPr="00DF3006" w:rsidRDefault="00FC17BC" w:rsidP="005268F0">
      <w:pPr>
        <w:rPr>
          <w:color w:val="414042" w:themeColor="text1"/>
        </w:rPr>
      </w:pPr>
    </w:p>
    <w:p w14:paraId="4C23A49F" w14:textId="77777777" w:rsidR="00FC17BC" w:rsidRPr="00DF3006" w:rsidRDefault="00FC17BC" w:rsidP="00FC17BC">
      <w:pPr>
        <w:pStyle w:val="Normal115pttext"/>
        <w:spacing w:line="240" w:lineRule="auto"/>
        <w:rPr>
          <w:color w:val="414042" w:themeColor="text1"/>
        </w:rPr>
      </w:pPr>
      <w:r w:rsidRPr="00DF3006">
        <w:rPr>
          <w:color w:val="414042" w:themeColor="text1"/>
        </w:rPr>
        <w:t>Note 16:  Contingencies</w:t>
      </w:r>
    </w:p>
    <w:p w14:paraId="0E6F4F64" w14:textId="77777777" w:rsidR="00FC17BC" w:rsidRPr="00DF3006" w:rsidRDefault="00FC17BC" w:rsidP="00FC17BC">
      <w:pPr>
        <w:pStyle w:val="Normal1stpara"/>
        <w:spacing w:line="240" w:lineRule="auto"/>
        <w:rPr>
          <w:color w:val="414042" w:themeColor="text1"/>
          <w:sz w:val="16"/>
          <w:szCs w:val="16"/>
        </w:rPr>
      </w:pPr>
    </w:p>
    <w:tbl>
      <w:tblPr>
        <w:tblStyle w:val="TableGrid"/>
        <w:tblW w:w="9209" w:type="dxa"/>
        <w:tblCellMar>
          <w:top w:w="113" w:type="dxa"/>
          <w:bottom w:w="113" w:type="dxa"/>
        </w:tblCellMar>
        <w:tblLook w:val="04A0" w:firstRow="1" w:lastRow="0" w:firstColumn="1" w:lastColumn="0" w:noHBand="0" w:noVBand="1"/>
      </w:tblPr>
      <w:tblGrid>
        <w:gridCol w:w="9209"/>
      </w:tblGrid>
      <w:tr w:rsidR="00FC17BC" w:rsidRPr="00DF3006" w14:paraId="60689F51" w14:textId="77777777" w:rsidTr="00025E55">
        <w:tc>
          <w:tcPr>
            <w:tcW w:w="9209" w:type="dxa"/>
          </w:tcPr>
          <w:p w14:paraId="5F456AD2"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051FDCAD" w14:textId="77777777" w:rsidR="00FC17BC" w:rsidRPr="00DF3006" w:rsidRDefault="00FC17BC" w:rsidP="00025E55">
            <w:pPr>
              <w:pStyle w:val="Policyfollowingparas"/>
              <w:spacing w:line="240" w:lineRule="auto"/>
              <w:rPr>
                <w:color w:val="414042" w:themeColor="text1"/>
                <w:szCs w:val="19"/>
              </w:rPr>
            </w:pPr>
            <w:r w:rsidRPr="00DF3006">
              <w:rPr>
                <w:b/>
                <w:i/>
                <w:color w:val="414042" w:themeColor="text1"/>
                <w:szCs w:val="19"/>
              </w:rPr>
              <w:t>Recognition</w:t>
            </w:r>
            <w:r w:rsidRPr="00DF3006">
              <w:rPr>
                <w:b/>
                <w:color w:val="414042" w:themeColor="text1"/>
                <w:szCs w:val="19"/>
              </w:rPr>
              <w:t xml:space="preserve"> </w:t>
            </w:r>
            <w:r w:rsidRPr="00DF3006">
              <w:rPr>
                <w:color w:val="414042" w:themeColor="text1"/>
                <w:szCs w:val="19"/>
              </w:rPr>
              <w:t>– Contingent assets and liabilities are not recognised in the Statement of Financial Position, but are disclosed by way of a note and, if quantifiable, are measured at nominal value.</w:t>
            </w:r>
          </w:p>
          <w:p w14:paraId="326178EB" w14:textId="77777777" w:rsidR="00FC17BC" w:rsidRPr="00DF3006" w:rsidRDefault="00FC17BC" w:rsidP="00025E55">
            <w:pPr>
              <w:pStyle w:val="Policyfollowingparas"/>
              <w:spacing w:line="240" w:lineRule="auto"/>
              <w:rPr>
                <w:color w:val="414042" w:themeColor="text1"/>
                <w:sz w:val="16"/>
                <w:szCs w:val="16"/>
              </w:rPr>
            </w:pPr>
          </w:p>
        </w:tc>
      </w:tr>
    </w:tbl>
    <w:p w14:paraId="28B4DF5D" w14:textId="77777777" w:rsidR="00FC17BC" w:rsidRPr="00DF3006" w:rsidRDefault="00FC17BC" w:rsidP="00FC17BC">
      <w:pPr>
        <w:pStyle w:val="Normal1stpara"/>
        <w:spacing w:line="240" w:lineRule="auto"/>
        <w:rPr>
          <w:color w:val="414042" w:themeColor="text1"/>
          <w:sz w:val="16"/>
          <w:szCs w:val="16"/>
        </w:rPr>
      </w:pPr>
    </w:p>
    <w:p w14:paraId="3DE9ACB5" w14:textId="77777777" w:rsidR="00FC17BC" w:rsidRPr="00DF3006" w:rsidRDefault="00FC17BC" w:rsidP="00FC17BC">
      <w:pPr>
        <w:rPr>
          <w:b/>
          <w:color w:val="414042" w:themeColor="text1"/>
          <w:sz w:val="21"/>
          <w:szCs w:val="21"/>
        </w:rPr>
      </w:pPr>
      <w:r w:rsidRPr="00DF3006">
        <w:rPr>
          <w:b/>
          <w:color w:val="414042" w:themeColor="text1"/>
          <w:sz w:val="21"/>
          <w:szCs w:val="21"/>
          <w:lang w:eastAsia="en-AU"/>
        </w:rPr>
        <w:t>Litigation in progress</w:t>
      </w:r>
    </w:p>
    <w:p w14:paraId="48935EE4" w14:textId="77777777" w:rsidR="00FC17BC" w:rsidRPr="00DF3006" w:rsidRDefault="00FC17BC" w:rsidP="00FC17BC">
      <w:pPr>
        <w:pStyle w:val="Normal1stpara"/>
        <w:spacing w:line="240" w:lineRule="auto"/>
        <w:jc w:val="both"/>
        <w:rPr>
          <w:color w:val="414042" w:themeColor="text1"/>
          <w:sz w:val="20"/>
          <w:szCs w:val="20"/>
        </w:rPr>
      </w:pPr>
      <w:r w:rsidRPr="00DF3006">
        <w:rPr>
          <w:color w:val="414042" w:themeColor="text1"/>
          <w:sz w:val="20"/>
          <w:szCs w:val="20"/>
        </w:rPr>
        <w:t xml:space="preserve">As </w:t>
      </w:r>
      <w:proofErr w:type="gramStart"/>
      <w:r w:rsidRPr="00DF3006">
        <w:rPr>
          <w:color w:val="414042" w:themeColor="text1"/>
          <w:sz w:val="20"/>
          <w:szCs w:val="20"/>
        </w:rPr>
        <w:t>at</w:t>
      </w:r>
      <w:proofErr w:type="gramEnd"/>
      <w:r w:rsidRPr="00DF3006">
        <w:rPr>
          <w:color w:val="414042" w:themeColor="text1"/>
          <w:sz w:val="20"/>
          <w:szCs w:val="20"/>
        </w:rPr>
        <w:t xml:space="preserve"> 30 June 2023, 25 cases (2022: 24 cases) were ongoing before various courts, naming the CCC as either an applicant or respondent:</w:t>
      </w:r>
    </w:p>
    <w:p w14:paraId="58AC2113" w14:textId="77777777" w:rsidR="00FC17BC" w:rsidRPr="00DF3006" w:rsidRDefault="00FC17BC" w:rsidP="00FC17BC">
      <w:pPr>
        <w:rPr>
          <w:color w:val="414042" w:themeColor="text1"/>
          <w:sz w:val="16"/>
          <w:szCs w:val="16"/>
          <w:lang w:eastAsia="en-AU"/>
        </w:rPr>
      </w:pPr>
    </w:p>
    <w:tbl>
      <w:tblPr>
        <w:tblW w:w="9073"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850"/>
        <w:gridCol w:w="1276"/>
        <w:gridCol w:w="283"/>
        <w:gridCol w:w="1135"/>
      </w:tblGrid>
      <w:tr w:rsidR="00DF3006" w:rsidRPr="00DF3006" w14:paraId="1BC50F2D" w14:textId="77777777" w:rsidTr="00025E55">
        <w:trPr>
          <w:trHeight w:val="20"/>
        </w:trPr>
        <w:tc>
          <w:tcPr>
            <w:tcW w:w="5529" w:type="dxa"/>
            <w:tcBorders>
              <w:top w:val="nil"/>
              <w:left w:val="nil"/>
              <w:bottom w:val="nil"/>
            </w:tcBorders>
            <w:noWrap/>
            <w:tcMar>
              <w:left w:w="0" w:type="dxa"/>
              <w:right w:w="0" w:type="dxa"/>
            </w:tcMar>
            <w:vAlign w:val="bottom"/>
          </w:tcPr>
          <w:p w14:paraId="5E7DC458" w14:textId="77777777" w:rsidR="00FC17BC" w:rsidRPr="00DF3006" w:rsidRDefault="00FC17BC" w:rsidP="00025E55">
            <w:pPr>
              <w:pStyle w:val="Normaltabletextleft"/>
              <w:tabs>
                <w:tab w:val="left" w:pos="0"/>
              </w:tabs>
              <w:spacing w:line="240" w:lineRule="auto"/>
              <w:rPr>
                <w:color w:val="414042" w:themeColor="text1"/>
                <w:lang w:eastAsia="en-AU"/>
              </w:rPr>
            </w:pPr>
          </w:p>
        </w:tc>
        <w:tc>
          <w:tcPr>
            <w:tcW w:w="850" w:type="dxa"/>
            <w:tcBorders>
              <w:top w:val="nil"/>
              <w:bottom w:val="nil"/>
            </w:tcBorders>
            <w:noWrap/>
            <w:tcMar>
              <w:left w:w="0" w:type="dxa"/>
              <w:right w:w="0" w:type="dxa"/>
            </w:tcMar>
            <w:vAlign w:val="bottom"/>
          </w:tcPr>
          <w:p w14:paraId="19E25A22"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1BA88EFD" w14:textId="77777777" w:rsidR="00FC17BC" w:rsidRPr="00DF3006" w:rsidRDefault="00FC17BC" w:rsidP="00025E55">
            <w:pPr>
              <w:pStyle w:val="Normaltabletext1stpararight"/>
              <w:spacing w:line="240" w:lineRule="auto"/>
              <w:ind w:left="-146"/>
              <w:rPr>
                <w:b/>
                <w:color w:val="414042" w:themeColor="text1"/>
                <w:lang w:eastAsia="en-AU"/>
              </w:rPr>
            </w:pPr>
            <w:r w:rsidRPr="00DF3006">
              <w:rPr>
                <w:b/>
                <w:color w:val="414042" w:themeColor="text1"/>
                <w:lang w:eastAsia="en-AU"/>
              </w:rPr>
              <w:t>2023</w:t>
            </w:r>
          </w:p>
        </w:tc>
        <w:tc>
          <w:tcPr>
            <w:tcW w:w="283" w:type="dxa"/>
            <w:tcBorders>
              <w:top w:val="nil"/>
              <w:bottom w:val="nil"/>
            </w:tcBorders>
            <w:noWrap/>
          </w:tcPr>
          <w:p w14:paraId="2C824213"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1C2D954B"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4C1FDE43" w14:textId="77777777" w:rsidTr="00025E55">
        <w:trPr>
          <w:trHeight w:val="20"/>
        </w:trPr>
        <w:tc>
          <w:tcPr>
            <w:tcW w:w="5529" w:type="dxa"/>
            <w:tcBorders>
              <w:top w:val="nil"/>
              <w:left w:val="nil"/>
              <w:bottom w:val="nil"/>
            </w:tcBorders>
            <w:noWrap/>
            <w:tcMar>
              <w:left w:w="0" w:type="dxa"/>
              <w:right w:w="0" w:type="dxa"/>
            </w:tcMar>
            <w:vAlign w:val="bottom"/>
          </w:tcPr>
          <w:p w14:paraId="71E3FC46" w14:textId="77777777" w:rsidR="00FC17BC" w:rsidRPr="00DF3006" w:rsidRDefault="00FC17BC" w:rsidP="00025E55">
            <w:pPr>
              <w:pStyle w:val="Normaltabletextleft"/>
              <w:tabs>
                <w:tab w:val="left" w:pos="0"/>
              </w:tabs>
              <w:spacing w:line="240" w:lineRule="auto"/>
              <w:rPr>
                <w:color w:val="414042" w:themeColor="text1"/>
                <w:sz w:val="16"/>
                <w:szCs w:val="16"/>
                <w:lang w:eastAsia="en-AU"/>
              </w:rPr>
            </w:pPr>
          </w:p>
        </w:tc>
        <w:tc>
          <w:tcPr>
            <w:tcW w:w="850" w:type="dxa"/>
            <w:tcBorders>
              <w:top w:val="nil"/>
              <w:bottom w:val="nil"/>
            </w:tcBorders>
            <w:noWrap/>
            <w:tcMar>
              <w:left w:w="0" w:type="dxa"/>
              <w:right w:w="0" w:type="dxa"/>
            </w:tcMar>
            <w:vAlign w:val="bottom"/>
          </w:tcPr>
          <w:p w14:paraId="5251FBD8"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2E377565"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Number of Cases</w:t>
            </w:r>
          </w:p>
        </w:tc>
        <w:tc>
          <w:tcPr>
            <w:tcW w:w="283" w:type="dxa"/>
            <w:tcBorders>
              <w:top w:val="nil"/>
              <w:bottom w:val="nil"/>
            </w:tcBorders>
            <w:noWrap/>
          </w:tcPr>
          <w:p w14:paraId="209F7B0F"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2140C059"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Number of Cases</w:t>
            </w:r>
          </w:p>
        </w:tc>
      </w:tr>
      <w:tr w:rsidR="00DF3006" w:rsidRPr="00DF3006" w14:paraId="032A7809" w14:textId="77777777" w:rsidTr="00025E55">
        <w:trPr>
          <w:trHeight w:val="20"/>
        </w:trPr>
        <w:tc>
          <w:tcPr>
            <w:tcW w:w="5529" w:type="dxa"/>
            <w:tcBorders>
              <w:top w:val="nil"/>
              <w:left w:val="nil"/>
              <w:bottom w:val="nil"/>
            </w:tcBorders>
            <w:noWrap/>
            <w:tcMar>
              <w:left w:w="0" w:type="dxa"/>
              <w:right w:w="0" w:type="dxa"/>
            </w:tcMar>
            <w:vAlign w:val="bottom"/>
          </w:tcPr>
          <w:p w14:paraId="7D9E9890" w14:textId="77777777" w:rsidR="00FC17BC" w:rsidRPr="00DF3006" w:rsidRDefault="00FC17BC" w:rsidP="00025E55">
            <w:pPr>
              <w:pStyle w:val="Normaltabletextleft"/>
              <w:spacing w:line="240" w:lineRule="auto"/>
              <w:rPr>
                <w:color w:val="414042" w:themeColor="text1"/>
                <w:sz w:val="16"/>
                <w:szCs w:val="16"/>
                <w:lang w:eastAsia="en-AU"/>
              </w:rPr>
            </w:pPr>
          </w:p>
        </w:tc>
        <w:tc>
          <w:tcPr>
            <w:tcW w:w="850" w:type="dxa"/>
            <w:tcBorders>
              <w:top w:val="nil"/>
              <w:bottom w:val="nil"/>
            </w:tcBorders>
            <w:noWrap/>
            <w:tcMar>
              <w:left w:w="0" w:type="dxa"/>
              <w:right w:w="0" w:type="dxa"/>
            </w:tcMar>
            <w:vAlign w:val="bottom"/>
          </w:tcPr>
          <w:p w14:paraId="484FBF8D" w14:textId="77777777" w:rsidR="00FC17BC" w:rsidRPr="00DF3006" w:rsidRDefault="00FC17BC" w:rsidP="00025E55">
            <w:pPr>
              <w:pStyle w:val="Normaltabletextleft"/>
              <w:spacing w:line="240" w:lineRule="auto"/>
              <w:jc w:val="center"/>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36746C26" w14:textId="77777777" w:rsidR="00FC17BC" w:rsidRPr="00DF3006" w:rsidRDefault="00FC17BC" w:rsidP="00025E55">
            <w:pPr>
              <w:pStyle w:val="Normaltabletextleft"/>
              <w:spacing w:line="240" w:lineRule="auto"/>
              <w:jc w:val="right"/>
              <w:rPr>
                <w:color w:val="414042" w:themeColor="text1"/>
                <w:lang w:eastAsia="en-AU"/>
              </w:rPr>
            </w:pPr>
          </w:p>
        </w:tc>
        <w:tc>
          <w:tcPr>
            <w:tcW w:w="283" w:type="dxa"/>
            <w:tcBorders>
              <w:top w:val="nil"/>
              <w:bottom w:val="nil"/>
            </w:tcBorders>
            <w:noWrap/>
          </w:tcPr>
          <w:p w14:paraId="2B65C52C"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7A49FAE1" w14:textId="77777777" w:rsidR="00FC17BC" w:rsidRPr="00DF3006" w:rsidRDefault="00FC17BC" w:rsidP="00025E55">
            <w:pPr>
              <w:pStyle w:val="Normaltabletextleft"/>
              <w:spacing w:line="240" w:lineRule="auto"/>
              <w:jc w:val="right"/>
              <w:rPr>
                <w:color w:val="414042" w:themeColor="text1"/>
                <w:lang w:eastAsia="en-AU"/>
              </w:rPr>
            </w:pPr>
          </w:p>
        </w:tc>
      </w:tr>
      <w:tr w:rsidR="00DF3006" w:rsidRPr="00DF3006" w14:paraId="4D681A44" w14:textId="77777777" w:rsidTr="00025E55">
        <w:trPr>
          <w:trHeight w:val="20"/>
        </w:trPr>
        <w:tc>
          <w:tcPr>
            <w:tcW w:w="5529" w:type="dxa"/>
            <w:tcBorders>
              <w:top w:val="nil"/>
              <w:left w:val="nil"/>
              <w:bottom w:val="nil"/>
            </w:tcBorders>
            <w:noWrap/>
            <w:tcMar>
              <w:left w:w="0" w:type="dxa"/>
              <w:right w:w="0" w:type="dxa"/>
            </w:tcMar>
            <w:vAlign w:val="bottom"/>
          </w:tcPr>
          <w:p w14:paraId="0F4BB323" w14:textId="77777777" w:rsidR="00FC17BC" w:rsidRPr="00DF3006" w:rsidRDefault="00FC17BC" w:rsidP="00025E55">
            <w:pPr>
              <w:pStyle w:val="Normalindent1stpara"/>
              <w:spacing w:before="0" w:line="240" w:lineRule="auto"/>
              <w:ind w:left="0"/>
              <w:rPr>
                <w:color w:val="414042" w:themeColor="text1"/>
                <w:lang w:eastAsia="en-AU"/>
              </w:rPr>
            </w:pPr>
            <w:r w:rsidRPr="00DF3006">
              <w:rPr>
                <w:color w:val="414042" w:themeColor="text1"/>
                <w:lang w:eastAsia="en-AU"/>
              </w:rPr>
              <w:t>Court of Appeal/High Court</w:t>
            </w:r>
          </w:p>
        </w:tc>
        <w:tc>
          <w:tcPr>
            <w:tcW w:w="850" w:type="dxa"/>
            <w:tcBorders>
              <w:top w:val="nil"/>
              <w:bottom w:val="nil"/>
            </w:tcBorders>
            <w:noWrap/>
            <w:tcMar>
              <w:left w:w="0" w:type="dxa"/>
              <w:right w:w="0" w:type="dxa"/>
            </w:tcMar>
            <w:vAlign w:val="bottom"/>
          </w:tcPr>
          <w:p w14:paraId="6623EC3A"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0B2A6BD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c>
          <w:tcPr>
            <w:tcW w:w="283" w:type="dxa"/>
            <w:tcBorders>
              <w:top w:val="nil"/>
              <w:bottom w:val="nil"/>
            </w:tcBorders>
            <w:noWrap/>
          </w:tcPr>
          <w:p w14:paraId="75784A8E"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22D12AE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r>
      <w:tr w:rsidR="00DF3006" w:rsidRPr="00DF3006" w14:paraId="5C129321" w14:textId="77777777" w:rsidTr="00025E55">
        <w:trPr>
          <w:trHeight w:val="20"/>
        </w:trPr>
        <w:tc>
          <w:tcPr>
            <w:tcW w:w="5529" w:type="dxa"/>
            <w:tcBorders>
              <w:top w:val="nil"/>
              <w:left w:val="nil"/>
              <w:bottom w:val="nil"/>
            </w:tcBorders>
            <w:noWrap/>
            <w:tcMar>
              <w:left w:w="0" w:type="dxa"/>
              <w:right w:w="0" w:type="dxa"/>
            </w:tcMar>
            <w:vAlign w:val="bottom"/>
          </w:tcPr>
          <w:p w14:paraId="2DC47294" w14:textId="77777777" w:rsidR="00FC17BC" w:rsidRPr="00DF3006" w:rsidRDefault="00FC17BC" w:rsidP="00025E55">
            <w:pPr>
              <w:pStyle w:val="Normalindent1stpara"/>
              <w:spacing w:before="0" w:line="240" w:lineRule="auto"/>
              <w:ind w:left="0"/>
              <w:rPr>
                <w:color w:val="414042" w:themeColor="text1"/>
                <w:lang w:eastAsia="en-AU"/>
              </w:rPr>
            </w:pPr>
            <w:r w:rsidRPr="00DF3006">
              <w:rPr>
                <w:color w:val="414042" w:themeColor="text1"/>
                <w:lang w:eastAsia="en-AU"/>
              </w:rPr>
              <w:t>Supreme Court</w:t>
            </w:r>
          </w:p>
        </w:tc>
        <w:tc>
          <w:tcPr>
            <w:tcW w:w="850" w:type="dxa"/>
            <w:tcBorders>
              <w:top w:val="nil"/>
              <w:bottom w:val="nil"/>
            </w:tcBorders>
            <w:noWrap/>
            <w:tcMar>
              <w:left w:w="0" w:type="dxa"/>
              <w:right w:w="0" w:type="dxa"/>
            </w:tcMar>
            <w:vAlign w:val="bottom"/>
          </w:tcPr>
          <w:p w14:paraId="646C635E"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2D2CF18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w:t>
            </w:r>
          </w:p>
        </w:tc>
        <w:tc>
          <w:tcPr>
            <w:tcW w:w="283" w:type="dxa"/>
            <w:tcBorders>
              <w:top w:val="nil"/>
              <w:bottom w:val="nil"/>
            </w:tcBorders>
            <w:noWrap/>
          </w:tcPr>
          <w:p w14:paraId="303B9759"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792A051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w:t>
            </w:r>
          </w:p>
        </w:tc>
      </w:tr>
      <w:tr w:rsidR="00DF3006" w:rsidRPr="00DF3006" w14:paraId="6E463826" w14:textId="77777777" w:rsidTr="00025E55">
        <w:trPr>
          <w:trHeight w:val="20"/>
        </w:trPr>
        <w:tc>
          <w:tcPr>
            <w:tcW w:w="5529" w:type="dxa"/>
            <w:tcBorders>
              <w:top w:val="nil"/>
              <w:left w:val="nil"/>
              <w:bottom w:val="nil"/>
            </w:tcBorders>
            <w:noWrap/>
            <w:tcMar>
              <w:left w:w="0" w:type="dxa"/>
              <w:right w:w="0" w:type="dxa"/>
            </w:tcMar>
            <w:vAlign w:val="bottom"/>
          </w:tcPr>
          <w:p w14:paraId="4FA34D5A" w14:textId="77777777" w:rsidR="00FC17BC" w:rsidRPr="00DF3006" w:rsidRDefault="00FC17BC" w:rsidP="00025E55">
            <w:pPr>
              <w:pStyle w:val="Normalindent1stpara"/>
              <w:spacing w:before="0" w:line="240" w:lineRule="auto"/>
              <w:ind w:left="0"/>
              <w:rPr>
                <w:color w:val="414042" w:themeColor="text1"/>
                <w:lang w:eastAsia="en-AU"/>
              </w:rPr>
            </w:pPr>
            <w:r w:rsidRPr="00DF3006">
              <w:rPr>
                <w:color w:val="414042" w:themeColor="text1"/>
                <w:lang w:eastAsia="en-AU"/>
              </w:rPr>
              <w:t>District Court</w:t>
            </w:r>
          </w:p>
        </w:tc>
        <w:tc>
          <w:tcPr>
            <w:tcW w:w="850" w:type="dxa"/>
            <w:tcBorders>
              <w:top w:val="nil"/>
              <w:bottom w:val="nil"/>
            </w:tcBorders>
            <w:noWrap/>
            <w:tcMar>
              <w:left w:w="0" w:type="dxa"/>
              <w:right w:w="0" w:type="dxa"/>
            </w:tcMar>
            <w:vAlign w:val="bottom"/>
          </w:tcPr>
          <w:p w14:paraId="46DB52E8"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6708669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c>
          <w:tcPr>
            <w:tcW w:w="283" w:type="dxa"/>
            <w:tcBorders>
              <w:top w:val="nil"/>
              <w:bottom w:val="nil"/>
            </w:tcBorders>
            <w:noWrap/>
          </w:tcPr>
          <w:p w14:paraId="4855C185"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1CEDEA6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r>
      <w:tr w:rsidR="00DF3006" w:rsidRPr="00DF3006" w14:paraId="2C1571AD" w14:textId="77777777" w:rsidTr="00025E55">
        <w:trPr>
          <w:trHeight w:val="20"/>
        </w:trPr>
        <w:tc>
          <w:tcPr>
            <w:tcW w:w="5529" w:type="dxa"/>
            <w:tcBorders>
              <w:top w:val="nil"/>
              <w:left w:val="nil"/>
              <w:bottom w:val="nil"/>
            </w:tcBorders>
            <w:noWrap/>
            <w:tcMar>
              <w:left w:w="0" w:type="dxa"/>
              <w:right w:w="0" w:type="dxa"/>
            </w:tcMar>
            <w:vAlign w:val="bottom"/>
          </w:tcPr>
          <w:p w14:paraId="16E4F5A1" w14:textId="77777777" w:rsidR="00FC17BC" w:rsidRPr="00DF3006" w:rsidRDefault="00FC17BC" w:rsidP="00025E55">
            <w:pPr>
              <w:pStyle w:val="Normalindent1stpara"/>
              <w:spacing w:before="0" w:line="240" w:lineRule="auto"/>
              <w:ind w:left="0"/>
              <w:rPr>
                <w:color w:val="414042" w:themeColor="text1"/>
                <w:lang w:eastAsia="en-AU"/>
              </w:rPr>
            </w:pPr>
            <w:r w:rsidRPr="00DF3006">
              <w:rPr>
                <w:color w:val="414042" w:themeColor="text1"/>
                <w:lang w:eastAsia="en-AU"/>
              </w:rPr>
              <w:t>Magistrates Court</w:t>
            </w:r>
          </w:p>
        </w:tc>
        <w:tc>
          <w:tcPr>
            <w:tcW w:w="850" w:type="dxa"/>
            <w:tcBorders>
              <w:top w:val="nil"/>
              <w:bottom w:val="nil"/>
            </w:tcBorders>
            <w:noWrap/>
            <w:tcMar>
              <w:left w:w="0" w:type="dxa"/>
              <w:right w:w="0" w:type="dxa"/>
            </w:tcMar>
            <w:vAlign w:val="bottom"/>
          </w:tcPr>
          <w:p w14:paraId="68AFE3A6"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3EBD400E"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c>
          <w:tcPr>
            <w:tcW w:w="283" w:type="dxa"/>
            <w:tcBorders>
              <w:top w:val="nil"/>
              <w:bottom w:val="nil"/>
            </w:tcBorders>
            <w:noWrap/>
          </w:tcPr>
          <w:p w14:paraId="7D4F3060"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61FFC42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r>
      <w:tr w:rsidR="00DF3006" w:rsidRPr="00DF3006" w14:paraId="3AE03E59" w14:textId="77777777" w:rsidTr="00025E55">
        <w:trPr>
          <w:trHeight w:val="20"/>
        </w:trPr>
        <w:tc>
          <w:tcPr>
            <w:tcW w:w="5529" w:type="dxa"/>
            <w:tcBorders>
              <w:top w:val="nil"/>
              <w:left w:val="nil"/>
              <w:bottom w:val="nil"/>
            </w:tcBorders>
            <w:noWrap/>
            <w:tcMar>
              <w:left w:w="0" w:type="dxa"/>
              <w:right w:w="0" w:type="dxa"/>
            </w:tcMar>
            <w:vAlign w:val="bottom"/>
          </w:tcPr>
          <w:p w14:paraId="4DB6BB56" w14:textId="77777777" w:rsidR="00FC17BC" w:rsidRPr="00DF3006" w:rsidRDefault="00FC17BC" w:rsidP="00025E55">
            <w:pPr>
              <w:pStyle w:val="Normalindent1stpara"/>
              <w:spacing w:before="0" w:line="240" w:lineRule="auto"/>
              <w:ind w:left="0"/>
              <w:rPr>
                <w:color w:val="414042" w:themeColor="text1"/>
                <w:lang w:eastAsia="en-AU"/>
              </w:rPr>
            </w:pPr>
            <w:r w:rsidRPr="00DF3006">
              <w:rPr>
                <w:color w:val="414042" w:themeColor="text1"/>
                <w:lang w:eastAsia="en-AU"/>
              </w:rPr>
              <w:t>Queensland Industrial Relation Commission (</w:t>
            </w:r>
            <w:proofErr w:type="spellStart"/>
            <w:r w:rsidRPr="00DF3006">
              <w:rPr>
                <w:color w:val="414042" w:themeColor="text1"/>
                <w:lang w:eastAsia="en-AU"/>
              </w:rPr>
              <w:t>QIRC</w:t>
            </w:r>
            <w:proofErr w:type="spellEnd"/>
            <w:r w:rsidRPr="00DF3006">
              <w:rPr>
                <w:color w:val="414042" w:themeColor="text1"/>
                <w:lang w:eastAsia="en-AU"/>
              </w:rPr>
              <w:t>)</w:t>
            </w:r>
          </w:p>
        </w:tc>
        <w:tc>
          <w:tcPr>
            <w:tcW w:w="850" w:type="dxa"/>
            <w:tcBorders>
              <w:top w:val="nil"/>
              <w:bottom w:val="nil"/>
            </w:tcBorders>
            <w:noWrap/>
            <w:tcMar>
              <w:left w:w="0" w:type="dxa"/>
              <w:right w:w="0" w:type="dxa"/>
            </w:tcMar>
            <w:vAlign w:val="bottom"/>
          </w:tcPr>
          <w:p w14:paraId="763DA2A3"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35954399"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w:t>
            </w:r>
          </w:p>
        </w:tc>
        <w:tc>
          <w:tcPr>
            <w:tcW w:w="283" w:type="dxa"/>
            <w:tcBorders>
              <w:top w:val="nil"/>
              <w:bottom w:val="nil"/>
            </w:tcBorders>
            <w:noWrap/>
          </w:tcPr>
          <w:p w14:paraId="3A4F0C24"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05918677"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w:t>
            </w:r>
          </w:p>
        </w:tc>
      </w:tr>
      <w:tr w:rsidR="00DF3006" w:rsidRPr="00DF3006" w14:paraId="4A78FFAD" w14:textId="77777777" w:rsidTr="00025E55">
        <w:trPr>
          <w:trHeight w:val="20"/>
        </w:trPr>
        <w:tc>
          <w:tcPr>
            <w:tcW w:w="5529" w:type="dxa"/>
            <w:tcBorders>
              <w:top w:val="nil"/>
              <w:left w:val="nil"/>
              <w:bottom w:val="nil"/>
            </w:tcBorders>
            <w:noWrap/>
            <w:tcMar>
              <w:left w:w="0" w:type="dxa"/>
              <w:right w:w="0" w:type="dxa"/>
            </w:tcMar>
            <w:vAlign w:val="bottom"/>
          </w:tcPr>
          <w:p w14:paraId="47C4C23C" w14:textId="77777777" w:rsidR="00FC17BC" w:rsidRPr="00DF3006" w:rsidRDefault="00FC17BC" w:rsidP="00025E55">
            <w:pPr>
              <w:pStyle w:val="Normalindent1stpara"/>
              <w:spacing w:before="0" w:line="240" w:lineRule="auto"/>
              <w:ind w:left="0"/>
              <w:rPr>
                <w:color w:val="414042" w:themeColor="text1"/>
                <w:lang w:eastAsia="en-AU"/>
              </w:rPr>
            </w:pPr>
            <w:r w:rsidRPr="00DF3006">
              <w:rPr>
                <w:color w:val="414042" w:themeColor="text1"/>
                <w:lang w:eastAsia="en-AU"/>
              </w:rPr>
              <w:t>Queensland Civil and Administrative Tribunal (QCAT)</w:t>
            </w:r>
          </w:p>
        </w:tc>
        <w:tc>
          <w:tcPr>
            <w:tcW w:w="850" w:type="dxa"/>
            <w:tcBorders>
              <w:top w:val="nil"/>
              <w:bottom w:val="nil"/>
            </w:tcBorders>
            <w:noWrap/>
            <w:tcMar>
              <w:left w:w="0" w:type="dxa"/>
              <w:right w:w="0" w:type="dxa"/>
            </w:tcMar>
            <w:vAlign w:val="bottom"/>
          </w:tcPr>
          <w:p w14:paraId="625C52D5" w14:textId="77777777" w:rsidR="00FC17BC" w:rsidRPr="00DF3006" w:rsidRDefault="00FC17BC" w:rsidP="00025E55">
            <w:pPr>
              <w:pStyle w:val="Normaltabletextcentred"/>
              <w:spacing w:line="240" w:lineRule="auto"/>
              <w:rPr>
                <w:color w:val="414042" w:themeColor="text1"/>
                <w:lang w:eastAsia="en-AU"/>
              </w:rPr>
            </w:pPr>
          </w:p>
        </w:tc>
        <w:tc>
          <w:tcPr>
            <w:tcW w:w="1276" w:type="dxa"/>
            <w:tcBorders>
              <w:top w:val="nil"/>
              <w:bottom w:val="nil"/>
            </w:tcBorders>
            <w:shd w:val="clear" w:color="auto" w:fill="D9D9D9" w:themeFill="background1" w:themeFillShade="D9"/>
            <w:noWrap/>
            <w:tcMar>
              <w:left w:w="0" w:type="dxa"/>
              <w:right w:w="113" w:type="dxa"/>
            </w:tcMar>
            <w:vAlign w:val="bottom"/>
          </w:tcPr>
          <w:p w14:paraId="0AE2A9D2"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19</w:t>
            </w:r>
          </w:p>
        </w:tc>
        <w:tc>
          <w:tcPr>
            <w:tcW w:w="283" w:type="dxa"/>
            <w:tcBorders>
              <w:top w:val="nil"/>
              <w:bottom w:val="nil"/>
            </w:tcBorders>
            <w:noWrap/>
          </w:tcPr>
          <w:p w14:paraId="34999B1B" w14:textId="77777777" w:rsidR="00FC17BC" w:rsidRPr="00DF3006" w:rsidRDefault="00FC17BC" w:rsidP="00025E55">
            <w:pPr>
              <w:pStyle w:val="Normaltabletextleft"/>
              <w:spacing w:line="240" w:lineRule="auto"/>
              <w:rPr>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03E02F08"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19</w:t>
            </w:r>
          </w:p>
        </w:tc>
      </w:tr>
      <w:tr w:rsidR="00DF3006" w:rsidRPr="00DF3006" w14:paraId="46FC0FCA" w14:textId="77777777" w:rsidTr="00025E55">
        <w:trPr>
          <w:trHeight w:val="20"/>
        </w:trPr>
        <w:tc>
          <w:tcPr>
            <w:tcW w:w="5529" w:type="dxa"/>
            <w:tcBorders>
              <w:top w:val="nil"/>
              <w:left w:val="nil"/>
              <w:bottom w:val="nil"/>
            </w:tcBorders>
            <w:noWrap/>
            <w:tcMar>
              <w:left w:w="0" w:type="dxa"/>
              <w:right w:w="0" w:type="dxa"/>
            </w:tcMar>
          </w:tcPr>
          <w:p w14:paraId="1EF56B6A" w14:textId="77777777" w:rsidR="00FC17BC" w:rsidRPr="00DF3006" w:rsidRDefault="00FC17BC" w:rsidP="00025E55">
            <w:pPr>
              <w:pStyle w:val="Normaltabletextleft"/>
              <w:spacing w:line="240" w:lineRule="auto"/>
              <w:rPr>
                <w:b/>
                <w:color w:val="414042" w:themeColor="text1"/>
                <w:lang w:eastAsia="en-AU"/>
              </w:rPr>
            </w:pPr>
            <w:r w:rsidRPr="00DF3006">
              <w:rPr>
                <w:b/>
                <w:color w:val="414042" w:themeColor="text1"/>
                <w:lang w:eastAsia="en-AU"/>
              </w:rPr>
              <w:t>Total</w:t>
            </w:r>
          </w:p>
        </w:tc>
        <w:tc>
          <w:tcPr>
            <w:tcW w:w="850" w:type="dxa"/>
            <w:tcBorders>
              <w:top w:val="nil"/>
              <w:bottom w:val="nil"/>
            </w:tcBorders>
            <w:noWrap/>
            <w:tcMar>
              <w:left w:w="0" w:type="dxa"/>
              <w:right w:w="0" w:type="dxa"/>
            </w:tcMar>
            <w:vAlign w:val="bottom"/>
          </w:tcPr>
          <w:p w14:paraId="482673A2" w14:textId="77777777" w:rsidR="00FC17BC" w:rsidRPr="00DF3006" w:rsidRDefault="00FC17BC" w:rsidP="00025E55">
            <w:pPr>
              <w:pStyle w:val="Normaltabletextcentred"/>
              <w:spacing w:line="240" w:lineRule="auto"/>
              <w:rPr>
                <w:b/>
                <w:color w:val="414042" w:themeColor="text1"/>
                <w:lang w:eastAsia="en-AU"/>
              </w:rPr>
            </w:pPr>
          </w:p>
        </w:tc>
        <w:tc>
          <w:tcPr>
            <w:tcW w:w="1276"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062EFB8D"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25</w:t>
            </w:r>
          </w:p>
        </w:tc>
        <w:tc>
          <w:tcPr>
            <w:tcW w:w="283" w:type="dxa"/>
            <w:tcBorders>
              <w:top w:val="nil"/>
              <w:bottom w:val="nil"/>
            </w:tcBorders>
            <w:noWrap/>
          </w:tcPr>
          <w:p w14:paraId="537500B3" w14:textId="77777777" w:rsidR="00FC17BC" w:rsidRPr="00DF3006" w:rsidRDefault="00FC17BC" w:rsidP="00025E55">
            <w:pPr>
              <w:pStyle w:val="Normaltabletextleft"/>
              <w:spacing w:line="240" w:lineRule="auto"/>
              <w:rPr>
                <w:b/>
                <w:color w:val="414042" w:themeColor="text1"/>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4AA8C0DF" w14:textId="77777777" w:rsidR="00FC17BC" w:rsidRPr="00DF3006" w:rsidRDefault="00FC17BC" w:rsidP="00025E55">
            <w:pPr>
              <w:pStyle w:val="Normaltabletext1stpararight"/>
              <w:spacing w:line="240" w:lineRule="auto"/>
              <w:rPr>
                <w:b/>
                <w:iCs/>
                <w:color w:val="414042" w:themeColor="text1"/>
                <w:lang w:eastAsia="en-AU"/>
              </w:rPr>
            </w:pPr>
            <w:r w:rsidRPr="00DF3006">
              <w:rPr>
                <w:b/>
                <w:iCs/>
                <w:color w:val="414042" w:themeColor="text1"/>
                <w:lang w:eastAsia="en-AU"/>
              </w:rPr>
              <w:t>24</w:t>
            </w:r>
          </w:p>
        </w:tc>
      </w:tr>
    </w:tbl>
    <w:p w14:paraId="4EF69DFC" w14:textId="77777777" w:rsidR="00FC17BC" w:rsidRPr="00DF3006" w:rsidRDefault="00FC17BC" w:rsidP="00FC17BC">
      <w:pPr>
        <w:rPr>
          <w:color w:val="414042" w:themeColor="text1"/>
          <w:sz w:val="16"/>
          <w:szCs w:val="16"/>
          <w:lang w:eastAsia="en-AU"/>
        </w:rPr>
      </w:pPr>
    </w:p>
    <w:p w14:paraId="6617B213" w14:textId="77777777" w:rsidR="00FC17BC" w:rsidRPr="00DF3006" w:rsidRDefault="00FC17BC" w:rsidP="00FC17BC">
      <w:pPr>
        <w:rPr>
          <w:color w:val="414042" w:themeColor="text1"/>
          <w:szCs w:val="20"/>
          <w:lang w:eastAsia="en-AU"/>
        </w:rPr>
      </w:pPr>
      <w:r w:rsidRPr="00DF3006">
        <w:rPr>
          <w:color w:val="414042" w:themeColor="text1"/>
          <w:szCs w:val="20"/>
          <w:lang w:eastAsia="en-AU"/>
        </w:rPr>
        <w:t>It is not possible to make a reliable estimate of the final costs, if any, that could be</w:t>
      </w:r>
      <w:r w:rsidRPr="00DF3006">
        <w:rPr>
          <w:color w:val="414042" w:themeColor="text1"/>
          <w:szCs w:val="20"/>
        </w:rPr>
        <w:t xml:space="preserve"> </w:t>
      </w:r>
      <w:r w:rsidRPr="00DF3006">
        <w:rPr>
          <w:color w:val="414042" w:themeColor="text1"/>
          <w:szCs w:val="20"/>
          <w:lang w:eastAsia="en-AU"/>
        </w:rPr>
        <w:t>recovered or payable from these cases at this time.</w:t>
      </w:r>
    </w:p>
    <w:p w14:paraId="36176176" w14:textId="77777777" w:rsidR="00FC17BC" w:rsidRPr="00DF3006" w:rsidRDefault="00FC17BC" w:rsidP="00FC17BC">
      <w:pPr>
        <w:rPr>
          <w:color w:val="414042" w:themeColor="text1"/>
          <w:lang w:eastAsia="en-AU"/>
        </w:rPr>
      </w:pPr>
    </w:p>
    <w:p w14:paraId="3A02CE8C" w14:textId="77777777" w:rsidR="00FC17BC" w:rsidRPr="00DF3006" w:rsidRDefault="00FC17BC" w:rsidP="00FC17BC">
      <w:pPr>
        <w:rPr>
          <w:color w:val="414042" w:themeColor="text1"/>
          <w:lang w:eastAsia="en-AU"/>
        </w:rPr>
      </w:pPr>
    </w:p>
    <w:p w14:paraId="18BAB32B" w14:textId="77777777" w:rsidR="00FC17BC" w:rsidRPr="00DF3006" w:rsidRDefault="00FC17BC" w:rsidP="00FC17BC">
      <w:pPr>
        <w:rPr>
          <w:color w:val="414042" w:themeColor="text1"/>
          <w:lang w:eastAsia="en-AU"/>
        </w:rPr>
      </w:pPr>
    </w:p>
    <w:p w14:paraId="1268589A" w14:textId="77777777" w:rsidR="00765421" w:rsidRDefault="00765421" w:rsidP="00FC17BC">
      <w:pPr>
        <w:pStyle w:val="Normal115pttext"/>
        <w:spacing w:line="240" w:lineRule="auto"/>
        <w:rPr>
          <w:color w:val="414042" w:themeColor="text1"/>
        </w:rPr>
      </w:pPr>
      <w:r>
        <w:rPr>
          <w:color w:val="414042" w:themeColor="text1"/>
        </w:rPr>
        <w:br w:type="page"/>
      </w:r>
    </w:p>
    <w:p w14:paraId="4D783816" w14:textId="70414105" w:rsidR="00FC17BC" w:rsidRPr="00DF3006" w:rsidRDefault="00FC17BC" w:rsidP="00FC17BC">
      <w:pPr>
        <w:pStyle w:val="Normal115pttext"/>
        <w:spacing w:line="240" w:lineRule="auto"/>
        <w:rPr>
          <w:color w:val="414042" w:themeColor="text1"/>
        </w:rPr>
      </w:pPr>
      <w:r w:rsidRPr="00DF3006">
        <w:rPr>
          <w:color w:val="414042" w:themeColor="text1"/>
        </w:rPr>
        <w:t>Note 17:  Financial Instruments</w:t>
      </w:r>
    </w:p>
    <w:p w14:paraId="180C7811" w14:textId="77777777" w:rsidR="00FC17BC" w:rsidRPr="00DF3006" w:rsidRDefault="00FC17BC" w:rsidP="00FC17BC">
      <w:pPr>
        <w:pStyle w:val="Normal1stpara"/>
        <w:spacing w:line="240" w:lineRule="auto"/>
        <w:rPr>
          <w:color w:val="414042" w:themeColor="text1"/>
        </w:rPr>
      </w:pPr>
    </w:p>
    <w:tbl>
      <w:tblPr>
        <w:tblStyle w:val="TableGrid"/>
        <w:tblW w:w="9209" w:type="dxa"/>
        <w:tblCellMar>
          <w:top w:w="113" w:type="dxa"/>
          <w:bottom w:w="113" w:type="dxa"/>
        </w:tblCellMar>
        <w:tblLook w:val="04A0" w:firstRow="1" w:lastRow="0" w:firstColumn="1" w:lastColumn="0" w:noHBand="0" w:noVBand="1"/>
      </w:tblPr>
      <w:tblGrid>
        <w:gridCol w:w="9209"/>
      </w:tblGrid>
      <w:tr w:rsidR="00FC17BC" w:rsidRPr="00DF3006" w14:paraId="24DC0719" w14:textId="77777777" w:rsidTr="00025E55">
        <w:tc>
          <w:tcPr>
            <w:tcW w:w="9209" w:type="dxa"/>
          </w:tcPr>
          <w:p w14:paraId="3166D003" w14:textId="77777777" w:rsidR="00FC17BC" w:rsidRPr="00DF3006" w:rsidRDefault="00FC17BC" w:rsidP="00025E55">
            <w:pPr>
              <w:pStyle w:val="Policyheading"/>
              <w:spacing w:line="240" w:lineRule="auto"/>
              <w:rPr>
                <w:color w:val="414042" w:themeColor="text1"/>
              </w:rPr>
            </w:pPr>
            <w:r w:rsidRPr="00DF3006">
              <w:rPr>
                <w:color w:val="414042" w:themeColor="text1"/>
              </w:rPr>
              <w:t>Accounting Policy:</w:t>
            </w:r>
          </w:p>
          <w:p w14:paraId="5046C088" w14:textId="77777777" w:rsidR="00FC17BC" w:rsidRPr="00DF3006" w:rsidRDefault="00FC17BC" w:rsidP="00025E55">
            <w:pPr>
              <w:pStyle w:val="Policyheading"/>
              <w:spacing w:line="240" w:lineRule="auto"/>
              <w:rPr>
                <w:color w:val="414042" w:themeColor="text1"/>
              </w:rPr>
            </w:pPr>
          </w:p>
          <w:p w14:paraId="4554F926" w14:textId="77777777" w:rsidR="00FC17BC" w:rsidRPr="00DF3006" w:rsidRDefault="00FC17BC" w:rsidP="00025E55">
            <w:pPr>
              <w:pStyle w:val="Policy1stpara"/>
              <w:spacing w:line="240" w:lineRule="auto"/>
              <w:rPr>
                <w:color w:val="414042" w:themeColor="text1"/>
              </w:rPr>
            </w:pPr>
            <w:r w:rsidRPr="00DF3006">
              <w:rPr>
                <w:b/>
                <w:i/>
                <w:color w:val="414042" w:themeColor="text1"/>
              </w:rPr>
              <w:t>Recognition</w:t>
            </w:r>
            <w:r w:rsidRPr="00DF3006">
              <w:rPr>
                <w:color w:val="414042" w:themeColor="text1"/>
              </w:rPr>
              <w:t xml:space="preserve"> – </w:t>
            </w:r>
          </w:p>
          <w:p w14:paraId="67E6F52D" w14:textId="77777777" w:rsidR="00FC17BC" w:rsidRPr="00DF3006" w:rsidRDefault="00FC17BC" w:rsidP="00025E55">
            <w:pPr>
              <w:pStyle w:val="Policyfollowingparas"/>
              <w:spacing w:line="240" w:lineRule="auto"/>
              <w:rPr>
                <w:color w:val="414042" w:themeColor="text1"/>
              </w:rPr>
            </w:pPr>
            <w:r w:rsidRPr="00DF3006">
              <w:rPr>
                <w:color w:val="414042" w:themeColor="text1"/>
              </w:rPr>
              <w:t>Financial assets and financial liabilities are recognised in the Statement of Financial Position when the CCC becomes party to the contractual provisions of the financial instrument.</w:t>
            </w:r>
          </w:p>
          <w:p w14:paraId="2258BF67" w14:textId="77777777" w:rsidR="00FC17BC" w:rsidRPr="00DF3006" w:rsidRDefault="00FC17BC" w:rsidP="00025E55">
            <w:pPr>
              <w:pStyle w:val="Policyfollowingparas"/>
              <w:spacing w:line="240" w:lineRule="auto"/>
              <w:rPr>
                <w:color w:val="414042" w:themeColor="text1"/>
              </w:rPr>
            </w:pPr>
          </w:p>
          <w:p w14:paraId="41B39627" w14:textId="77777777" w:rsidR="00FC17BC" w:rsidRPr="00DF3006" w:rsidRDefault="00FC17BC" w:rsidP="00025E55">
            <w:pPr>
              <w:pStyle w:val="Policy1stpara"/>
              <w:spacing w:line="240" w:lineRule="auto"/>
              <w:rPr>
                <w:color w:val="414042" w:themeColor="text1"/>
              </w:rPr>
            </w:pPr>
            <w:r w:rsidRPr="00DF3006">
              <w:rPr>
                <w:b/>
                <w:i/>
                <w:color w:val="414042" w:themeColor="text1"/>
              </w:rPr>
              <w:t>Classification and Measurement</w:t>
            </w:r>
            <w:r w:rsidRPr="00DF3006">
              <w:rPr>
                <w:color w:val="414042" w:themeColor="text1"/>
              </w:rPr>
              <w:t xml:space="preserve"> – Financial instruments are classified and measured as follows:</w:t>
            </w:r>
          </w:p>
          <w:p w14:paraId="219437CD" w14:textId="77777777" w:rsidR="00FC17BC" w:rsidRPr="00DF3006" w:rsidRDefault="00FC17BC" w:rsidP="00025E55">
            <w:pPr>
              <w:pStyle w:val="Policyfollowingparas"/>
              <w:spacing w:line="240" w:lineRule="auto"/>
              <w:rPr>
                <w:i/>
                <w:color w:val="414042" w:themeColor="text1"/>
              </w:rPr>
            </w:pPr>
          </w:p>
          <w:p w14:paraId="4E2D80F3" w14:textId="77777777" w:rsidR="00FC17BC" w:rsidRPr="00DF3006" w:rsidRDefault="00FC17BC" w:rsidP="00025E55">
            <w:pPr>
              <w:pStyle w:val="Policyfollowingparas"/>
              <w:spacing w:line="240" w:lineRule="auto"/>
              <w:rPr>
                <w:i/>
                <w:color w:val="414042" w:themeColor="text1"/>
              </w:rPr>
            </w:pPr>
            <w:r w:rsidRPr="00DF3006">
              <w:rPr>
                <w:i/>
                <w:color w:val="414042" w:themeColor="text1"/>
              </w:rPr>
              <w:t>Financial Assets:</w:t>
            </w:r>
          </w:p>
          <w:p w14:paraId="42B8BD13" w14:textId="77777777" w:rsidR="00FC17BC" w:rsidRPr="00DF3006" w:rsidRDefault="00FC17BC" w:rsidP="00025E55">
            <w:pPr>
              <w:pStyle w:val="Policyindented"/>
              <w:spacing w:line="240" w:lineRule="auto"/>
              <w:rPr>
                <w:color w:val="414042" w:themeColor="text1"/>
              </w:rPr>
            </w:pPr>
            <w:r w:rsidRPr="00DF3006">
              <w:rPr>
                <w:color w:val="414042" w:themeColor="text1"/>
              </w:rPr>
              <w:t xml:space="preserve">Cash and cash equivalents – held at fair value through profit and </w:t>
            </w:r>
            <w:proofErr w:type="gramStart"/>
            <w:r w:rsidRPr="00DF3006">
              <w:rPr>
                <w:color w:val="414042" w:themeColor="text1"/>
              </w:rPr>
              <w:t>loss</w:t>
            </w:r>
            <w:proofErr w:type="gramEnd"/>
          </w:p>
          <w:p w14:paraId="443A50BA" w14:textId="77777777" w:rsidR="00FC17BC" w:rsidRPr="00DF3006" w:rsidRDefault="00FC17BC" w:rsidP="00025E55">
            <w:pPr>
              <w:pStyle w:val="Policyindented"/>
              <w:spacing w:line="240" w:lineRule="auto"/>
              <w:rPr>
                <w:color w:val="414042" w:themeColor="text1"/>
              </w:rPr>
            </w:pPr>
            <w:r w:rsidRPr="00DF3006">
              <w:rPr>
                <w:color w:val="414042" w:themeColor="text1"/>
              </w:rPr>
              <w:t xml:space="preserve">Contractual Receivables – held at amortised </w:t>
            </w:r>
            <w:proofErr w:type="gramStart"/>
            <w:r w:rsidRPr="00DF3006">
              <w:rPr>
                <w:color w:val="414042" w:themeColor="text1"/>
              </w:rPr>
              <w:t>cost</w:t>
            </w:r>
            <w:proofErr w:type="gramEnd"/>
          </w:p>
          <w:p w14:paraId="0C37CCB6" w14:textId="77777777" w:rsidR="00FC17BC" w:rsidRPr="00DF3006" w:rsidRDefault="00FC17BC" w:rsidP="00025E55">
            <w:pPr>
              <w:pStyle w:val="Policyindented"/>
              <w:spacing w:line="240" w:lineRule="auto"/>
              <w:rPr>
                <w:color w:val="414042" w:themeColor="text1"/>
              </w:rPr>
            </w:pPr>
          </w:p>
          <w:p w14:paraId="53B50D20" w14:textId="77777777" w:rsidR="00FC17BC" w:rsidRPr="00DF3006" w:rsidRDefault="00FC17BC" w:rsidP="00025E55">
            <w:pPr>
              <w:pStyle w:val="Policyfollowingparas"/>
              <w:spacing w:line="240" w:lineRule="auto"/>
              <w:rPr>
                <w:i/>
                <w:color w:val="414042" w:themeColor="text1"/>
              </w:rPr>
            </w:pPr>
            <w:r w:rsidRPr="00DF3006">
              <w:rPr>
                <w:i/>
                <w:color w:val="414042" w:themeColor="text1"/>
              </w:rPr>
              <w:t>Financial Liabilities:</w:t>
            </w:r>
          </w:p>
          <w:p w14:paraId="63C56881" w14:textId="77777777" w:rsidR="00FC17BC" w:rsidRPr="00DF3006" w:rsidRDefault="00FC17BC" w:rsidP="00025E55">
            <w:pPr>
              <w:pStyle w:val="Policyindented"/>
              <w:spacing w:line="240" w:lineRule="auto"/>
              <w:rPr>
                <w:color w:val="414042" w:themeColor="text1"/>
              </w:rPr>
            </w:pPr>
            <w:r w:rsidRPr="00DF3006">
              <w:rPr>
                <w:color w:val="414042" w:themeColor="text1"/>
              </w:rPr>
              <w:t xml:space="preserve">Contractual Payables – held at amortised </w:t>
            </w:r>
            <w:proofErr w:type="gramStart"/>
            <w:r w:rsidRPr="00DF3006">
              <w:rPr>
                <w:color w:val="414042" w:themeColor="text1"/>
              </w:rPr>
              <w:t>cost</w:t>
            </w:r>
            <w:proofErr w:type="gramEnd"/>
          </w:p>
          <w:p w14:paraId="2746FB93" w14:textId="77777777" w:rsidR="00FC17BC" w:rsidRPr="00DF3006" w:rsidRDefault="00FC17BC" w:rsidP="00025E55">
            <w:pPr>
              <w:pStyle w:val="Policyindented"/>
              <w:spacing w:line="240" w:lineRule="auto"/>
              <w:rPr>
                <w:color w:val="414042" w:themeColor="text1"/>
              </w:rPr>
            </w:pPr>
            <w:r w:rsidRPr="00DF3006">
              <w:rPr>
                <w:color w:val="414042" w:themeColor="text1"/>
              </w:rPr>
              <w:t xml:space="preserve">Lease Liabilities – held at amortised </w:t>
            </w:r>
            <w:proofErr w:type="gramStart"/>
            <w:r w:rsidRPr="00DF3006">
              <w:rPr>
                <w:color w:val="414042" w:themeColor="text1"/>
              </w:rPr>
              <w:t>cost</w:t>
            </w:r>
            <w:proofErr w:type="gramEnd"/>
          </w:p>
          <w:p w14:paraId="692E00A7" w14:textId="77777777" w:rsidR="00FC17BC" w:rsidRPr="00DF3006" w:rsidRDefault="00FC17BC" w:rsidP="00025E55">
            <w:pPr>
              <w:pStyle w:val="Policyindented"/>
              <w:spacing w:line="240" w:lineRule="auto"/>
              <w:rPr>
                <w:color w:val="414042" w:themeColor="text1"/>
              </w:rPr>
            </w:pPr>
          </w:p>
        </w:tc>
      </w:tr>
    </w:tbl>
    <w:p w14:paraId="28090A4C" w14:textId="77777777" w:rsidR="00FC17BC" w:rsidRPr="00DF3006" w:rsidRDefault="00FC17BC" w:rsidP="00FC17BC">
      <w:pPr>
        <w:pStyle w:val="Normalhanginglist105pt"/>
        <w:spacing w:line="240" w:lineRule="auto"/>
        <w:rPr>
          <w:color w:val="414042" w:themeColor="text1"/>
        </w:rPr>
      </w:pPr>
    </w:p>
    <w:p w14:paraId="7DDCD2A2" w14:textId="77777777" w:rsidR="00FC17BC" w:rsidRPr="00DF3006" w:rsidRDefault="00FC17BC" w:rsidP="00FC17BC">
      <w:pPr>
        <w:pStyle w:val="Normalhanginglist105pt"/>
        <w:spacing w:line="240" w:lineRule="auto"/>
        <w:rPr>
          <w:color w:val="414042" w:themeColor="text1"/>
        </w:rPr>
      </w:pPr>
      <w:r w:rsidRPr="00DF3006">
        <w:rPr>
          <w:color w:val="414042" w:themeColor="text1"/>
        </w:rPr>
        <w:t>(a)</w:t>
      </w:r>
      <w:r w:rsidRPr="00DF3006">
        <w:rPr>
          <w:color w:val="414042" w:themeColor="text1"/>
        </w:rPr>
        <w:tab/>
        <w:t>Categorisation of Financial Instruments</w:t>
      </w:r>
    </w:p>
    <w:p w14:paraId="1B898691" w14:textId="77777777" w:rsidR="00FC17BC" w:rsidRPr="00DF3006" w:rsidRDefault="00FC17BC" w:rsidP="00FC17BC">
      <w:pPr>
        <w:pStyle w:val="Normalindent1stpara"/>
        <w:spacing w:line="240" w:lineRule="auto"/>
        <w:rPr>
          <w:color w:val="414042" w:themeColor="text1"/>
        </w:rPr>
      </w:pPr>
      <w:r w:rsidRPr="00DF3006">
        <w:rPr>
          <w:color w:val="414042" w:themeColor="text1"/>
        </w:rPr>
        <w:t>The CCC has the following categories of financial assets and financial liabilities:</w:t>
      </w:r>
    </w:p>
    <w:p w14:paraId="05FC29F1" w14:textId="77777777" w:rsidR="00FC17BC" w:rsidRPr="00DF3006" w:rsidRDefault="00FC17BC" w:rsidP="00FC17BC">
      <w:pPr>
        <w:pStyle w:val="Normalindent1stpara"/>
        <w:spacing w:line="240" w:lineRule="auto"/>
        <w:rPr>
          <w:color w:val="414042" w:themeColor="text1"/>
        </w:rPr>
      </w:pPr>
    </w:p>
    <w:p w14:paraId="35E1BE0B" w14:textId="77777777" w:rsidR="00FC17BC" w:rsidRPr="00DF3006" w:rsidRDefault="00FC17BC" w:rsidP="00FC17BC">
      <w:pPr>
        <w:pStyle w:val="Normalindent1stpara"/>
        <w:spacing w:line="240" w:lineRule="auto"/>
        <w:rPr>
          <w:color w:val="414042" w:themeColor="text1"/>
        </w:rPr>
      </w:pPr>
    </w:p>
    <w:tbl>
      <w:tblPr>
        <w:tblW w:w="9100"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5812"/>
        <w:gridCol w:w="850"/>
        <w:gridCol w:w="1134"/>
        <w:gridCol w:w="170"/>
        <w:gridCol w:w="1134"/>
      </w:tblGrid>
      <w:tr w:rsidR="00DF3006" w:rsidRPr="00DF3006" w14:paraId="6A188F32" w14:textId="77777777" w:rsidTr="00025E55">
        <w:trPr>
          <w:trHeight w:val="20"/>
        </w:trPr>
        <w:tc>
          <w:tcPr>
            <w:tcW w:w="5812" w:type="dxa"/>
            <w:tcBorders>
              <w:top w:val="nil"/>
              <w:left w:val="nil"/>
              <w:bottom w:val="nil"/>
            </w:tcBorders>
            <w:noWrap/>
            <w:tcMar>
              <w:left w:w="0" w:type="dxa"/>
              <w:right w:w="0" w:type="dxa"/>
            </w:tcMar>
            <w:vAlign w:val="bottom"/>
          </w:tcPr>
          <w:p w14:paraId="30448E61" w14:textId="77777777" w:rsidR="00FC17BC" w:rsidRPr="00DF3006" w:rsidRDefault="00FC17BC" w:rsidP="00025E55">
            <w:pPr>
              <w:pStyle w:val="Normalindent1stpara"/>
              <w:spacing w:before="0" w:line="240" w:lineRule="auto"/>
              <w:rPr>
                <w:color w:val="414042" w:themeColor="text1"/>
                <w:lang w:eastAsia="en-AU"/>
              </w:rPr>
            </w:pPr>
          </w:p>
        </w:tc>
        <w:tc>
          <w:tcPr>
            <w:tcW w:w="850" w:type="dxa"/>
            <w:tcBorders>
              <w:top w:val="nil"/>
              <w:bottom w:val="nil"/>
            </w:tcBorders>
            <w:noWrap/>
            <w:tcMar>
              <w:left w:w="0" w:type="dxa"/>
              <w:right w:w="0" w:type="dxa"/>
            </w:tcMar>
            <w:vAlign w:val="bottom"/>
          </w:tcPr>
          <w:p w14:paraId="5116E5AC" w14:textId="77777777" w:rsidR="00FC17BC" w:rsidRPr="00DF3006" w:rsidRDefault="00FC17BC" w:rsidP="00025E55">
            <w:pPr>
              <w:pStyle w:val="Normaltabletextcentred"/>
              <w:spacing w:line="240" w:lineRule="auto"/>
              <w:rPr>
                <w:b/>
                <w:color w:val="414042" w:themeColor="text1"/>
                <w:lang w:eastAsia="en-AU"/>
              </w:rPr>
            </w:pPr>
            <w:r w:rsidRPr="00DF3006">
              <w:rPr>
                <w:b/>
                <w:color w:val="414042" w:themeColor="text1"/>
                <w:lang w:eastAsia="en-AU"/>
              </w:rPr>
              <w:t>Note</w:t>
            </w:r>
          </w:p>
        </w:tc>
        <w:tc>
          <w:tcPr>
            <w:tcW w:w="1134" w:type="dxa"/>
            <w:tcBorders>
              <w:top w:val="nil"/>
              <w:bottom w:val="nil"/>
            </w:tcBorders>
            <w:shd w:val="clear" w:color="auto" w:fill="D9D9D9" w:themeFill="background1" w:themeFillShade="D9"/>
            <w:noWrap/>
            <w:tcMar>
              <w:left w:w="0" w:type="dxa"/>
              <w:right w:w="113" w:type="dxa"/>
            </w:tcMar>
            <w:vAlign w:val="bottom"/>
          </w:tcPr>
          <w:p w14:paraId="7675C76E"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2023</w:t>
            </w:r>
          </w:p>
        </w:tc>
        <w:tc>
          <w:tcPr>
            <w:tcW w:w="170" w:type="dxa"/>
            <w:tcBorders>
              <w:top w:val="nil"/>
              <w:bottom w:val="nil"/>
            </w:tcBorders>
            <w:noWrap/>
            <w:tcMar>
              <w:left w:w="0" w:type="dxa"/>
              <w:right w:w="0" w:type="dxa"/>
            </w:tcMar>
            <w:vAlign w:val="bottom"/>
          </w:tcPr>
          <w:p w14:paraId="1F70BFE6"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nil"/>
              <w:bottom w:val="nil"/>
              <w:right w:val="nil"/>
            </w:tcBorders>
            <w:noWrap/>
            <w:tcMar>
              <w:left w:w="0" w:type="dxa"/>
              <w:right w:w="113" w:type="dxa"/>
            </w:tcMar>
            <w:vAlign w:val="bottom"/>
          </w:tcPr>
          <w:p w14:paraId="437E94A0"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2022</w:t>
            </w:r>
          </w:p>
        </w:tc>
      </w:tr>
      <w:tr w:rsidR="00DF3006" w:rsidRPr="00DF3006" w14:paraId="0A8F7D0A" w14:textId="77777777" w:rsidTr="00025E55">
        <w:trPr>
          <w:trHeight w:val="20"/>
        </w:trPr>
        <w:tc>
          <w:tcPr>
            <w:tcW w:w="5812" w:type="dxa"/>
            <w:tcBorders>
              <w:top w:val="nil"/>
              <w:left w:val="nil"/>
              <w:bottom w:val="nil"/>
            </w:tcBorders>
            <w:noWrap/>
            <w:tcMar>
              <w:left w:w="0" w:type="dxa"/>
              <w:right w:w="0" w:type="dxa"/>
            </w:tcMar>
            <w:vAlign w:val="bottom"/>
          </w:tcPr>
          <w:p w14:paraId="4B3A5F88" w14:textId="77777777" w:rsidR="00FC17BC" w:rsidRPr="00DF3006" w:rsidRDefault="00FC17BC" w:rsidP="00025E55">
            <w:pPr>
              <w:pStyle w:val="Normalindent1stpara"/>
              <w:spacing w:before="0" w:line="240" w:lineRule="auto"/>
              <w:rPr>
                <w:b/>
                <w:color w:val="414042" w:themeColor="text1"/>
                <w:lang w:eastAsia="en-AU"/>
              </w:rPr>
            </w:pPr>
          </w:p>
        </w:tc>
        <w:tc>
          <w:tcPr>
            <w:tcW w:w="850" w:type="dxa"/>
            <w:tcBorders>
              <w:top w:val="nil"/>
              <w:bottom w:val="nil"/>
            </w:tcBorders>
            <w:noWrap/>
            <w:tcMar>
              <w:left w:w="0" w:type="dxa"/>
              <w:right w:w="0" w:type="dxa"/>
            </w:tcMar>
            <w:vAlign w:val="bottom"/>
          </w:tcPr>
          <w:p w14:paraId="196FD39A"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721583B3"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c>
          <w:tcPr>
            <w:tcW w:w="170" w:type="dxa"/>
            <w:tcBorders>
              <w:top w:val="nil"/>
              <w:bottom w:val="nil"/>
            </w:tcBorders>
            <w:noWrap/>
            <w:tcMar>
              <w:left w:w="0" w:type="dxa"/>
              <w:right w:w="0" w:type="dxa"/>
            </w:tcMar>
            <w:vAlign w:val="bottom"/>
          </w:tcPr>
          <w:p w14:paraId="3E6A522E"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nil"/>
              <w:bottom w:val="nil"/>
              <w:right w:val="nil"/>
            </w:tcBorders>
            <w:noWrap/>
            <w:tcMar>
              <w:left w:w="0" w:type="dxa"/>
              <w:right w:w="113" w:type="dxa"/>
            </w:tcMar>
            <w:vAlign w:val="bottom"/>
          </w:tcPr>
          <w:p w14:paraId="0FDF74C6"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$’000</w:t>
            </w:r>
          </w:p>
        </w:tc>
      </w:tr>
      <w:tr w:rsidR="00DF3006" w:rsidRPr="00DF3006" w14:paraId="15BF9047" w14:textId="77777777" w:rsidTr="00025E55">
        <w:trPr>
          <w:trHeight w:val="20"/>
        </w:trPr>
        <w:tc>
          <w:tcPr>
            <w:tcW w:w="5812" w:type="dxa"/>
            <w:tcBorders>
              <w:top w:val="nil"/>
              <w:left w:val="nil"/>
              <w:bottom w:val="nil"/>
            </w:tcBorders>
            <w:noWrap/>
            <w:tcMar>
              <w:left w:w="0" w:type="dxa"/>
              <w:right w:w="0" w:type="dxa"/>
            </w:tcMar>
            <w:vAlign w:val="bottom"/>
          </w:tcPr>
          <w:p w14:paraId="3DBCA972" w14:textId="77777777" w:rsidR="00FC17BC" w:rsidRPr="00DF3006" w:rsidRDefault="00FC17BC" w:rsidP="00025E55">
            <w:pPr>
              <w:pStyle w:val="Normalindent1stpara"/>
              <w:spacing w:before="0" w:line="240" w:lineRule="auto"/>
              <w:rPr>
                <w:color w:val="414042" w:themeColor="text1"/>
                <w:lang w:eastAsia="en-AU"/>
              </w:rPr>
            </w:pPr>
          </w:p>
        </w:tc>
        <w:tc>
          <w:tcPr>
            <w:tcW w:w="850" w:type="dxa"/>
            <w:tcBorders>
              <w:top w:val="nil"/>
              <w:bottom w:val="nil"/>
            </w:tcBorders>
            <w:noWrap/>
            <w:tcMar>
              <w:left w:w="0" w:type="dxa"/>
              <w:right w:w="0" w:type="dxa"/>
            </w:tcMar>
            <w:vAlign w:val="bottom"/>
          </w:tcPr>
          <w:p w14:paraId="09BD58D4"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tcBorders>
            <w:shd w:val="clear" w:color="auto" w:fill="D9D9D9" w:themeFill="background1" w:themeFillShade="D9"/>
            <w:noWrap/>
            <w:tcMar>
              <w:left w:w="0" w:type="dxa"/>
              <w:right w:w="0" w:type="dxa"/>
            </w:tcMar>
            <w:vAlign w:val="bottom"/>
          </w:tcPr>
          <w:p w14:paraId="40056B66" w14:textId="77777777" w:rsidR="00FC17BC" w:rsidRPr="00DF3006" w:rsidRDefault="00FC17BC" w:rsidP="00025E55">
            <w:pPr>
              <w:pStyle w:val="Normaltabletext1stpararight"/>
              <w:spacing w:line="240" w:lineRule="auto"/>
              <w:rPr>
                <w:color w:val="414042" w:themeColor="text1"/>
                <w:lang w:eastAsia="en-AU"/>
              </w:rPr>
            </w:pPr>
          </w:p>
        </w:tc>
        <w:tc>
          <w:tcPr>
            <w:tcW w:w="170" w:type="dxa"/>
            <w:tcBorders>
              <w:top w:val="nil"/>
              <w:bottom w:val="nil"/>
            </w:tcBorders>
            <w:noWrap/>
            <w:tcMar>
              <w:left w:w="0" w:type="dxa"/>
              <w:right w:w="0" w:type="dxa"/>
            </w:tcMar>
            <w:vAlign w:val="bottom"/>
          </w:tcPr>
          <w:p w14:paraId="2AF5EC3E"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noWrap/>
            <w:tcMar>
              <w:left w:w="0" w:type="dxa"/>
              <w:right w:w="0" w:type="dxa"/>
            </w:tcMar>
          </w:tcPr>
          <w:p w14:paraId="3774C53D"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6DB72204" w14:textId="77777777" w:rsidTr="00025E55">
        <w:trPr>
          <w:trHeight w:val="20"/>
        </w:trPr>
        <w:tc>
          <w:tcPr>
            <w:tcW w:w="5812" w:type="dxa"/>
            <w:tcBorders>
              <w:top w:val="nil"/>
              <w:left w:val="nil"/>
              <w:bottom w:val="nil"/>
            </w:tcBorders>
            <w:noWrap/>
            <w:tcMar>
              <w:left w:w="0" w:type="dxa"/>
              <w:right w:w="0" w:type="dxa"/>
            </w:tcMar>
            <w:vAlign w:val="bottom"/>
          </w:tcPr>
          <w:p w14:paraId="710EA278" w14:textId="77777777" w:rsidR="00FC17BC" w:rsidRPr="00DF3006" w:rsidRDefault="00FC17BC" w:rsidP="00025E55">
            <w:pPr>
              <w:pStyle w:val="Normalindent1stpara"/>
              <w:spacing w:before="0" w:line="240" w:lineRule="auto"/>
              <w:rPr>
                <w:b/>
                <w:color w:val="414042" w:themeColor="text1"/>
                <w:lang w:eastAsia="en-AU"/>
              </w:rPr>
            </w:pPr>
            <w:r w:rsidRPr="00DF3006">
              <w:rPr>
                <w:b/>
                <w:color w:val="414042" w:themeColor="text1"/>
                <w:lang w:eastAsia="en-AU"/>
              </w:rPr>
              <w:t>Financial assets</w:t>
            </w:r>
          </w:p>
        </w:tc>
        <w:tc>
          <w:tcPr>
            <w:tcW w:w="850" w:type="dxa"/>
            <w:tcBorders>
              <w:top w:val="nil"/>
              <w:bottom w:val="nil"/>
            </w:tcBorders>
            <w:noWrap/>
            <w:tcMar>
              <w:left w:w="0" w:type="dxa"/>
              <w:right w:w="0" w:type="dxa"/>
            </w:tcMar>
            <w:vAlign w:val="bottom"/>
          </w:tcPr>
          <w:p w14:paraId="597BDC04"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tcBorders>
            <w:shd w:val="clear" w:color="auto" w:fill="D9D9D9" w:themeFill="background1" w:themeFillShade="D9"/>
            <w:noWrap/>
            <w:tcMar>
              <w:left w:w="0" w:type="dxa"/>
              <w:right w:w="0" w:type="dxa"/>
            </w:tcMar>
            <w:vAlign w:val="bottom"/>
          </w:tcPr>
          <w:p w14:paraId="7FB45A32" w14:textId="77777777" w:rsidR="00FC17BC" w:rsidRPr="00DF3006" w:rsidRDefault="00FC17BC" w:rsidP="00025E55">
            <w:pPr>
              <w:pStyle w:val="Normaltabletext1stpararight"/>
              <w:spacing w:line="240" w:lineRule="auto"/>
              <w:rPr>
                <w:color w:val="414042" w:themeColor="text1"/>
                <w:lang w:eastAsia="en-AU"/>
              </w:rPr>
            </w:pPr>
          </w:p>
        </w:tc>
        <w:tc>
          <w:tcPr>
            <w:tcW w:w="170" w:type="dxa"/>
            <w:tcBorders>
              <w:top w:val="nil"/>
              <w:bottom w:val="nil"/>
            </w:tcBorders>
            <w:noWrap/>
            <w:tcMar>
              <w:left w:w="0" w:type="dxa"/>
              <w:right w:w="0" w:type="dxa"/>
            </w:tcMar>
            <w:vAlign w:val="bottom"/>
          </w:tcPr>
          <w:p w14:paraId="44F51AB6"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noWrap/>
            <w:tcMar>
              <w:left w:w="0" w:type="dxa"/>
              <w:right w:w="0" w:type="dxa"/>
            </w:tcMar>
          </w:tcPr>
          <w:p w14:paraId="0A0E9D59"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7B9C452E" w14:textId="77777777" w:rsidTr="00025E55">
        <w:trPr>
          <w:trHeight w:val="20"/>
        </w:trPr>
        <w:tc>
          <w:tcPr>
            <w:tcW w:w="5812" w:type="dxa"/>
            <w:tcBorders>
              <w:top w:val="nil"/>
              <w:left w:val="nil"/>
              <w:bottom w:val="nil"/>
            </w:tcBorders>
            <w:noWrap/>
            <w:tcMar>
              <w:left w:w="0" w:type="dxa"/>
              <w:right w:w="0" w:type="dxa"/>
            </w:tcMar>
            <w:vAlign w:val="bottom"/>
          </w:tcPr>
          <w:p w14:paraId="25A0E69F" w14:textId="77777777" w:rsidR="00FC17BC" w:rsidRPr="00DF3006" w:rsidRDefault="00FC17BC" w:rsidP="00025E55">
            <w:pPr>
              <w:pStyle w:val="Normalindent1stpara"/>
              <w:spacing w:before="0" w:line="240" w:lineRule="auto"/>
              <w:rPr>
                <w:color w:val="414042" w:themeColor="text1"/>
                <w:lang w:eastAsia="en-AU"/>
              </w:rPr>
            </w:pPr>
            <w:r w:rsidRPr="00DF3006">
              <w:rPr>
                <w:color w:val="414042" w:themeColor="text1"/>
                <w:lang w:eastAsia="en-AU"/>
              </w:rPr>
              <w:t>Cash and cash equivalents</w:t>
            </w:r>
          </w:p>
        </w:tc>
        <w:tc>
          <w:tcPr>
            <w:tcW w:w="850" w:type="dxa"/>
            <w:tcBorders>
              <w:top w:val="nil"/>
              <w:bottom w:val="nil"/>
            </w:tcBorders>
            <w:noWrap/>
            <w:tcMar>
              <w:left w:w="0" w:type="dxa"/>
              <w:right w:w="0" w:type="dxa"/>
            </w:tcMar>
            <w:vAlign w:val="bottom"/>
          </w:tcPr>
          <w:p w14:paraId="28BC1C48" w14:textId="77777777" w:rsidR="00FC17BC" w:rsidRPr="00DF3006" w:rsidRDefault="00FC17BC" w:rsidP="00025E55">
            <w:pPr>
              <w:pStyle w:val="Normaltabletextcentred"/>
              <w:spacing w:line="240" w:lineRule="auto"/>
              <w:rPr>
                <w:color w:val="414042" w:themeColor="text1"/>
                <w:lang w:eastAsia="en-AU"/>
              </w:rPr>
            </w:pPr>
            <w:r w:rsidRPr="00DF3006">
              <w:rPr>
                <w:color w:val="414042" w:themeColor="text1"/>
                <w:lang w:eastAsia="en-AU"/>
              </w:rPr>
              <w:t>7</w:t>
            </w:r>
          </w:p>
        </w:tc>
        <w:tc>
          <w:tcPr>
            <w:tcW w:w="1134" w:type="dxa"/>
            <w:tcBorders>
              <w:top w:val="nil"/>
              <w:bottom w:val="nil"/>
            </w:tcBorders>
            <w:shd w:val="clear" w:color="auto" w:fill="D9D9D9" w:themeFill="background1" w:themeFillShade="D9"/>
            <w:noWrap/>
            <w:tcMar>
              <w:left w:w="0" w:type="dxa"/>
              <w:right w:w="113" w:type="dxa"/>
            </w:tcMar>
            <w:vAlign w:val="bottom"/>
          </w:tcPr>
          <w:p w14:paraId="5395CAAD"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25,215</w:t>
            </w:r>
          </w:p>
        </w:tc>
        <w:tc>
          <w:tcPr>
            <w:tcW w:w="170" w:type="dxa"/>
            <w:tcBorders>
              <w:top w:val="nil"/>
              <w:bottom w:val="nil"/>
            </w:tcBorders>
            <w:noWrap/>
            <w:tcMar>
              <w:left w:w="0" w:type="dxa"/>
              <w:right w:w="0" w:type="dxa"/>
            </w:tcMar>
            <w:vAlign w:val="bottom"/>
          </w:tcPr>
          <w:p w14:paraId="348D247E"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noWrap/>
            <w:tcMar>
              <w:left w:w="0" w:type="dxa"/>
              <w:right w:w="113" w:type="dxa"/>
            </w:tcMar>
            <w:vAlign w:val="bottom"/>
          </w:tcPr>
          <w:p w14:paraId="25BDC0DB"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18,895</w:t>
            </w:r>
          </w:p>
        </w:tc>
      </w:tr>
      <w:tr w:rsidR="00DF3006" w:rsidRPr="00DF3006" w14:paraId="3603966F" w14:textId="77777777" w:rsidTr="00025E55">
        <w:trPr>
          <w:trHeight w:val="20"/>
        </w:trPr>
        <w:tc>
          <w:tcPr>
            <w:tcW w:w="5812" w:type="dxa"/>
            <w:tcBorders>
              <w:top w:val="nil"/>
              <w:left w:val="nil"/>
              <w:bottom w:val="nil"/>
            </w:tcBorders>
            <w:noWrap/>
            <w:tcMar>
              <w:left w:w="0" w:type="dxa"/>
              <w:right w:w="0" w:type="dxa"/>
            </w:tcMar>
            <w:vAlign w:val="bottom"/>
          </w:tcPr>
          <w:p w14:paraId="3516FBAF" w14:textId="77777777" w:rsidR="00FC17BC" w:rsidRPr="00DF3006" w:rsidRDefault="00FC17BC" w:rsidP="00025E55">
            <w:pPr>
              <w:pStyle w:val="Normalindent1stpara"/>
              <w:spacing w:before="0" w:line="240" w:lineRule="auto"/>
              <w:rPr>
                <w:color w:val="414042" w:themeColor="text1"/>
                <w:lang w:eastAsia="en-AU"/>
              </w:rPr>
            </w:pPr>
            <w:r w:rsidRPr="00DF3006">
              <w:rPr>
                <w:color w:val="414042" w:themeColor="text1"/>
                <w:lang w:eastAsia="en-AU"/>
              </w:rPr>
              <w:t>Contractual receivables</w:t>
            </w:r>
          </w:p>
        </w:tc>
        <w:tc>
          <w:tcPr>
            <w:tcW w:w="850" w:type="dxa"/>
            <w:tcBorders>
              <w:top w:val="nil"/>
              <w:bottom w:val="nil"/>
            </w:tcBorders>
            <w:noWrap/>
            <w:tcMar>
              <w:left w:w="0" w:type="dxa"/>
              <w:right w:w="0" w:type="dxa"/>
            </w:tcMar>
            <w:vAlign w:val="bottom"/>
          </w:tcPr>
          <w:p w14:paraId="4DC239B9"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single" w:sz="4" w:space="0" w:color="auto"/>
            </w:tcBorders>
            <w:shd w:val="clear" w:color="auto" w:fill="D9D9D9" w:themeFill="background1" w:themeFillShade="D9"/>
            <w:noWrap/>
            <w:tcMar>
              <w:left w:w="0" w:type="dxa"/>
              <w:right w:w="113" w:type="dxa"/>
            </w:tcMar>
            <w:vAlign w:val="bottom"/>
          </w:tcPr>
          <w:p w14:paraId="2F2D3D2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757</w:t>
            </w:r>
          </w:p>
        </w:tc>
        <w:tc>
          <w:tcPr>
            <w:tcW w:w="170" w:type="dxa"/>
            <w:tcBorders>
              <w:top w:val="nil"/>
              <w:bottom w:val="nil"/>
            </w:tcBorders>
            <w:noWrap/>
            <w:tcMar>
              <w:left w:w="0" w:type="dxa"/>
              <w:right w:w="0" w:type="dxa"/>
            </w:tcMar>
            <w:vAlign w:val="bottom"/>
          </w:tcPr>
          <w:p w14:paraId="7590F8C8"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single" w:sz="4" w:space="0" w:color="auto"/>
              <w:right w:val="nil"/>
            </w:tcBorders>
            <w:noWrap/>
            <w:tcMar>
              <w:left w:w="0" w:type="dxa"/>
              <w:right w:w="113" w:type="dxa"/>
            </w:tcMar>
            <w:vAlign w:val="bottom"/>
          </w:tcPr>
          <w:p w14:paraId="55A50026"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768</w:t>
            </w:r>
          </w:p>
        </w:tc>
      </w:tr>
      <w:tr w:rsidR="00DF3006" w:rsidRPr="00DF3006" w14:paraId="1806D19A" w14:textId="77777777" w:rsidTr="00025E55">
        <w:trPr>
          <w:trHeight w:val="20"/>
        </w:trPr>
        <w:tc>
          <w:tcPr>
            <w:tcW w:w="5812" w:type="dxa"/>
            <w:tcBorders>
              <w:top w:val="nil"/>
              <w:left w:val="nil"/>
              <w:bottom w:val="nil"/>
            </w:tcBorders>
            <w:noWrap/>
            <w:tcMar>
              <w:left w:w="0" w:type="dxa"/>
              <w:right w:w="0" w:type="dxa"/>
            </w:tcMar>
            <w:vAlign w:val="bottom"/>
          </w:tcPr>
          <w:p w14:paraId="42AEF7FE" w14:textId="77777777" w:rsidR="00FC17BC" w:rsidRPr="00DF3006" w:rsidRDefault="00FC17BC" w:rsidP="00025E55">
            <w:pPr>
              <w:pStyle w:val="Normalindent1stpara"/>
              <w:spacing w:before="0" w:line="240" w:lineRule="auto"/>
              <w:rPr>
                <w:b/>
                <w:color w:val="414042" w:themeColor="text1"/>
                <w:lang w:eastAsia="en-AU"/>
              </w:rPr>
            </w:pPr>
            <w:r w:rsidRPr="00DF3006">
              <w:rPr>
                <w:b/>
                <w:color w:val="414042" w:themeColor="text1"/>
                <w:lang w:eastAsia="en-AU"/>
              </w:rPr>
              <w:t>Total</w:t>
            </w:r>
          </w:p>
        </w:tc>
        <w:tc>
          <w:tcPr>
            <w:tcW w:w="850" w:type="dxa"/>
            <w:tcBorders>
              <w:top w:val="nil"/>
              <w:bottom w:val="nil"/>
            </w:tcBorders>
            <w:noWrap/>
            <w:tcMar>
              <w:left w:w="0" w:type="dxa"/>
              <w:right w:w="0" w:type="dxa"/>
            </w:tcMar>
            <w:vAlign w:val="bottom"/>
          </w:tcPr>
          <w:p w14:paraId="4D6C92AE"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5943FB05"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25,972</w:t>
            </w:r>
          </w:p>
        </w:tc>
        <w:tc>
          <w:tcPr>
            <w:tcW w:w="170" w:type="dxa"/>
            <w:tcBorders>
              <w:top w:val="nil"/>
              <w:bottom w:val="nil"/>
            </w:tcBorders>
            <w:noWrap/>
            <w:tcMar>
              <w:left w:w="0" w:type="dxa"/>
              <w:right w:w="0" w:type="dxa"/>
            </w:tcMar>
            <w:vAlign w:val="bottom"/>
          </w:tcPr>
          <w:p w14:paraId="2001D88B"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01DD0B4A"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19,663</w:t>
            </w:r>
          </w:p>
        </w:tc>
      </w:tr>
      <w:tr w:rsidR="00DF3006" w:rsidRPr="00DF3006" w14:paraId="4AB04980" w14:textId="77777777" w:rsidTr="00025E55">
        <w:trPr>
          <w:trHeight w:val="20"/>
        </w:trPr>
        <w:tc>
          <w:tcPr>
            <w:tcW w:w="5812" w:type="dxa"/>
            <w:tcBorders>
              <w:top w:val="nil"/>
              <w:left w:val="nil"/>
              <w:bottom w:val="nil"/>
            </w:tcBorders>
            <w:noWrap/>
            <w:tcMar>
              <w:left w:w="0" w:type="dxa"/>
              <w:right w:w="0" w:type="dxa"/>
            </w:tcMar>
            <w:vAlign w:val="bottom"/>
          </w:tcPr>
          <w:p w14:paraId="58A3D1DE" w14:textId="77777777" w:rsidR="00FC17BC" w:rsidRPr="00DF3006" w:rsidRDefault="00FC17BC" w:rsidP="00025E55">
            <w:pPr>
              <w:pStyle w:val="Normalindent1stpara"/>
              <w:spacing w:before="0" w:line="240" w:lineRule="auto"/>
              <w:rPr>
                <w:b/>
                <w:color w:val="414042" w:themeColor="text1"/>
                <w:lang w:eastAsia="en-AU"/>
              </w:rPr>
            </w:pPr>
            <w:r w:rsidRPr="00DF3006">
              <w:rPr>
                <w:b/>
                <w:color w:val="414042" w:themeColor="text1"/>
                <w:lang w:eastAsia="en-AU"/>
              </w:rPr>
              <w:t>Financial liabilities</w:t>
            </w:r>
          </w:p>
        </w:tc>
        <w:tc>
          <w:tcPr>
            <w:tcW w:w="850" w:type="dxa"/>
            <w:tcBorders>
              <w:top w:val="nil"/>
              <w:bottom w:val="nil"/>
            </w:tcBorders>
            <w:noWrap/>
            <w:tcMar>
              <w:left w:w="0" w:type="dxa"/>
              <w:right w:w="0" w:type="dxa"/>
            </w:tcMar>
            <w:vAlign w:val="bottom"/>
          </w:tcPr>
          <w:p w14:paraId="1FB72916"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50AFF8FF" w14:textId="77777777" w:rsidR="00FC17BC" w:rsidRPr="00DF3006" w:rsidRDefault="00FC17BC" w:rsidP="00025E55">
            <w:pPr>
              <w:pStyle w:val="Normaltabletext1stpararight"/>
              <w:spacing w:line="240" w:lineRule="auto"/>
              <w:rPr>
                <w:color w:val="414042" w:themeColor="text1"/>
                <w:lang w:eastAsia="en-AU"/>
              </w:rPr>
            </w:pPr>
          </w:p>
        </w:tc>
        <w:tc>
          <w:tcPr>
            <w:tcW w:w="170" w:type="dxa"/>
            <w:tcBorders>
              <w:top w:val="nil"/>
              <w:bottom w:val="nil"/>
            </w:tcBorders>
            <w:noWrap/>
            <w:tcMar>
              <w:left w:w="0" w:type="dxa"/>
              <w:right w:w="0" w:type="dxa"/>
            </w:tcMar>
            <w:vAlign w:val="bottom"/>
          </w:tcPr>
          <w:p w14:paraId="09F03DD5"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noWrap/>
            <w:tcMar>
              <w:left w:w="0" w:type="dxa"/>
              <w:right w:w="113" w:type="dxa"/>
            </w:tcMar>
            <w:vAlign w:val="bottom"/>
          </w:tcPr>
          <w:p w14:paraId="6080DD22" w14:textId="77777777" w:rsidR="00FC17BC" w:rsidRPr="00DF3006" w:rsidRDefault="00FC17BC" w:rsidP="00025E55">
            <w:pPr>
              <w:pStyle w:val="Normaltabletext1stpararight"/>
              <w:spacing w:line="240" w:lineRule="auto"/>
              <w:rPr>
                <w:color w:val="414042" w:themeColor="text1"/>
                <w:lang w:eastAsia="en-AU"/>
              </w:rPr>
            </w:pPr>
          </w:p>
        </w:tc>
      </w:tr>
      <w:tr w:rsidR="00DF3006" w:rsidRPr="00DF3006" w14:paraId="3657676C" w14:textId="77777777" w:rsidTr="00025E55">
        <w:trPr>
          <w:trHeight w:val="20"/>
        </w:trPr>
        <w:tc>
          <w:tcPr>
            <w:tcW w:w="5812" w:type="dxa"/>
            <w:tcBorders>
              <w:top w:val="nil"/>
              <w:left w:val="nil"/>
              <w:bottom w:val="nil"/>
            </w:tcBorders>
            <w:noWrap/>
            <w:tcMar>
              <w:left w:w="0" w:type="dxa"/>
              <w:right w:w="0" w:type="dxa"/>
            </w:tcMar>
            <w:vAlign w:val="bottom"/>
          </w:tcPr>
          <w:p w14:paraId="68009FC5" w14:textId="77777777" w:rsidR="00FC17BC" w:rsidRPr="00DF3006" w:rsidRDefault="00FC17BC" w:rsidP="00025E55">
            <w:pPr>
              <w:pStyle w:val="Normalindent1stpara"/>
              <w:spacing w:before="0" w:line="240" w:lineRule="auto"/>
              <w:rPr>
                <w:color w:val="414042" w:themeColor="text1"/>
                <w:lang w:eastAsia="en-AU"/>
              </w:rPr>
            </w:pPr>
            <w:r w:rsidRPr="00DF3006">
              <w:rPr>
                <w:color w:val="414042" w:themeColor="text1"/>
                <w:lang w:eastAsia="en-AU"/>
              </w:rPr>
              <w:t>Contractual payables</w:t>
            </w:r>
          </w:p>
        </w:tc>
        <w:tc>
          <w:tcPr>
            <w:tcW w:w="850" w:type="dxa"/>
            <w:tcBorders>
              <w:top w:val="nil"/>
              <w:bottom w:val="nil"/>
            </w:tcBorders>
            <w:noWrap/>
            <w:tcMar>
              <w:left w:w="0" w:type="dxa"/>
              <w:right w:w="0" w:type="dxa"/>
            </w:tcMar>
            <w:vAlign w:val="bottom"/>
          </w:tcPr>
          <w:p w14:paraId="7AFE3476" w14:textId="77777777" w:rsidR="00FC17BC" w:rsidRPr="00DF3006" w:rsidRDefault="00FC17BC" w:rsidP="00025E55">
            <w:pPr>
              <w:pStyle w:val="Normaltabletextcentred"/>
              <w:spacing w:line="240" w:lineRule="auto"/>
              <w:rPr>
                <w:color w:val="414042" w:themeColor="text1"/>
                <w:lang w:eastAsia="en-AU"/>
              </w:rPr>
            </w:pPr>
            <w:r w:rsidRPr="00DF3006">
              <w:rPr>
                <w:color w:val="414042" w:themeColor="text1"/>
                <w:lang w:eastAsia="en-AU"/>
              </w:rPr>
              <w:t>12</w:t>
            </w:r>
          </w:p>
        </w:tc>
        <w:tc>
          <w:tcPr>
            <w:tcW w:w="1134" w:type="dxa"/>
            <w:tcBorders>
              <w:top w:val="nil"/>
              <w:bottom w:val="nil"/>
            </w:tcBorders>
            <w:shd w:val="clear" w:color="auto" w:fill="D9D9D9" w:themeFill="background1" w:themeFillShade="D9"/>
            <w:noWrap/>
            <w:tcMar>
              <w:left w:w="0" w:type="dxa"/>
              <w:right w:w="113" w:type="dxa"/>
            </w:tcMar>
            <w:vAlign w:val="bottom"/>
          </w:tcPr>
          <w:p w14:paraId="052F824A"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2,199</w:t>
            </w:r>
          </w:p>
        </w:tc>
        <w:tc>
          <w:tcPr>
            <w:tcW w:w="170" w:type="dxa"/>
            <w:tcBorders>
              <w:top w:val="nil"/>
              <w:bottom w:val="nil"/>
            </w:tcBorders>
            <w:noWrap/>
            <w:tcMar>
              <w:left w:w="0" w:type="dxa"/>
              <w:right w:w="0" w:type="dxa"/>
            </w:tcMar>
            <w:vAlign w:val="bottom"/>
          </w:tcPr>
          <w:p w14:paraId="0AA60842"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noWrap/>
            <w:tcMar>
              <w:left w:w="0" w:type="dxa"/>
              <w:right w:w="113" w:type="dxa"/>
            </w:tcMar>
            <w:vAlign w:val="bottom"/>
          </w:tcPr>
          <w:p w14:paraId="1E97885F"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2,653</w:t>
            </w:r>
          </w:p>
        </w:tc>
      </w:tr>
      <w:tr w:rsidR="00DF3006" w:rsidRPr="00DF3006" w14:paraId="4EFBCFC5" w14:textId="77777777" w:rsidTr="00025E55">
        <w:trPr>
          <w:trHeight w:val="20"/>
        </w:trPr>
        <w:tc>
          <w:tcPr>
            <w:tcW w:w="5812" w:type="dxa"/>
            <w:tcBorders>
              <w:top w:val="nil"/>
              <w:left w:val="nil"/>
              <w:bottom w:val="nil"/>
            </w:tcBorders>
            <w:noWrap/>
            <w:tcMar>
              <w:left w:w="0" w:type="dxa"/>
              <w:right w:w="0" w:type="dxa"/>
            </w:tcMar>
            <w:vAlign w:val="bottom"/>
          </w:tcPr>
          <w:p w14:paraId="52277BF1" w14:textId="77777777" w:rsidR="00FC17BC" w:rsidRPr="00DF3006" w:rsidRDefault="00FC17BC" w:rsidP="00025E55">
            <w:pPr>
              <w:pStyle w:val="Normalindent1stpara"/>
              <w:spacing w:before="0" w:line="240" w:lineRule="auto"/>
              <w:rPr>
                <w:color w:val="414042" w:themeColor="text1"/>
                <w:lang w:eastAsia="en-AU"/>
              </w:rPr>
            </w:pPr>
            <w:r w:rsidRPr="00DF3006">
              <w:rPr>
                <w:color w:val="414042" w:themeColor="text1"/>
                <w:lang w:eastAsia="en-AU"/>
              </w:rPr>
              <w:t>Lease liabilities</w:t>
            </w:r>
          </w:p>
        </w:tc>
        <w:tc>
          <w:tcPr>
            <w:tcW w:w="850" w:type="dxa"/>
            <w:tcBorders>
              <w:top w:val="nil"/>
              <w:bottom w:val="nil"/>
            </w:tcBorders>
            <w:noWrap/>
            <w:tcMar>
              <w:left w:w="0" w:type="dxa"/>
              <w:right w:w="0" w:type="dxa"/>
            </w:tcMar>
            <w:vAlign w:val="bottom"/>
          </w:tcPr>
          <w:p w14:paraId="4FCAA0FF" w14:textId="77777777" w:rsidR="00FC17BC" w:rsidRPr="00DF3006" w:rsidRDefault="00FC17BC" w:rsidP="00025E55">
            <w:pPr>
              <w:pStyle w:val="Normaltabletextcentred"/>
              <w:spacing w:line="240" w:lineRule="auto"/>
              <w:rPr>
                <w:color w:val="414042" w:themeColor="text1"/>
                <w:lang w:eastAsia="en-AU"/>
              </w:rPr>
            </w:pPr>
            <w:r w:rsidRPr="00DF3006">
              <w:rPr>
                <w:color w:val="414042" w:themeColor="text1"/>
                <w:lang w:eastAsia="en-AU"/>
              </w:rPr>
              <w:t>11</w:t>
            </w:r>
          </w:p>
        </w:tc>
        <w:tc>
          <w:tcPr>
            <w:tcW w:w="1134" w:type="dxa"/>
            <w:tcBorders>
              <w:top w:val="nil"/>
              <w:bottom w:val="nil"/>
            </w:tcBorders>
            <w:shd w:val="clear" w:color="auto" w:fill="D9D9D9" w:themeFill="background1" w:themeFillShade="D9"/>
            <w:noWrap/>
            <w:tcMar>
              <w:left w:w="0" w:type="dxa"/>
              <w:right w:w="113" w:type="dxa"/>
            </w:tcMar>
            <w:vAlign w:val="bottom"/>
          </w:tcPr>
          <w:p w14:paraId="2B8F2550"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968</w:t>
            </w:r>
          </w:p>
        </w:tc>
        <w:tc>
          <w:tcPr>
            <w:tcW w:w="170" w:type="dxa"/>
            <w:tcBorders>
              <w:top w:val="nil"/>
              <w:bottom w:val="nil"/>
            </w:tcBorders>
            <w:noWrap/>
            <w:tcMar>
              <w:left w:w="0" w:type="dxa"/>
              <w:right w:w="0" w:type="dxa"/>
            </w:tcMar>
            <w:vAlign w:val="bottom"/>
          </w:tcPr>
          <w:p w14:paraId="2D973D43" w14:textId="77777777" w:rsidR="00FC17BC" w:rsidRPr="00DF3006" w:rsidRDefault="00FC17BC" w:rsidP="00025E55">
            <w:pPr>
              <w:pStyle w:val="Normaltabletextcentred"/>
              <w:spacing w:line="240" w:lineRule="auto"/>
              <w:rPr>
                <w:color w:val="414042" w:themeColor="text1"/>
                <w:lang w:eastAsia="en-AU"/>
              </w:rPr>
            </w:pPr>
          </w:p>
        </w:tc>
        <w:tc>
          <w:tcPr>
            <w:tcW w:w="1134" w:type="dxa"/>
            <w:tcBorders>
              <w:top w:val="nil"/>
              <w:bottom w:val="nil"/>
              <w:right w:val="nil"/>
            </w:tcBorders>
            <w:noWrap/>
            <w:tcMar>
              <w:left w:w="0" w:type="dxa"/>
              <w:right w:w="113" w:type="dxa"/>
            </w:tcMar>
            <w:vAlign w:val="bottom"/>
          </w:tcPr>
          <w:p w14:paraId="1E160CF5" w14:textId="77777777" w:rsidR="00FC17BC" w:rsidRPr="00DF3006" w:rsidRDefault="00FC17BC" w:rsidP="00025E55">
            <w:pPr>
              <w:pStyle w:val="Normaltabletext1stpararight"/>
              <w:spacing w:line="240" w:lineRule="auto"/>
              <w:rPr>
                <w:color w:val="414042" w:themeColor="text1"/>
                <w:lang w:eastAsia="en-AU"/>
              </w:rPr>
            </w:pPr>
            <w:r w:rsidRPr="00DF3006">
              <w:rPr>
                <w:color w:val="414042" w:themeColor="text1"/>
                <w:lang w:eastAsia="en-AU"/>
              </w:rPr>
              <w:t>330</w:t>
            </w:r>
          </w:p>
        </w:tc>
      </w:tr>
      <w:tr w:rsidR="00DF3006" w:rsidRPr="00DF3006" w14:paraId="33A16D69" w14:textId="77777777" w:rsidTr="00025E55">
        <w:trPr>
          <w:trHeight w:val="20"/>
        </w:trPr>
        <w:tc>
          <w:tcPr>
            <w:tcW w:w="5812" w:type="dxa"/>
            <w:tcBorders>
              <w:top w:val="nil"/>
              <w:left w:val="nil"/>
              <w:bottom w:val="nil"/>
            </w:tcBorders>
            <w:noWrap/>
            <w:tcMar>
              <w:left w:w="0" w:type="dxa"/>
              <w:right w:w="0" w:type="dxa"/>
            </w:tcMar>
            <w:vAlign w:val="bottom"/>
          </w:tcPr>
          <w:p w14:paraId="2D5E9E52" w14:textId="77777777" w:rsidR="00FC17BC" w:rsidRPr="00DF3006" w:rsidRDefault="00FC17BC" w:rsidP="00025E55">
            <w:pPr>
              <w:pStyle w:val="Normalindent1stpara"/>
              <w:spacing w:before="0" w:line="240" w:lineRule="auto"/>
              <w:rPr>
                <w:b/>
                <w:color w:val="414042" w:themeColor="text1"/>
                <w:lang w:eastAsia="en-AU"/>
              </w:rPr>
            </w:pPr>
            <w:r w:rsidRPr="00DF3006">
              <w:rPr>
                <w:b/>
                <w:color w:val="414042" w:themeColor="text1"/>
                <w:lang w:eastAsia="en-AU"/>
              </w:rPr>
              <w:t>Total</w:t>
            </w:r>
          </w:p>
        </w:tc>
        <w:tc>
          <w:tcPr>
            <w:tcW w:w="850" w:type="dxa"/>
            <w:tcBorders>
              <w:top w:val="nil"/>
              <w:bottom w:val="nil"/>
            </w:tcBorders>
            <w:noWrap/>
            <w:tcMar>
              <w:left w:w="0" w:type="dxa"/>
              <w:right w:w="0" w:type="dxa"/>
            </w:tcMar>
            <w:vAlign w:val="bottom"/>
          </w:tcPr>
          <w:p w14:paraId="21EC7CE4"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08800D26"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3,167</w:t>
            </w:r>
          </w:p>
        </w:tc>
        <w:tc>
          <w:tcPr>
            <w:tcW w:w="170" w:type="dxa"/>
            <w:tcBorders>
              <w:top w:val="nil"/>
              <w:bottom w:val="nil"/>
            </w:tcBorders>
            <w:noWrap/>
            <w:tcMar>
              <w:left w:w="0" w:type="dxa"/>
              <w:right w:w="0" w:type="dxa"/>
            </w:tcMar>
            <w:vAlign w:val="bottom"/>
          </w:tcPr>
          <w:p w14:paraId="338527DF" w14:textId="77777777" w:rsidR="00FC17BC" w:rsidRPr="00DF3006" w:rsidRDefault="00FC17BC" w:rsidP="00025E55">
            <w:pPr>
              <w:pStyle w:val="Normaltabletextcentred"/>
              <w:spacing w:line="240" w:lineRule="auto"/>
              <w:rPr>
                <w:b/>
                <w:color w:val="414042" w:themeColor="text1"/>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16577147" w14:textId="77777777" w:rsidR="00FC17BC" w:rsidRPr="00DF3006" w:rsidRDefault="00FC17BC" w:rsidP="00025E55">
            <w:pPr>
              <w:pStyle w:val="Normaltabletext1stpararight"/>
              <w:spacing w:line="240" w:lineRule="auto"/>
              <w:rPr>
                <w:b/>
                <w:color w:val="414042" w:themeColor="text1"/>
                <w:lang w:eastAsia="en-AU"/>
              </w:rPr>
            </w:pPr>
            <w:r w:rsidRPr="00DF3006">
              <w:rPr>
                <w:b/>
                <w:color w:val="414042" w:themeColor="text1"/>
                <w:lang w:eastAsia="en-AU"/>
              </w:rPr>
              <w:t>2,983</w:t>
            </w:r>
          </w:p>
        </w:tc>
      </w:tr>
    </w:tbl>
    <w:p w14:paraId="52EF2CF6" w14:textId="77777777" w:rsidR="00FC17BC" w:rsidRPr="00DF3006" w:rsidRDefault="00FC17BC" w:rsidP="00FC17BC">
      <w:pPr>
        <w:pStyle w:val="Normal1stpara"/>
        <w:spacing w:line="240" w:lineRule="auto"/>
        <w:rPr>
          <w:color w:val="414042" w:themeColor="text1"/>
        </w:rPr>
      </w:pPr>
    </w:p>
    <w:p w14:paraId="3C9CAEB6" w14:textId="77777777" w:rsidR="00FC17BC" w:rsidRPr="00DF3006" w:rsidRDefault="00FC17BC" w:rsidP="00FC17BC">
      <w:pPr>
        <w:pStyle w:val="Normal1stpara"/>
        <w:spacing w:line="240" w:lineRule="auto"/>
        <w:rPr>
          <w:color w:val="414042" w:themeColor="text1"/>
        </w:rPr>
      </w:pPr>
    </w:p>
    <w:p w14:paraId="61E751AF" w14:textId="77777777" w:rsidR="00FC17BC" w:rsidRPr="00DF3006" w:rsidRDefault="00FC17BC" w:rsidP="00FC17BC">
      <w:pPr>
        <w:pStyle w:val="Normalhanginglist105pt"/>
        <w:spacing w:line="240" w:lineRule="auto"/>
        <w:rPr>
          <w:color w:val="414042" w:themeColor="text1"/>
        </w:rPr>
      </w:pPr>
      <w:r w:rsidRPr="00DF3006">
        <w:rPr>
          <w:color w:val="414042" w:themeColor="text1"/>
        </w:rPr>
        <w:t>(b)</w:t>
      </w:r>
      <w:r w:rsidRPr="00DF3006">
        <w:rPr>
          <w:color w:val="414042" w:themeColor="text1"/>
        </w:rPr>
        <w:tab/>
        <w:t>Financial Risk Management</w:t>
      </w:r>
    </w:p>
    <w:p w14:paraId="0235910D" w14:textId="77777777" w:rsidR="00FC17BC" w:rsidRPr="00DF3006" w:rsidRDefault="00FC17BC" w:rsidP="00FC17BC">
      <w:pPr>
        <w:pStyle w:val="Normalindent1stpara"/>
        <w:spacing w:line="240" w:lineRule="auto"/>
        <w:jc w:val="both"/>
        <w:rPr>
          <w:color w:val="414042" w:themeColor="text1"/>
          <w:lang w:eastAsia="en-AU"/>
        </w:rPr>
      </w:pPr>
    </w:p>
    <w:p w14:paraId="5C0A5778" w14:textId="77777777" w:rsidR="00FC17BC" w:rsidRPr="00DF3006" w:rsidRDefault="00FC17BC" w:rsidP="00FC17BC">
      <w:pPr>
        <w:pStyle w:val="Normalindent1stpara"/>
        <w:spacing w:line="240" w:lineRule="auto"/>
        <w:jc w:val="both"/>
        <w:rPr>
          <w:color w:val="414042" w:themeColor="text1"/>
          <w:lang w:eastAsia="en-AU"/>
        </w:rPr>
      </w:pPr>
      <w:r w:rsidRPr="00DF3006">
        <w:rPr>
          <w:color w:val="414042" w:themeColor="text1"/>
          <w:lang w:eastAsia="en-AU"/>
        </w:rPr>
        <w:t xml:space="preserve">The CCC’s activities expose it to a variety of financial risks — interest rate risk, credit risk, liquidity risk and </w:t>
      </w:r>
      <w:r w:rsidRPr="00DF3006">
        <w:rPr>
          <w:color w:val="414042" w:themeColor="text1"/>
          <w:lang w:eastAsia="en-AU"/>
        </w:rPr>
        <w:br/>
        <w:t xml:space="preserve">market risk. </w:t>
      </w:r>
      <w:r w:rsidRPr="00DF3006">
        <w:rPr>
          <w:color w:val="414042" w:themeColor="text1"/>
        </w:rPr>
        <w:t>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13CA75D5" w14:textId="77777777" w:rsidR="00FC17BC" w:rsidRPr="00DF3006" w:rsidRDefault="00FC17BC" w:rsidP="00FC17BC">
      <w:pPr>
        <w:pStyle w:val="Normalhanginglist105pt"/>
        <w:spacing w:line="240" w:lineRule="auto"/>
        <w:jc w:val="both"/>
        <w:rPr>
          <w:color w:val="414042" w:themeColor="text1"/>
        </w:rPr>
      </w:pPr>
      <w:r w:rsidRPr="00DF3006">
        <w:rPr>
          <w:color w:val="414042" w:themeColor="text1"/>
        </w:rPr>
        <w:tab/>
      </w:r>
    </w:p>
    <w:p w14:paraId="591731B0" w14:textId="77777777" w:rsidR="00FC17BC" w:rsidRPr="00DF3006" w:rsidRDefault="00FC17BC" w:rsidP="00FC17BC">
      <w:pPr>
        <w:pStyle w:val="Normalhanginglist105pt"/>
        <w:spacing w:line="240" w:lineRule="auto"/>
        <w:jc w:val="both"/>
        <w:rPr>
          <w:color w:val="414042" w:themeColor="text1"/>
        </w:rPr>
      </w:pPr>
    </w:p>
    <w:p w14:paraId="69DA0773" w14:textId="77777777" w:rsidR="00FC17BC" w:rsidRPr="00DF3006" w:rsidRDefault="00FC17BC" w:rsidP="00FC17BC">
      <w:pPr>
        <w:pStyle w:val="Normalhanginglist105pt"/>
        <w:spacing w:line="240" w:lineRule="auto"/>
        <w:jc w:val="both"/>
        <w:rPr>
          <w:color w:val="414042" w:themeColor="text1"/>
        </w:rPr>
      </w:pPr>
    </w:p>
    <w:p w14:paraId="6C5CB0CC" w14:textId="77777777" w:rsidR="00FC17BC" w:rsidRPr="00DF3006" w:rsidRDefault="00FC17BC" w:rsidP="00FC17BC">
      <w:pPr>
        <w:pStyle w:val="Normal115pttext"/>
        <w:spacing w:line="240" w:lineRule="auto"/>
        <w:rPr>
          <w:color w:val="414042" w:themeColor="text1"/>
        </w:rPr>
      </w:pPr>
      <w:r w:rsidRPr="00DF3006">
        <w:rPr>
          <w:color w:val="414042" w:themeColor="text1"/>
        </w:rPr>
        <w:t>Note 17:  Financial Instruments (cont’d)</w:t>
      </w:r>
    </w:p>
    <w:p w14:paraId="3AF78323" w14:textId="77777777" w:rsidR="00FC17BC" w:rsidRPr="00DF3006" w:rsidRDefault="00FC17BC" w:rsidP="00FC17BC">
      <w:pPr>
        <w:pStyle w:val="Normalhanginglist105pt"/>
        <w:spacing w:line="240" w:lineRule="auto"/>
        <w:rPr>
          <w:color w:val="414042" w:themeColor="text1"/>
        </w:rPr>
      </w:pPr>
      <w:r w:rsidRPr="00DF3006">
        <w:rPr>
          <w:color w:val="414042" w:themeColor="text1"/>
        </w:rPr>
        <w:t>(b)</w:t>
      </w:r>
      <w:r w:rsidRPr="00DF3006">
        <w:rPr>
          <w:color w:val="414042" w:themeColor="text1"/>
        </w:rPr>
        <w:tab/>
        <w:t>Financial Risk Management (cont’d)</w:t>
      </w:r>
    </w:p>
    <w:p w14:paraId="446EA776" w14:textId="77777777" w:rsidR="00FC17BC" w:rsidRPr="00DF3006" w:rsidRDefault="00FC17BC" w:rsidP="00FC17BC">
      <w:pPr>
        <w:pStyle w:val="Normalhanginglist105pt"/>
        <w:spacing w:line="240" w:lineRule="auto"/>
        <w:ind w:hanging="28"/>
        <w:jc w:val="both"/>
        <w:rPr>
          <w:i/>
          <w:color w:val="414042" w:themeColor="text1"/>
        </w:rPr>
      </w:pPr>
      <w:r w:rsidRPr="00DF3006">
        <w:rPr>
          <w:i/>
          <w:color w:val="414042" w:themeColor="text1"/>
        </w:rPr>
        <w:t>Credit Risk Exposure</w:t>
      </w:r>
    </w:p>
    <w:p w14:paraId="641B3A39" w14:textId="77777777" w:rsidR="00FC17BC" w:rsidRPr="00DF3006" w:rsidRDefault="00FC17BC" w:rsidP="00FC17BC">
      <w:pPr>
        <w:pStyle w:val="Normalindent1stpara"/>
        <w:spacing w:line="240" w:lineRule="auto"/>
        <w:jc w:val="both"/>
        <w:rPr>
          <w:color w:val="414042" w:themeColor="text1"/>
        </w:rPr>
      </w:pPr>
      <w:r w:rsidRPr="00DF3006">
        <w:rPr>
          <w:color w:val="414042" w:themeColor="text1"/>
          <w:lang w:eastAsia="en-AU"/>
        </w:rPr>
        <w:t xml:space="preserve">Credit risk exposure refers to the situation where the CCC may incur financial loss </w:t>
      </w:r>
      <w:proofErr w:type="gramStart"/>
      <w:r w:rsidRPr="00DF3006">
        <w:rPr>
          <w:color w:val="414042" w:themeColor="text1"/>
          <w:lang w:eastAsia="en-AU"/>
        </w:rPr>
        <w:t>as a result of</w:t>
      </w:r>
      <w:proofErr w:type="gramEnd"/>
      <w:r w:rsidRPr="00DF3006">
        <w:rPr>
          <w:color w:val="414042" w:themeColor="text1"/>
          <w:lang w:eastAsia="en-AU"/>
        </w:rPr>
        <w:t xml:space="preserve"> another party to a financial instrument failing to discharge its obligation. The CCC monitors e</w:t>
      </w:r>
      <w:r w:rsidRPr="00DF3006">
        <w:rPr>
          <w:color w:val="414042" w:themeColor="text1"/>
        </w:rPr>
        <w:t xml:space="preserve">xposure to credit risk on an ongoing basis. </w:t>
      </w:r>
    </w:p>
    <w:p w14:paraId="03958D2E" w14:textId="77777777" w:rsidR="00FC17BC" w:rsidRPr="00DF3006" w:rsidRDefault="00FC17BC" w:rsidP="00FC17BC">
      <w:pPr>
        <w:pStyle w:val="Normalindent1stpara"/>
        <w:spacing w:line="240" w:lineRule="auto"/>
        <w:jc w:val="both"/>
        <w:rPr>
          <w:color w:val="414042" w:themeColor="text1"/>
        </w:rPr>
      </w:pPr>
      <w:r w:rsidRPr="00DF3006">
        <w:rPr>
          <w:color w:val="414042" w:themeColor="text1"/>
        </w:rPr>
        <w:t>The maximum exposure to credit risk at balance date in relation to each class of recognised financial assets is the gross carrying amount of those assets inclusive of any allowance for impairment. The CCC manages credit risk by ensuring that it invests in secure assets and monitors all funds owed on a regular basis. The following table represents the CCC’s maximum exposure to credit risk based on contractual amounts net of any allowances:</w:t>
      </w:r>
    </w:p>
    <w:p w14:paraId="1B55C37A" w14:textId="77777777" w:rsidR="00FC17BC" w:rsidRPr="00DF3006" w:rsidRDefault="00FC17BC" w:rsidP="00FC17BC">
      <w:pPr>
        <w:pStyle w:val="Normalindent1stpara"/>
        <w:spacing w:line="240" w:lineRule="auto"/>
        <w:jc w:val="both"/>
        <w:rPr>
          <w:color w:val="414042" w:themeColor="text1"/>
        </w:rPr>
      </w:pPr>
    </w:p>
    <w:p w14:paraId="4438E7C7" w14:textId="77777777" w:rsidR="00FC17BC" w:rsidRPr="00DF3006" w:rsidRDefault="00FC17BC" w:rsidP="00FC17BC">
      <w:pPr>
        <w:pStyle w:val="Normalindent1stpara"/>
        <w:spacing w:line="240" w:lineRule="auto"/>
        <w:rPr>
          <w:color w:val="414042" w:themeColor="text1"/>
        </w:rPr>
      </w:pPr>
    </w:p>
    <w:tbl>
      <w:tblPr>
        <w:tblW w:w="8817" w:type="dxa"/>
        <w:tblInd w:w="284"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5812"/>
        <w:gridCol w:w="596"/>
        <w:gridCol w:w="1134"/>
        <w:gridCol w:w="170"/>
        <w:gridCol w:w="1105"/>
      </w:tblGrid>
      <w:tr w:rsidR="00DF3006" w:rsidRPr="00DF3006" w14:paraId="3356694A" w14:textId="77777777" w:rsidTr="00025E55">
        <w:trPr>
          <w:trHeight w:val="20"/>
        </w:trPr>
        <w:tc>
          <w:tcPr>
            <w:tcW w:w="5812" w:type="dxa"/>
            <w:tcBorders>
              <w:top w:val="nil"/>
              <w:left w:val="nil"/>
              <w:bottom w:val="nil"/>
            </w:tcBorders>
            <w:noWrap/>
            <w:tcMar>
              <w:left w:w="0" w:type="dxa"/>
              <w:right w:w="0" w:type="dxa"/>
            </w:tcMar>
            <w:vAlign w:val="bottom"/>
          </w:tcPr>
          <w:p w14:paraId="56208992" w14:textId="77777777" w:rsidR="00FC17BC" w:rsidRPr="00DF3006" w:rsidRDefault="00FC17BC" w:rsidP="00025E55">
            <w:pPr>
              <w:pStyle w:val="Normalindent1stpara"/>
              <w:spacing w:before="0" w:line="240" w:lineRule="auto"/>
              <w:jc w:val="center"/>
              <w:rPr>
                <w:b/>
                <w:color w:val="414042" w:themeColor="text1"/>
                <w:szCs w:val="19"/>
              </w:rPr>
            </w:pPr>
            <w:r w:rsidRPr="00DF3006">
              <w:rPr>
                <w:b/>
                <w:color w:val="414042" w:themeColor="text1"/>
                <w:szCs w:val="19"/>
              </w:rPr>
              <w:t>Maximum Exposure to Credit Risk</w:t>
            </w:r>
          </w:p>
        </w:tc>
        <w:tc>
          <w:tcPr>
            <w:tcW w:w="596" w:type="dxa"/>
            <w:tcBorders>
              <w:top w:val="nil"/>
              <w:bottom w:val="nil"/>
            </w:tcBorders>
            <w:noWrap/>
            <w:tcMar>
              <w:left w:w="0" w:type="dxa"/>
              <w:right w:w="113" w:type="dxa"/>
            </w:tcMar>
          </w:tcPr>
          <w:p w14:paraId="394A7C6F" w14:textId="77777777" w:rsidR="00FC17BC" w:rsidRPr="00DF3006" w:rsidRDefault="00FC17BC" w:rsidP="00025E55">
            <w:pPr>
              <w:pStyle w:val="Normaltabletextcentred"/>
              <w:spacing w:line="240" w:lineRule="auto"/>
              <w:rPr>
                <w:b/>
                <w:color w:val="414042" w:themeColor="text1"/>
                <w:szCs w:val="19"/>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7994725B" w14:textId="77777777" w:rsidR="00FC17BC" w:rsidRPr="00DF3006" w:rsidRDefault="00FC17BC" w:rsidP="00025E55">
            <w:pPr>
              <w:pStyle w:val="Normaltabletext1stpararight"/>
              <w:spacing w:line="240" w:lineRule="auto"/>
              <w:rPr>
                <w:b/>
                <w:color w:val="414042" w:themeColor="text1"/>
                <w:szCs w:val="19"/>
                <w:lang w:eastAsia="en-AU"/>
              </w:rPr>
            </w:pPr>
            <w:r w:rsidRPr="00DF3006">
              <w:rPr>
                <w:b/>
                <w:color w:val="414042" w:themeColor="text1"/>
                <w:szCs w:val="19"/>
                <w:lang w:eastAsia="en-AU"/>
              </w:rPr>
              <w:t>2023</w:t>
            </w:r>
          </w:p>
        </w:tc>
        <w:tc>
          <w:tcPr>
            <w:tcW w:w="170" w:type="dxa"/>
            <w:tcBorders>
              <w:top w:val="nil"/>
              <w:bottom w:val="nil"/>
            </w:tcBorders>
            <w:noWrap/>
            <w:tcMar>
              <w:left w:w="0" w:type="dxa"/>
              <w:right w:w="0" w:type="dxa"/>
            </w:tcMar>
            <w:vAlign w:val="bottom"/>
          </w:tcPr>
          <w:p w14:paraId="4EF40A90" w14:textId="77777777" w:rsidR="00FC17BC" w:rsidRPr="00DF3006" w:rsidRDefault="00FC17BC" w:rsidP="00025E55">
            <w:pPr>
              <w:pStyle w:val="Normaltabletextcentred"/>
              <w:spacing w:line="240" w:lineRule="auto"/>
              <w:rPr>
                <w:b/>
                <w:color w:val="414042" w:themeColor="text1"/>
                <w:szCs w:val="19"/>
                <w:lang w:eastAsia="en-AU"/>
              </w:rPr>
            </w:pPr>
          </w:p>
        </w:tc>
        <w:tc>
          <w:tcPr>
            <w:tcW w:w="1105" w:type="dxa"/>
            <w:tcBorders>
              <w:top w:val="nil"/>
              <w:bottom w:val="nil"/>
              <w:right w:val="nil"/>
            </w:tcBorders>
            <w:noWrap/>
            <w:tcMar>
              <w:left w:w="0" w:type="dxa"/>
              <w:right w:w="113" w:type="dxa"/>
            </w:tcMar>
            <w:vAlign w:val="bottom"/>
          </w:tcPr>
          <w:p w14:paraId="034619BF" w14:textId="77777777" w:rsidR="00FC17BC" w:rsidRPr="00DF3006" w:rsidRDefault="00FC17BC" w:rsidP="00025E55">
            <w:pPr>
              <w:pStyle w:val="Normaltabletext1stpararight"/>
              <w:spacing w:line="240" w:lineRule="auto"/>
              <w:rPr>
                <w:b/>
                <w:color w:val="414042" w:themeColor="text1"/>
                <w:szCs w:val="19"/>
                <w:lang w:eastAsia="en-AU"/>
              </w:rPr>
            </w:pPr>
            <w:r w:rsidRPr="00DF3006">
              <w:rPr>
                <w:b/>
                <w:color w:val="414042" w:themeColor="text1"/>
                <w:szCs w:val="19"/>
                <w:lang w:eastAsia="en-AU"/>
              </w:rPr>
              <w:t>2022</w:t>
            </w:r>
          </w:p>
        </w:tc>
      </w:tr>
      <w:tr w:rsidR="00DF3006" w:rsidRPr="00DF3006" w14:paraId="677119D3" w14:textId="77777777" w:rsidTr="00025E55">
        <w:trPr>
          <w:trHeight w:val="20"/>
        </w:trPr>
        <w:tc>
          <w:tcPr>
            <w:tcW w:w="5812" w:type="dxa"/>
            <w:tcBorders>
              <w:top w:val="nil"/>
              <w:left w:val="nil"/>
              <w:bottom w:val="single" w:sz="4" w:space="0" w:color="auto"/>
            </w:tcBorders>
            <w:noWrap/>
            <w:tcMar>
              <w:left w:w="0" w:type="dxa"/>
              <w:bottom w:w="11" w:type="dxa"/>
              <w:right w:w="0" w:type="dxa"/>
            </w:tcMar>
            <w:vAlign w:val="bottom"/>
          </w:tcPr>
          <w:p w14:paraId="1511F881" w14:textId="77777777" w:rsidR="00FC17BC" w:rsidRPr="00DF3006" w:rsidRDefault="00FC17BC" w:rsidP="00025E55">
            <w:pPr>
              <w:pStyle w:val="Normalindent1stpara"/>
              <w:spacing w:before="0" w:line="240" w:lineRule="auto"/>
              <w:ind w:left="142"/>
              <w:rPr>
                <w:b/>
                <w:i/>
                <w:color w:val="414042" w:themeColor="text1"/>
                <w:szCs w:val="19"/>
              </w:rPr>
            </w:pPr>
            <w:r w:rsidRPr="00DF3006">
              <w:rPr>
                <w:b/>
                <w:i/>
                <w:color w:val="414042" w:themeColor="text1"/>
                <w:szCs w:val="19"/>
              </w:rPr>
              <w:t>Category:</w:t>
            </w:r>
          </w:p>
        </w:tc>
        <w:tc>
          <w:tcPr>
            <w:tcW w:w="596" w:type="dxa"/>
            <w:tcBorders>
              <w:top w:val="nil"/>
              <w:bottom w:val="single" w:sz="4" w:space="0" w:color="auto"/>
            </w:tcBorders>
            <w:noWrap/>
            <w:tcMar>
              <w:left w:w="0" w:type="dxa"/>
              <w:bottom w:w="11" w:type="dxa"/>
              <w:right w:w="0" w:type="dxa"/>
            </w:tcMar>
          </w:tcPr>
          <w:p w14:paraId="6D773551" w14:textId="77777777" w:rsidR="00FC17BC" w:rsidRPr="00DF3006" w:rsidRDefault="00FC17BC" w:rsidP="00025E55">
            <w:pPr>
              <w:pStyle w:val="Normaltabletextcentred"/>
              <w:spacing w:line="240" w:lineRule="auto"/>
              <w:rPr>
                <w:b/>
                <w:color w:val="414042" w:themeColor="text1"/>
                <w:szCs w:val="19"/>
                <w:lang w:eastAsia="en-AU"/>
              </w:rPr>
            </w:pPr>
            <w:r w:rsidRPr="00DF3006">
              <w:rPr>
                <w:b/>
                <w:color w:val="414042" w:themeColor="text1"/>
                <w:szCs w:val="19"/>
                <w:lang w:eastAsia="en-AU"/>
              </w:rPr>
              <w:t>Note</w:t>
            </w:r>
          </w:p>
        </w:tc>
        <w:tc>
          <w:tcPr>
            <w:tcW w:w="1134" w:type="dxa"/>
            <w:tcBorders>
              <w:top w:val="nil"/>
              <w:bottom w:val="single" w:sz="4" w:space="0" w:color="auto"/>
            </w:tcBorders>
            <w:shd w:val="clear" w:color="auto" w:fill="D9D9D9" w:themeFill="background1" w:themeFillShade="D9"/>
            <w:noWrap/>
            <w:tcMar>
              <w:left w:w="0" w:type="dxa"/>
              <w:bottom w:w="11" w:type="dxa"/>
              <w:right w:w="113" w:type="dxa"/>
            </w:tcMar>
            <w:vAlign w:val="bottom"/>
          </w:tcPr>
          <w:p w14:paraId="11455712" w14:textId="77777777" w:rsidR="00FC17BC" w:rsidRPr="00DF3006" w:rsidRDefault="00FC17BC" w:rsidP="00025E55">
            <w:pPr>
              <w:pStyle w:val="Normaltabletext1stpararight"/>
              <w:spacing w:line="240" w:lineRule="auto"/>
              <w:rPr>
                <w:b/>
                <w:color w:val="414042" w:themeColor="text1"/>
                <w:szCs w:val="19"/>
                <w:lang w:eastAsia="en-AU"/>
              </w:rPr>
            </w:pPr>
            <w:r w:rsidRPr="00DF3006">
              <w:rPr>
                <w:b/>
                <w:color w:val="414042" w:themeColor="text1"/>
                <w:szCs w:val="19"/>
                <w:lang w:eastAsia="en-AU"/>
              </w:rPr>
              <w:t>$’000</w:t>
            </w:r>
          </w:p>
        </w:tc>
        <w:tc>
          <w:tcPr>
            <w:tcW w:w="170" w:type="dxa"/>
            <w:tcBorders>
              <w:top w:val="nil"/>
              <w:bottom w:val="single" w:sz="4" w:space="0" w:color="auto"/>
            </w:tcBorders>
            <w:noWrap/>
            <w:tcMar>
              <w:left w:w="0" w:type="dxa"/>
              <w:bottom w:w="11" w:type="dxa"/>
              <w:right w:w="0" w:type="dxa"/>
            </w:tcMar>
            <w:vAlign w:val="bottom"/>
          </w:tcPr>
          <w:p w14:paraId="2C29FDB8" w14:textId="77777777" w:rsidR="00FC17BC" w:rsidRPr="00DF3006" w:rsidRDefault="00FC17BC" w:rsidP="00025E55">
            <w:pPr>
              <w:pStyle w:val="Normaltabletextcentred"/>
              <w:spacing w:line="240" w:lineRule="auto"/>
              <w:rPr>
                <w:b/>
                <w:color w:val="414042" w:themeColor="text1"/>
                <w:szCs w:val="19"/>
                <w:lang w:eastAsia="en-AU"/>
              </w:rPr>
            </w:pPr>
          </w:p>
        </w:tc>
        <w:tc>
          <w:tcPr>
            <w:tcW w:w="1105" w:type="dxa"/>
            <w:tcBorders>
              <w:top w:val="nil"/>
              <w:bottom w:val="single" w:sz="4" w:space="0" w:color="auto"/>
              <w:right w:val="nil"/>
            </w:tcBorders>
            <w:noWrap/>
            <w:tcMar>
              <w:left w:w="0" w:type="dxa"/>
              <w:bottom w:w="11" w:type="dxa"/>
              <w:right w:w="113" w:type="dxa"/>
            </w:tcMar>
            <w:vAlign w:val="bottom"/>
          </w:tcPr>
          <w:p w14:paraId="61F74DD0" w14:textId="77777777" w:rsidR="00FC17BC" w:rsidRPr="00DF3006" w:rsidRDefault="00FC17BC" w:rsidP="00025E55">
            <w:pPr>
              <w:pStyle w:val="Normaltabletext1stpararight"/>
              <w:spacing w:line="240" w:lineRule="auto"/>
              <w:rPr>
                <w:b/>
                <w:color w:val="414042" w:themeColor="text1"/>
                <w:szCs w:val="19"/>
                <w:lang w:eastAsia="en-AU"/>
              </w:rPr>
            </w:pPr>
            <w:r w:rsidRPr="00DF3006">
              <w:rPr>
                <w:b/>
                <w:color w:val="414042" w:themeColor="text1"/>
                <w:szCs w:val="19"/>
                <w:lang w:eastAsia="en-AU"/>
              </w:rPr>
              <w:t>$’000</w:t>
            </w:r>
          </w:p>
        </w:tc>
      </w:tr>
      <w:tr w:rsidR="00DF3006" w:rsidRPr="00DF3006" w14:paraId="3D5002EE" w14:textId="77777777" w:rsidTr="00025E55">
        <w:trPr>
          <w:trHeight w:val="20"/>
        </w:trPr>
        <w:tc>
          <w:tcPr>
            <w:tcW w:w="5812" w:type="dxa"/>
            <w:tcBorders>
              <w:top w:val="nil"/>
              <w:left w:val="nil"/>
              <w:bottom w:val="nil"/>
            </w:tcBorders>
            <w:noWrap/>
            <w:tcMar>
              <w:top w:w="0" w:type="dxa"/>
              <w:left w:w="0" w:type="dxa"/>
              <w:right w:w="0" w:type="dxa"/>
            </w:tcMar>
            <w:vAlign w:val="bottom"/>
          </w:tcPr>
          <w:p w14:paraId="78F897C1" w14:textId="77777777" w:rsidR="00FC17BC" w:rsidRPr="00DF3006" w:rsidRDefault="00FC17BC" w:rsidP="00025E55">
            <w:pPr>
              <w:pStyle w:val="Normalindent1stpara"/>
              <w:spacing w:before="0" w:line="240" w:lineRule="auto"/>
              <w:ind w:left="142"/>
              <w:rPr>
                <w:color w:val="414042" w:themeColor="text1"/>
                <w:szCs w:val="19"/>
              </w:rPr>
            </w:pPr>
          </w:p>
        </w:tc>
        <w:tc>
          <w:tcPr>
            <w:tcW w:w="596" w:type="dxa"/>
            <w:tcBorders>
              <w:top w:val="nil"/>
              <w:bottom w:val="nil"/>
            </w:tcBorders>
            <w:noWrap/>
            <w:tcMar>
              <w:top w:w="0" w:type="dxa"/>
              <w:left w:w="0" w:type="dxa"/>
              <w:right w:w="0" w:type="dxa"/>
            </w:tcMar>
          </w:tcPr>
          <w:p w14:paraId="73E2BABA" w14:textId="77777777" w:rsidR="00FC17BC" w:rsidRPr="00DF3006" w:rsidRDefault="00FC17BC" w:rsidP="00025E55">
            <w:pPr>
              <w:pStyle w:val="Normaltabletextcentred"/>
              <w:spacing w:line="240" w:lineRule="auto"/>
              <w:rPr>
                <w:color w:val="414042" w:themeColor="text1"/>
                <w:szCs w:val="19"/>
                <w:lang w:eastAsia="en-AU"/>
              </w:rPr>
            </w:pPr>
          </w:p>
        </w:tc>
        <w:tc>
          <w:tcPr>
            <w:tcW w:w="1134" w:type="dxa"/>
            <w:tcBorders>
              <w:top w:val="single" w:sz="4" w:space="0" w:color="auto"/>
              <w:bottom w:val="nil"/>
            </w:tcBorders>
            <w:shd w:val="clear" w:color="auto" w:fill="D9D9D9" w:themeFill="background1" w:themeFillShade="D9"/>
            <w:noWrap/>
            <w:tcMar>
              <w:top w:w="0" w:type="dxa"/>
              <w:left w:w="0" w:type="dxa"/>
              <w:right w:w="113" w:type="dxa"/>
            </w:tcMar>
            <w:vAlign w:val="bottom"/>
          </w:tcPr>
          <w:p w14:paraId="5C2255E6" w14:textId="77777777" w:rsidR="00FC17BC" w:rsidRPr="00DF3006" w:rsidRDefault="00FC17BC" w:rsidP="00025E55">
            <w:pPr>
              <w:pStyle w:val="Normaltabletext1stpararight"/>
              <w:spacing w:line="240" w:lineRule="auto"/>
              <w:rPr>
                <w:color w:val="414042" w:themeColor="text1"/>
                <w:szCs w:val="19"/>
                <w:lang w:eastAsia="en-AU"/>
              </w:rPr>
            </w:pPr>
          </w:p>
        </w:tc>
        <w:tc>
          <w:tcPr>
            <w:tcW w:w="170" w:type="dxa"/>
            <w:tcBorders>
              <w:top w:val="single" w:sz="4" w:space="0" w:color="auto"/>
              <w:bottom w:val="nil"/>
            </w:tcBorders>
            <w:noWrap/>
            <w:tcMar>
              <w:top w:w="0" w:type="dxa"/>
              <w:left w:w="0" w:type="dxa"/>
              <w:right w:w="0" w:type="dxa"/>
            </w:tcMar>
            <w:vAlign w:val="bottom"/>
          </w:tcPr>
          <w:p w14:paraId="2C463ACA" w14:textId="77777777" w:rsidR="00FC17BC" w:rsidRPr="00DF3006" w:rsidRDefault="00FC17BC" w:rsidP="00025E55">
            <w:pPr>
              <w:pStyle w:val="Normaltabletextcentred"/>
              <w:spacing w:line="240" w:lineRule="auto"/>
              <w:rPr>
                <w:color w:val="414042" w:themeColor="text1"/>
                <w:szCs w:val="19"/>
                <w:lang w:eastAsia="en-AU"/>
              </w:rPr>
            </w:pPr>
          </w:p>
        </w:tc>
        <w:tc>
          <w:tcPr>
            <w:tcW w:w="1105" w:type="dxa"/>
            <w:tcBorders>
              <w:top w:val="single" w:sz="4" w:space="0" w:color="auto"/>
              <w:bottom w:val="nil"/>
              <w:right w:val="nil"/>
            </w:tcBorders>
            <w:noWrap/>
            <w:tcMar>
              <w:top w:w="0" w:type="dxa"/>
              <w:left w:w="0" w:type="dxa"/>
              <w:right w:w="113" w:type="dxa"/>
            </w:tcMar>
          </w:tcPr>
          <w:p w14:paraId="1D4A0FE2" w14:textId="77777777" w:rsidR="00FC17BC" w:rsidRPr="00DF3006" w:rsidRDefault="00FC17BC" w:rsidP="00025E55">
            <w:pPr>
              <w:pStyle w:val="Normaltabletext1stpararight"/>
              <w:spacing w:line="240" w:lineRule="auto"/>
              <w:rPr>
                <w:color w:val="414042" w:themeColor="text1"/>
                <w:szCs w:val="19"/>
                <w:lang w:eastAsia="en-AU"/>
              </w:rPr>
            </w:pPr>
          </w:p>
        </w:tc>
      </w:tr>
      <w:tr w:rsidR="00DF3006" w:rsidRPr="00DF3006" w14:paraId="697A172B" w14:textId="77777777" w:rsidTr="00025E55">
        <w:trPr>
          <w:trHeight w:val="20"/>
        </w:trPr>
        <w:tc>
          <w:tcPr>
            <w:tcW w:w="5812" w:type="dxa"/>
            <w:tcBorders>
              <w:top w:val="nil"/>
              <w:left w:val="nil"/>
              <w:bottom w:val="nil"/>
            </w:tcBorders>
            <w:noWrap/>
            <w:tcMar>
              <w:left w:w="0" w:type="dxa"/>
              <w:right w:w="0" w:type="dxa"/>
            </w:tcMar>
            <w:vAlign w:val="bottom"/>
          </w:tcPr>
          <w:p w14:paraId="418D3648" w14:textId="77777777" w:rsidR="00FC17BC" w:rsidRPr="00DF3006" w:rsidRDefault="00FC17BC" w:rsidP="00025E55">
            <w:pPr>
              <w:pStyle w:val="Normalindent1stpara"/>
              <w:spacing w:before="0" w:line="240" w:lineRule="auto"/>
              <w:ind w:left="142"/>
              <w:rPr>
                <w:b/>
                <w:color w:val="414042" w:themeColor="text1"/>
                <w:szCs w:val="19"/>
              </w:rPr>
            </w:pPr>
            <w:r w:rsidRPr="00DF3006">
              <w:rPr>
                <w:b/>
                <w:color w:val="414042" w:themeColor="text1"/>
                <w:szCs w:val="19"/>
              </w:rPr>
              <w:t>Financial Assets</w:t>
            </w:r>
          </w:p>
        </w:tc>
        <w:tc>
          <w:tcPr>
            <w:tcW w:w="596" w:type="dxa"/>
            <w:tcBorders>
              <w:top w:val="nil"/>
              <w:bottom w:val="nil"/>
            </w:tcBorders>
            <w:noWrap/>
            <w:tcMar>
              <w:left w:w="0" w:type="dxa"/>
              <w:right w:w="0" w:type="dxa"/>
            </w:tcMar>
          </w:tcPr>
          <w:p w14:paraId="61684F7B" w14:textId="77777777" w:rsidR="00FC17BC" w:rsidRPr="00DF3006" w:rsidRDefault="00FC17BC" w:rsidP="00025E55">
            <w:pPr>
              <w:pStyle w:val="Normaltabletextcentred"/>
              <w:spacing w:line="240" w:lineRule="auto"/>
              <w:rPr>
                <w:color w:val="414042" w:themeColor="text1"/>
                <w:szCs w:val="19"/>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79BE0E07" w14:textId="77777777" w:rsidR="00FC17BC" w:rsidRPr="00DF3006" w:rsidRDefault="00FC17BC" w:rsidP="00025E55">
            <w:pPr>
              <w:pStyle w:val="Normaltabletext1stpararight"/>
              <w:spacing w:line="240" w:lineRule="auto"/>
              <w:rPr>
                <w:color w:val="414042" w:themeColor="text1"/>
                <w:szCs w:val="19"/>
                <w:lang w:eastAsia="en-AU"/>
              </w:rPr>
            </w:pPr>
          </w:p>
        </w:tc>
        <w:tc>
          <w:tcPr>
            <w:tcW w:w="170" w:type="dxa"/>
            <w:tcBorders>
              <w:top w:val="nil"/>
              <w:bottom w:val="nil"/>
            </w:tcBorders>
            <w:noWrap/>
            <w:tcMar>
              <w:left w:w="0" w:type="dxa"/>
              <w:right w:w="0" w:type="dxa"/>
            </w:tcMar>
            <w:vAlign w:val="bottom"/>
          </w:tcPr>
          <w:p w14:paraId="0B2D1569" w14:textId="77777777" w:rsidR="00FC17BC" w:rsidRPr="00DF3006" w:rsidRDefault="00FC17BC" w:rsidP="00025E55">
            <w:pPr>
              <w:pStyle w:val="Normaltabletextcentred"/>
              <w:spacing w:line="240" w:lineRule="auto"/>
              <w:rPr>
                <w:color w:val="414042" w:themeColor="text1"/>
                <w:szCs w:val="19"/>
                <w:lang w:eastAsia="en-AU"/>
              </w:rPr>
            </w:pPr>
          </w:p>
        </w:tc>
        <w:tc>
          <w:tcPr>
            <w:tcW w:w="1105" w:type="dxa"/>
            <w:tcBorders>
              <w:top w:val="nil"/>
              <w:bottom w:val="nil"/>
              <w:right w:val="nil"/>
            </w:tcBorders>
            <w:noWrap/>
            <w:tcMar>
              <w:left w:w="0" w:type="dxa"/>
              <w:right w:w="113" w:type="dxa"/>
            </w:tcMar>
            <w:vAlign w:val="bottom"/>
          </w:tcPr>
          <w:p w14:paraId="5B9B2227" w14:textId="77777777" w:rsidR="00FC17BC" w:rsidRPr="00DF3006" w:rsidRDefault="00FC17BC" w:rsidP="00025E55">
            <w:pPr>
              <w:pStyle w:val="Normaltabletext1stpararight"/>
              <w:spacing w:line="240" w:lineRule="auto"/>
              <w:rPr>
                <w:color w:val="414042" w:themeColor="text1"/>
                <w:szCs w:val="19"/>
                <w:lang w:eastAsia="en-AU"/>
              </w:rPr>
            </w:pPr>
          </w:p>
        </w:tc>
      </w:tr>
      <w:tr w:rsidR="00DF3006" w:rsidRPr="00DF3006" w14:paraId="08E41559" w14:textId="77777777" w:rsidTr="00025E55">
        <w:trPr>
          <w:trHeight w:val="20"/>
        </w:trPr>
        <w:tc>
          <w:tcPr>
            <w:tcW w:w="5812" w:type="dxa"/>
            <w:tcBorders>
              <w:top w:val="nil"/>
              <w:left w:val="nil"/>
              <w:bottom w:val="nil"/>
            </w:tcBorders>
            <w:noWrap/>
            <w:tcMar>
              <w:left w:w="0" w:type="dxa"/>
              <w:right w:w="0" w:type="dxa"/>
            </w:tcMar>
            <w:vAlign w:val="bottom"/>
          </w:tcPr>
          <w:p w14:paraId="0BD7C722" w14:textId="77777777" w:rsidR="00FC17BC" w:rsidRPr="00DF3006" w:rsidRDefault="00FC17BC" w:rsidP="00025E55">
            <w:pPr>
              <w:pStyle w:val="Normalindent1stpara"/>
              <w:spacing w:before="0" w:line="240" w:lineRule="auto"/>
              <w:ind w:left="142"/>
              <w:rPr>
                <w:color w:val="414042" w:themeColor="text1"/>
                <w:szCs w:val="19"/>
              </w:rPr>
            </w:pPr>
            <w:r w:rsidRPr="00DF3006">
              <w:rPr>
                <w:color w:val="414042" w:themeColor="text1"/>
                <w:szCs w:val="19"/>
              </w:rPr>
              <w:t>Contractual receivables</w:t>
            </w:r>
          </w:p>
        </w:tc>
        <w:tc>
          <w:tcPr>
            <w:tcW w:w="596" w:type="dxa"/>
            <w:tcBorders>
              <w:top w:val="nil"/>
              <w:bottom w:val="nil"/>
            </w:tcBorders>
            <w:noWrap/>
            <w:tcMar>
              <w:left w:w="0" w:type="dxa"/>
              <w:right w:w="0" w:type="dxa"/>
            </w:tcMar>
          </w:tcPr>
          <w:p w14:paraId="6FFF1626" w14:textId="77777777" w:rsidR="00FC17BC" w:rsidRPr="00DF3006" w:rsidRDefault="00FC17BC" w:rsidP="00025E55">
            <w:pPr>
              <w:pStyle w:val="Normaltabletextcentred"/>
              <w:spacing w:line="240" w:lineRule="auto"/>
              <w:rPr>
                <w:color w:val="414042" w:themeColor="text1"/>
                <w:szCs w:val="19"/>
                <w:lang w:eastAsia="en-AU"/>
              </w:rPr>
            </w:pPr>
          </w:p>
        </w:tc>
        <w:tc>
          <w:tcPr>
            <w:tcW w:w="1134" w:type="dxa"/>
            <w:tcBorders>
              <w:top w:val="nil"/>
              <w:bottom w:val="nil"/>
            </w:tcBorders>
            <w:shd w:val="clear" w:color="auto" w:fill="D9D9D9" w:themeFill="background1" w:themeFillShade="D9"/>
            <w:noWrap/>
            <w:tcMar>
              <w:left w:w="0" w:type="dxa"/>
              <w:right w:w="113" w:type="dxa"/>
            </w:tcMar>
            <w:vAlign w:val="bottom"/>
          </w:tcPr>
          <w:p w14:paraId="2801B5DA" w14:textId="77777777" w:rsidR="00FC17BC" w:rsidRPr="00DF3006" w:rsidRDefault="00FC17BC" w:rsidP="00025E55">
            <w:pPr>
              <w:pStyle w:val="Normaltabletext1stpararight"/>
              <w:spacing w:line="240" w:lineRule="auto"/>
              <w:rPr>
                <w:color w:val="414042" w:themeColor="text1"/>
                <w:szCs w:val="19"/>
                <w:lang w:eastAsia="en-AU"/>
              </w:rPr>
            </w:pPr>
            <w:r w:rsidRPr="00DF3006">
              <w:rPr>
                <w:color w:val="414042" w:themeColor="text1"/>
                <w:szCs w:val="19"/>
                <w:lang w:eastAsia="en-AU"/>
              </w:rPr>
              <w:t>757</w:t>
            </w:r>
          </w:p>
        </w:tc>
        <w:tc>
          <w:tcPr>
            <w:tcW w:w="170" w:type="dxa"/>
            <w:tcBorders>
              <w:top w:val="nil"/>
              <w:bottom w:val="nil"/>
            </w:tcBorders>
            <w:noWrap/>
            <w:tcMar>
              <w:left w:w="0" w:type="dxa"/>
              <w:right w:w="0" w:type="dxa"/>
            </w:tcMar>
            <w:vAlign w:val="bottom"/>
          </w:tcPr>
          <w:p w14:paraId="64AA4462" w14:textId="77777777" w:rsidR="00FC17BC" w:rsidRPr="00DF3006" w:rsidRDefault="00FC17BC" w:rsidP="00025E55">
            <w:pPr>
              <w:pStyle w:val="Normaltabletextcentred"/>
              <w:spacing w:line="240" w:lineRule="auto"/>
              <w:rPr>
                <w:color w:val="414042" w:themeColor="text1"/>
                <w:szCs w:val="19"/>
                <w:lang w:eastAsia="en-AU"/>
              </w:rPr>
            </w:pPr>
          </w:p>
        </w:tc>
        <w:tc>
          <w:tcPr>
            <w:tcW w:w="1105" w:type="dxa"/>
            <w:tcBorders>
              <w:top w:val="nil"/>
              <w:bottom w:val="nil"/>
              <w:right w:val="nil"/>
            </w:tcBorders>
            <w:noWrap/>
            <w:tcMar>
              <w:left w:w="0" w:type="dxa"/>
              <w:right w:w="113" w:type="dxa"/>
            </w:tcMar>
            <w:vAlign w:val="bottom"/>
          </w:tcPr>
          <w:p w14:paraId="730E5BC9" w14:textId="77777777" w:rsidR="00FC17BC" w:rsidRPr="00DF3006" w:rsidRDefault="00FC17BC" w:rsidP="00025E55">
            <w:pPr>
              <w:pStyle w:val="Normaltabletext1stpararight"/>
              <w:spacing w:line="240" w:lineRule="auto"/>
              <w:rPr>
                <w:color w:val="414042" w:themeColor="text1"/>
                <w:szCs w:val="19"/>
                <w:lang w:eastAsia="en-AU"/>
              </w:rPr>
            </w:pPr>
            <w:r w:rsidRPr="00DF3006">
              <w:rPr>
                <w:color w:val="414042" w:themeColor="text1"/>
                <w:szCs w:val="19"/>
                <w:lang w:eastAsia="en-AU"/>
              </w:rPr>
              <w:t>768</w:t>
            </w:r>
          </w:p>
        </w:tc>
      </w:tr>
      <w:tr w:rsidR="00DF3006" w:rsidRPr="00DF3006" w14:paraId="08C3EB71" w14:textId="77777777" w:rsidTr="00025E55">
        <w:trPr>
          <w:trHeight w:val="20"/>
        </w:trPr>
        <w:tc>
          <w:tcPr>
            <w:tcW w:w="5812" w:type="dxa"/>
            <w:tcBorders>
              <w:top w:val="nil"/>
              <w:left w:val="nil"/>
              <w:bottom w:val="nil"/>
            </w:tcBorders>
            <w:noWrap/>
            <w:tcMar>
              <w:left w:w="0" w:type="dxa"/>
              <w:right w:w="0" w:type="dxa"/>
            </w:tcMar>
            <w:vAlign w:val="bottom"/>
          </w:tcPr>
          <w:p w14:paraId="3113BD64" w14:textId="77777777" w:rsidR="00FC17BC" w:rsidRPr="00DF3006" w:rsidRDefault="00FC17BC" w:rsidP="00025E55">
            <w:pPr>
              <w:pStyle w:val="Normalindent1stpara"/>
              <w:spacing w:before="0" w:line="240" w:lineRule="auto"/>
              <w:ind w:left="142"/>
              <w:rPr>
                <w:b/>
                <w:color w:val="414042" w:themeColor="text1"/>
                <w:szCs w:val="19"/>
              </w:rPr>
            </w:pPr>
            <w:r w:rsidRPr="00DF3006">
              <w:rPr>
                <w:b/>
                <w:color w:val="414042" w:themeColor="text1"/>
                <w:szCs w:val="19"/>
              </w:rPr>
              <w:t>Total</w:t>
            </w:r>
          </w:p>
        </w:tc>
        <w:tc>
          <w:tcPr>
            <w:tcW w:w="596" w:type="dxa"/>
            <w:tcBorders>
              <w:top w:val="nil"/>
              <w:bottom w:val="nil"/>
            </w:tcBorders>
            <w:noWrap/>
            <w:tcMar>
              <w:left w:w="0" w:type="dxa"/>
              <w:right w:w="0" w:type="dxa"/>
            </w:tcMar>
          </w:tcPr>
          <w:p w14:paraId="5D5578CC" w14:textId="77777777" w:rsidR="00FC17BC" w:rsidRPr="00DF3006" w:rsidRDefault="00FC17BC" w:rsidP="00025E55">
            <w:pPr>
              <w:pStyle w:val="Normaltabletextcentred"/>
              <w:spacing w:line="240" w:lineRule="auto"/>
              <w:rPr>
                <w:b/>
                <w:color w:val="414042" w:themeColor="text1"/>
                <w:szCs w:val="19"/>
                <w:lang w:eastAsia="en-AU"/>
              </w:rPr>
            </w:pPr>
          </w:p>
        </w:tc>
        <w:tc>
          <w:tcPr>
            <w:tcW w:w="1134" w:type="dxa"/>
            <w:tcBorders>
              <w:top w:val="single" w:sz="4" w:space="0" w:color="auto"/>
              <w:bottom w:val="double" w:sz="4" w:space="0" w:color="auto"/>
            </w:tcBorders>
            <w:shd w:val="clear" w:color="auto" w:fill="D9D9D9" w:themeFill="background1" w:themeFillShade="D9"/>
            <w:noWrap/>
            <w:tcMar>
              <w:left w:w="0" w:type="dxa"/>
              <w:right w:w="113" w:type="dxa"/>
            </w:tcMar>
            <w:vAlign w:val="bottom"/>
          </w:tcPr>
          <w:p w14:paraId="33081149" w14:textId="77777777" w:rsidR="00FC17BC" w:rsidRPr="00DF3006" w:rsidRDefault="00FC17BC" w:rsidP="00025E55">
            <w:pPr>
              <w:pStyle w:val="Normaltabletext1stpararight"/>
              <w:spacing w:line="240" w:lineRule="auto"/>
              <w:rPr>
                <w:b/>
                <w:color w:val="414042" w:themeColor="text1"/>
                <w:szCs w:val="19"/>
                <w:lang w:eastAsia="en-AU"/>
              </w:rPr>
            </w:pPr>
            <w:r w:rsidRPr="00DF3006">
              <w:rPr>
                <w:b/>
                <w:color w:val="414042" w:themeColor="text1"/>
                <w:szCs w:val="19"/>
                <w:lang w:eastAsia="en-AU"/>
              </w:rPr>
              <w:t>757</w:t>
            </w:r>
          </w:p>
        </w:tc>
        <w:tc>
          <w:tcPr>
            <w:tcW w:w="170" w:type="dxa"/>
            <w:tcBorders>
              <w:top w:val="nil"/>
              <w:bottom w:val="nil"/>
            </w:tcBorders>
            <w:noWrap/>
            <w:tcMar>
              <w:left w:w="0" w:type="dxa"/>
              <w:right w:w="0" w:type="dxa"/>
            </w:tcMar>
            <w:vAlign w:val="bottom"/>
          </w:tcPr>
          <w:p w14:paraId="578BFBEE" w14:textId="77777777" w:rsidR="00FC17BC" w:rsidRPr="00DF3006" w:rsidRDefault="00FC17BC" w:rsidP="00025E55">
            <w:pPr>
              <w:pStyle w:val="Normaltabletextcentred"/>
              <w:spacing w:line="240" w:lineRule="auto"/>
              <w:rPr>
                <w:b/>
                <w:color w:val="414042" w:themeColor="text1"/>
                <w:szCs w:val="19"/>
                <w:lang w:eastAsia="en-AU"/>
              </w:rPr>
            </w:pPr>
          </w:p>
        </w:tc>
        <w:tc>
          <w:tcPr>
            <w:tcW w:w="1105" w:type="dxa"/>
            <w:tcBorders>
              <w:top w:val="single" w:sz="4" w:space="0" w:color="auto"/>
              <w:bottom w:val="double" w:sz="4" w:space="0" w:color="auto"/>
              <w:right w:val="nil"/>
            </w:tcBorders>
            <w:noWrap/>
            <w:tcMar>
              <w:left w:w="0" w:type="dxa"/>
              <w:right w:w="113" w:type="dxa"/>
            </w:tcMar>
            <w:vAlign w:val="bottom"/>
          </w:tcPr>
          <w:p w14:paraId="304CAE35" w14:textId="77777777" w:rsidR="00FC17BC" w:rsidRPr="00DF3006" w:rsidRDefault="00FC17BC" w:rsidP="00025E55">
            <w:pPr>
              <w:pStyle w:val="Normaltabletext1stpararight"/>
              <w:spacing w:line="240" w:lineRule="auto"/>
              <w:rPr>
                <w:b/>
                <w:color w:val="414042" w:themeColor="text1"/>
                <w:szCs w:val="19"/>
                <w:lang w:eastAsia="en-AU"/>
              </w:rPr>
            </w:pPr>
            <w:r w:rsidRPr="00DF3006">
              <w:rPr>
                <w:b/>
                <w:color w:val="414042" w:themeColor="text1"/>
                <w:szCs w:val="19"/>
                <w:lang w:eastAsia="en-AU"/>
              </w:rPr>
              <w:t>768</w:t>
            </w:r>
          </w:p>
        </w:tc>
      </w:tr>
    </w:tbl>
    <w:p w14:paraId="5F2C0CC4" w14:textId="77777777" w:rsidR="00FC17BC" w:rsidRPr="00DF3006" w:rsidRDefault="00FC17BC" w:rsidP="00FC17BC">
      <w:pPr>
        <w:pStyle w:val="Normalindent1stpara"/>
        <w:spacing w:line="240" w:lineRule="auto"/>
        <w:rPr>
          <w:color w:val="414042" w:themeColor="text1"/>
        </w:rPr>
      </w:pPr>
    </w:p>
    <w:p w14:paraId="37F29651" w14:textId="77777777" w:rsidR="00FC17BC" w:rsidRPr="00DF3006" w:rsidRDefault="00FC17BC" w:rsidP="00FC17BC">
      <w:pPr>
        <w:pStyle w:val="Normalindent1stpara"/>
        <w:spacing w:line="240" w:lineRule="auto"/>
        <w:ind w:right="-144"/>
        <w:jc w:val="both"/>
        <w:rPr>
          <w:color w:val="414042" w:themeColor="text1"/>
        </w:rPr>
      </w:pPr>
      <w:r w:rsidRPr="00DF3006">
        <w:rPr>
          <w:color w:val="414042" w:themeColor="text1"/>
        </w:rPr>
        <w:t xml:space="preserve">No financial assets have had their terms renegotiated </w:t>
      </w:r>
      <w:proofErr w:type="gramStart"/>
      <w:r w:rsidRPr="00DF3006">
        <w:rPr>
          <w:color w:val="414042" w:themeColor="text1"/>
        </w:rPr>
        <w:t>so as to</w:t>
      </w:r>
      <w:proofErr w:type="gramEnd"/>
      <w:r w:rsidRPr="00DF3006">
        <w:rPr>
          <w:color w:val="414042" w:themeColor="text1"/>
        </w:rPr>
        <w:t xml:space="preserve"> prevent them from being past due or impaired.</w:t>
      </w:r>
    </w:p>
    <w:p w14:paraId="707D7677" w14:textId="77777777" w:rsidR="00FC17BC" w:rsidRPr="00DF3006" w:rsidRDefault="00FC17BC" w:rsidP="00FC17BC">
      <w:pPr>
        <w:pStyle w:val="NormalIndent1"/>
        <w:spacing w:line="240" w:lineRule="auto"/>
        <w:ind w:right="-144"/>
        <w:jc w:val="both"/>
        <w:rPr>
          <w:color w:val="414042" w:themeColor="text1"/>
        </w:rPr>
      </w:pPr>
      <w:r w:rsidRPr="00DF3006">
        <w:rPr>
          <w:color w:val="414042" w:themeColor="text1"/>
        </w:rPr>
        <w:t>The CCC did not have any financial assets that were past due but not impaired in the current or previous period.</w:t>
      </w:r>
    </w:p>
    <w:p w14:paraId="1836B9A8" w14:textId="77777777" w:rsidR="00FC17BC" w:rsidRPr="00DF3006" w:rsidRDefault="00FC17BC" w:rsidP="00FC17BC">
      <w:pPr>
        <w:pStyle w:val="Normalhanginglist105pt"/>
        <w:spacing w:line="240" w:lineRule="auto"/>
        <w:rPr>
          <w:color w:val="414042" w:themeColor="text1"/>
        </w:rPr>
      </w:pPr>
      <w:r w:rsidRPr="00DF3006">
        <w:rPr>
          <w:color w:val="414042" w:themeColor="text1"/>
        </w:rPr>
        <w:tab/>
      </w:r>
    </w:p>
    <w:p w14:paraId="067D106A" w14:textId="77777777" w:rsidR="00FC17BC" w:rsidRPr="00DF3006" w:rsidRDefault="00FC17BC" w:rsidP="00FC17BC">
      <w:pPr>
        <w:pStyle w:val="Normalhanginglist105pt"/>
        <w:spacing w:line="240" w:lineRule="auto"/>
        <w:ind w:firstLine="0"/>
        <w:rPr>
          <w:color w:val="414042" w:themeColor="text1"/>
        </w:rPr>
      </w:pPr>
      <w:r w:rsidRPr="00DF3006">
        <w:rPr>
          <w:i/>
          <w:color w:val="414042" w:themeColor="text1"/>
        </w:rPr>
        <w:t>Liquidity</w:t>
      </w:r>
      <w:r w:rsidRPr="00DF3006">
        <w:rPr>
          <w:color w:val="414042" w:themeColor="text1"/>
        </w:rPr>
        <w:t xml:space="preserve"> </w:t>
      </w:r>
      <w:r w:rsidRPr="00DF3006">
        <w:rPr>
          <w:i/>
          <w:color w:val="414042" w:themeColor="text1"/>
        </w:rPr>
        <w:t>Risk</w:t>
      </w:r>
    </w:p>
    <w:p w14:paraId="06EB76B2" w14:textId="77777777" w:rsidR="00FC17BC" w:rsidRPr="00DF3006" w:rsidRDefault="00FC17BC" w:rsidP="00FC17BC">
      <w:pPr>
        <w:pStyle w:val="Normalindent1stpara"/>
        <w:spacing w:line="240" w:lineRule="auto"/>
        <w:jc w:val="both"/>
        <w:rPr>
          <w:color w:val="414042" w:themeColor="text1"/>
        </w:rPr>
      </w:pPr>
      <w:r w:rsidRPr="00DF3006">
        <w:rPr>
          <w:color w:val="414042" w:themeColor="text1"/>
        </w:rPr>
        <w:t xml:space="preserve">Liquidity risk refers to the situation where the CCC may encounter difficulty in meeting obligations associated </w:t>
      </w:r>
      <w:r w:rsidRPr="00DF3006">
        <w:rPr>
          <w:color w:val="414042" w:themeColor="text1"/>
        </w:rPr>
        <w:br/>
        <w:t>with these financial liabilities that are settled by delivering cash or another financial asset.</w:t>
      </w:r>
    </w:p>
    <w:p w14:paraId="12354962" w14:textId="77777777" w:rsidR="00FC17BC" w:rsidRPr="00DF3006" w:rsidRDefault="00FC17BC" w:rsidP="00FC17BC">
      <w:pPr>
        <w:pStyle w:val="NormalIndent1"/>
        <w:spacing w:line="240" w:lineRule="auto"/>
        <w:jc w:val="both"/>
        <w:rPr>
          <w:color w:val="414042" w:themeColor="text1"/>
        </w:rPr>
      </w:pPr>
      <w:r w:rsidRPr="00DF3006">
        <w:rPr>
          <w:color w:val="414042" w:themeColor="text1"/>
        </w:rPr>
        <w:t xml:space="preserve">The CCC manages liquidity risk by ensuring the CCC has sufficient funds available to meet employee </w:t>
      </w:r>
      <w:r w:rsidRPr="00DF3006">
        <w:rPr>
          <w:color w:val="414042" w:themeColor="text1"/>
        </w:rPr>
        <w:br/>
        <w:t xml:space="preserve">and supplier obligations as they fall due. This is achieved by ensuring that sufficient levels of cash are held within the various bank accounts </w:t>
      </w:r>
      <w:proofErr w:type="gramStart"/>
      <w:r w:rsidRPr="00DF3006">
        <w:rPr>
          <w:color w:val="414042" w:themeColor="text1"/>
        </w:rPr>
        <w:t>so as to</w:t>
      </w:r>
      <w:proofErr w:type="gramEnd"/>
      <w:r w:rsidRPr="00DF3006">
        <w:rPr>
          <w:color w:val="414042" w:themeColor="text1"/>
        </w:rPr>
        <w:t xml:space="preserve"> match the expected duration of the various employee and supplier liabilities. The following table sets out the liquidity risk of financial liabilities held by the CCC.</w:t>
      </w:r>
    </w:p>
    <w:p w14:paraId="214CE95A" w14:textId="77777777" w:rsidR="00FC17BC" w:rsidRPr="00DF3006" w:rsidRDefault="00FC17BC" w:rsidP="00FC17BC">
      <w:pPr>
        <w:pStyle w:val="Normalindent1stpara"/>
        <w:spacing w:line="240" w:lineRule="auto"/>
        <w:rPr>
          <w:color w:val="414042" w:themeColor="text1"/>
        </w:rPr>
      </w:pPr>
    </w:p>
    <w:tbl>
      <w:tblPr>
        <w:tblW w:w="9074" w:type="dxa"/>
        <w:tblInd w:w="426" w:type="dxa"/>
        <w:tblLayout w:type="fixed"/>
        <w:tblCellMar>
          <w:left w:w="0" w:type="dxa"/>
        </w:tblCellMar>
        <w:tblLook w:val="01E0" w:firstRow="1" w:lastRow="1" w:firstColumn="1" w:lastColumn="1" w:noHBand="0" w:noVBand="0"/>
      </w:tblPr>
      <w:tblGrid>
        <w:gridCol w:w="1841"/>
        <w:gridCol w:w="427"/>
        <w:gridCol w:w="852"/>
        <w:gridCol w:w="851"/>
        <w:gridCol w:w="851"/>
        <w:gridCol w:w="850"/>
        <w:gridCol w:w="850"/>
        <w:gridCol w:w="851"/>
        <w:gridCol w:w="851"/>
        <w:gridCol w:w="850"/>
      </w:tblGrid>
      <w:tr w:rsidR="00DF3006" w:rsidRPr="00DF3006" w14:paraId="4C5FF0EF" w14:textId="77777777" w:rsidTr="00025E55">
        <w:trPr>
          <w:trHeight w:val="267"/>
        </w:trPr>
        <w:tc>
          <w:tcPr>
            <w:tcW w:w="1841" w:type="dxa"/>
            <w:tcMar>
              <w:left w:w="0" w:type="dxa"/>
              <w:right w:w="0" w:type="dxa"/>
            </w:tcMar>
          </w:tcPr>
          <w:p w14:paraId="1EA0F6BE" w14:textId="77777777" w:rsidR="00FC17BC" w:rsidRPr="00DF3006" w:rsidRDefault="00FC17BC" w:rsidP="00025E55">
            <w:pPr>
              <w:rPr>
                <w:rFonts w:cstheme="minorHAnsi"/>
                <w:color w:val="414042" w:themeColor="text1"/>
                <w:szCs w:val="19"/>
              </w:rPr>
            </w:pPr>
          </w:p>
        </w:tc>
        <w:tc>
          <w:tcPr>
            <w:tcW w:w="427" w:type="dxa"/>
            <w:tcMar>
              <w:left w:w="0" w:type="dxa"/>
              <w:right w:w="0" w:type="dxa"/>
            </w:tcMar>
          </w:tcPr>
          <w:p w14:paraId="202690B8" w14:textId="77777777" w:rsidR="00FC17BC" w:rsidRPr="00DF3006" w:rsidRDefault="00FC17BC" w:rsidP="00025E55">
            <w:pPr>
              <w:rPr>
                <w:rFonts w:cstheme="minorHAnsi"/>
                <w:b/>
                <w:color w:val="414042" w:themeColor="text1"/>
                <w:szCs w:val="19"/>
              </w:rPr>
            </w:pPr>
          </w:p>
        </w:tc>
        <w:tc>
          <w:tcPr>
            <w:tcW w:w="5105" w:type="dxa"/>
            <w:gridSpan w:val="6"/>
          </w:tcPr>
          <w:p w14:paraId="028AB771"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Payable in</w:t>
            </w:r>
          </w:p>
        </w:tc>
        <w:tc>
          <w:tcPr>
            <w:tcW w:w="1701" w:type="dxa"/>
            <w:gridSpan w:val="2"/>
            <w:vMerge w:val="restart"/>
            <w:tcBorders>
              <w:bottom w:val="single" w:sz="4" w:space="0" w:color="auto"/>
            </w:tcBorders>
            <w:tcMar>
              <w:left w:w="0" w:type="dxa"/>
              <w:bottom w:w="0" w:type="dxa"/>
              <w:right w:w="113" w:type="dxa"/>
            </w:tcMar>
            <w:vAlign w:val="bottom"/>
          </w:tcPr>
          <w:p w14:paraId="1EAC204D"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Total</w:t>
            </w:r>
          </w:p>
        </w:tc>
      </w:tr>
      <w:tr w:rsidR="00DF3006" w:rsidRPr="00DF3006" w14:paraId="2D74C423" w14:textId="77777777" w:rsidTr="00025E55">
        <w:trPr>
          <w:trHeight w:val="343"/>
        </w:trPr>
        <w:tc>
          <w:tcPr>
            <w:tcW w:w="1841" w:type="dxa"/>
            <w:tcMar>
              <w:left w:w="0" w:type="dxa"/>
              <w:right w:w="0" w:type="dxa"/>
            </w:tcMar>
          </w:tcPr>
          <w:p w14:paraId="17AACBD5" w14:textId="77777777" w:rsidR="00FC17BC" w:rsidRPr="00DF3006" w:rsidRDefault="00FC17BC" w:rsidP="00025E55">
            <w:pPr>
              <w:jc w:val="center"/>
              <w:rPr>
                <w:rFonts w:cstheme="minorHAnsi"/>
                <w:color w:val="414042" w:themeColor="text1"/>
                <w:szCs w:val="20"/>
              </w:rPr>
            </w:pPr>
          </w:p>
        </w:tc>
        <w:tc>
          <w:tcPr>
            <w:tcW w:w="427" w:type="dxa"/>
            <w:tcMar>
              <w:top w:w="57" w:type="dxa"/>
              <w:left w:w="0" w:type="dxa"/>
              <w:bottom w:w="57" w:type="dxa"/>
              <w:right w:w="0" w:type="dxa"/>
            </w:tcMar>
          </w:tcPr>
          <w:p w14:paraId="0E5A570A"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Note</w:t>
            </w:r>
          </w:p>
        </w:tc>
        <w:tc>
          <w:tcPr>
            <w:tcW w:w="1703" w:type="dxa"/>
            <w:gridSpan w:val="2"/>
            <w:tcBorders>
              <w:top w:val="single" w:sz="4" w:space="0" w:color="auto"/>
              <w:bottom w:val="single" w:sz="4" w:space="0" w:color="auto"/>
            </w:tcBorders>
            <w:tcMar>
              <w:top w:w="0" w:type="dxa"/>
              <w:left w:w="0" w:type="dxa"/>
              <w:bottom w:w="0" w:type="dxa"/>
              <w:right w:w="113" w:type="dxa"/>
            </w:tcMar>
          </w:tcPr>
          <w:p w14:paraId="3AC9D800" w14:textId="77777777" w:rsidR="00FC17BC" w:rsidRPr="00DF3006" w:rsidRDefault="00FC17BC" w:rsidP="00025E55">
            <w:pPr>
              <w:jc w:val="right"/>
              <w:rPr>
                <w:rFonts w:cstheme="minorHAnsi"/>
                <w:b/>
                <w:color w:val="414042" w:themeColor="text1"/>
                <w:szCs w:val="20"/>
              </w:rPr>
            </w:pPr>
            <w:r w:rsidRPr="00DF3006">
              <w:rPr>
                <w:rFonts w:cstheme="minorHAnsi"/>
                <w:b/>
                <w:color w:val="414042" w:themeColor="text1"/>
                <w:szCs w:val="20"/>
              </w:rPr>
              <w:t>&lt; 1 year</w:t>
            </w:r>
          </w:p>
        </w:tc>
        <w:tc>
          <w:tcPr>
            <w:tcW w:w="1701" w:type="dxa"/>
            <w:gridSpan w:val="2"/>
            <w:tcBorders>
              <w:top w:val="single" w:sz="4" w:space="0" w:color="auto"/>
              <w:bottom w:val="single" w:sz="4" w:space="0" w:color="auto"/>
            </w:tcBorders>
            <w:tcMar>
              <w:top w:w="0" w:type="dxa"/>
              <w:left w:w="0" w:type="dxa"/>
              <w:bottom w:w="0" w:type="dxa"/>
              <w:right w:w="113" w:type="dxa"/>
            </w:tcMar>
          </w:tcPr>
          <w:p w14:paraId="6C7048C5" w14:textId="77777777" w:rsidR="00FC17BC" w:rsidRPr="00DF3006" w:rsidRDefault="00FC17BC" w:rsidP="00025E55">
            <w:pPr>
              <w:jc w:val="right"/>
              <w:rPr>
                <w:rFonts w:cstheme="minorHAnsi"/>
                <w:b/>
                <w:color w:val="414042" w:themeColor="text1"/>
                <w:szCs w:val="20"/>
              </w:rPr>
            </w:pPr>
            <w:r w:rsidRPr="00DF3006">
              <w:rPr>
                <w:rFonts w:cstheme="minorHAnsi"/>
                <w:b/>
                <w:color w:val="414042" w:themeColor="text1"/>
                <w:szCs w:val="20"/>
              </w:rPr>
              <w:t>1–5 years</w:t>
            </w:r>
          </w:p>
        </w:tc>
        <w:tc>
          <w:tcPr>
            <w:tcW w:w="1701" w:type="dxa"/>
            <w:gridSpan w:val="2"/>
            <w:tcBorders>
              <w:top w:val="single" w:sz="4" w:space="0" w:color="auto"/>
              <w:bottom w:val="single" w:sz="4" w:space="0" w:color="auto"/>
            </w:tcBorders>
            <w:tcMar>
              <w:top w:w="0" w:type="dxa"/>
              <w:left w:w="0" w:type="dxa"/>
              <w:bottom w:w="0" w:type="dxa"/>
              <w:right w:w="113" w:type="dxa"/>
            </w:tcMar>
          </w:tcPr>
          <w:p w14:paraId="2AA4A66D" w14:textId="77777777" w:rsidR="00FC17BC" w:rsidRPr="00DF3006" w:rsidRDefault="00FC17BC" w:rsidP="00025E55">
            <w:pPr>
              <w:jc w:val="right"/>
              <w:rPr>
                <w:rFonts w:cstheme="minorHAnsi"/>
                <w:b/>
                <w:color w:val="414042" w:themeColor="text1"/>
                <w:szCs w:val="20"/>
              </w:rPr>
            </w:pPr>
            <w:r w:rsidRPr="00DF3006">
              <w:rPr>
                <w:rFonts w:cstheme="minorHAnsi"/>
                <w:b/>
                <w:color w:val="414042" w:themeColor="text1"/>
                <w:szCs w:val="20"/>
              </w:rPr>
              <w:t>&gt; 5 years</w:t>
            </w:r>
          </w:p>
        </w:tc>
        <w:tc>
          <w:tcPr>
            <w:tcW w:w="1701" w:type="dxa"/>
            <w:gridSpan w:val="2"/>
            <w:vMerge/>
            <w:tcBorders>
              <w:bottom w:val="single" w:sz="4" w:space="0" w:color="auto"/>
            </w:tcBorders>
            <w:tcMar>
              <w:top w:w="57" w:type="dxa"/>
              <w:left w:w="0" w:type="dxa"/>
              <w:bottom w:w="0" w:type="dxa"/>
              <w:right w:w="0" w:type="dxa"/>
            </w:tcMar>
            <w:vAlign w:val="bottom"/>
          </w:tcPr>
          <w:p w14:paraId="09917CFE" w14:textId="77777777" w:rsidR="00FC17BC" w:rsidRPr="00DF3006" w:rsidRDefault="00FC17BC" w:rsidP="00025E55">
            <w:pPr>
              <w:jc w:val="right"/>
              <w:rPr>
                <w:rFonts w:cstheme="minorHAnsi"/>
                <w:b/>
                <w:color w:val="414042" w:themeColor="text1"/>
                <w:szCs w:val="20"/>
              </w:rPr>
            </w:pPr>
          </w:p>
        </w:tc>
      </w:tr>
      <w:tr w:rsidR="00DF3006" w:rsidRPr="00DF3006" w14:paraId="5D2B39CC" w14:textId="77777777" w:rsidTr="00025E55">
        <w:tc>
          <w:tcPr>
            <w:tcW w:w="1841" w:type="dxa"/>
            <w:tcMar>
              <w:left w:w="0" w:type="dxa"/>
              <w:right w:w="0" w:type="dxa"/>
            </w:tcMar>
          </w:tcPr>
          <w:p w14:paraId="73953E77" w14:textId="77777777" w:rsidR="00FC17BC" w:rsidRPr="00DF3006" w:rsidRDefault="00FC17BC" w:rsidP="00025E55">
            <w:pPr>
              <w:jc w:val="right"/>
              <w:rPr>
                <w:rFonts w:cstheme="minorHAnsi"/>
                <w:b/>
                <w:color w:val="414042" w:themeColor="text1"/>
                <w:szCs w:val="20"/>
              </w:rPr>
            </w:pPr>
          </w:p>
        </w:tc>
        <w:tc>
          <w:tcPr>
            <w:tcW w:w="427" w:type="dxa"/>
            <w:tcMar>
              <w:left w:w="0" w:type="dxa"/>
              <w:right w:w="0" w:type="dxa"/>
            </w:tcMar>
          </w:tcPr>
          <w:p w14:paraId="3F8A4D92" w14:textId="77777777" w:rsidR="00FC17BC" w:rsidRPr="00DF3006" w:rsidRDefault="00FC17BC" w:rsidP="00025E55">
            <w:pPr>
              <w:jc w:val="right"/>
              <w:rPr>
                <w:rFonts w:cstheme="minorHAnsi"/>
                <w:b/>
                <w:color w:val="414042" w:themeColor="text1"/>
                <w:szCs w:val="20"/>
              </w:rPr>
            </w:pPr>
          </w:p>
        </w:tc>
        <w:tc>
          <w:tcPr>
            <w:tcW w:w="852" w:type="dxa"/>
            <w:tcBorders>
              <w:top w:val="single" w:sz="4" w:space="0" w:color="auto"/>
              <w:right w:val="single" w:sz="4" w:space="0" w:color="auto"/>
            </w:tcBorders>
            <w:shd w:val="clear" w:color="auto" w:fill="D9D9D9" w:themeFill="background1" w:themeFillShade="D9"/>
            <w:tcMar>
              <w:left w:w="0" w:type="dxa"/>
              <w:right w:w="0" w:type="dxa"/>
            </w:tcMar>
            <w:vAlign w:val="bottom"/>
          </w:tcPr>
          <w:p w14:paraId="37CEBB12"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2023</w:t>
            </w:r>
          </w:p>
        </w:tc>
        <w:tc>
          <w:tcPr>
            <w:tcW w:w="851" w:type="dxa"/>
            <w:tcBorders>
              <w:top w:val="single" w:sz="4" w:space="0" w:color="auto"/>
              <w:left w:val="single" w:sz="4" w:space="0" w:color="auto"/>
              <w:right w:val="single" w:sz="4" w:space="0" w:color="auto"/>
            </w:tcBorders>
            <w:shd w:val="clear" w:color="auto" w:fill="FFFFFF" w:themeFill="background1"/>
            <w:vAlign w:val="bottom"/>
          </w:tcPr>
          <w:p w14:paraId="10EB83FF"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2022</w:t>
            </w:r>
          </w:p>
        </w:tc>
        <w:tc>
          <w:tcPr>
            <w:tcW w:w="851" w:type="dxa"/>
            <w:tcBorders>
              <w:top w:val="single" w:sz="4" w:space="0" w:color="auto"/>
              <w:left w:val="single" w:sz="4" w:space="0" w:color="auto"/>
              <w:right w:val="single" w:sz="4" w:space="0" w:color="auto"/>
            </w:tcBorders>
            <w:shd w:val="clear" w:color="auto" w:fill="D9D9D9" w:themeFill="background1" w:themeFillShade="D9"/>
            <w:tcMar>
              <w:left w:w="0" w:type="dxa"/>
              <w:right w:w="0" w:type="dxa"/>
            </w:tcMar>
            <w:vAlign w:val="bottom"/>
          </w:tcPr>
          <w:p w14:paraId="36339B0A"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2023</w:t>
            </w:r>
          </w:p>
        </w:tc>
        <w:tc>
          <w:tcPr>
            <w:tcW w:w="850" w:type="dxa"/>
            <w:tcBorders>
              <w:top w:val="single" w:sz="4" w:space="0" w:color="auto"/>
              <w:left w:val="single" w:sz="4" w:space="0" w:color="auto"/>
              <w:right w:val="single" w:sz="4" w:space="0" w:color="auto"/>
            </w:tcBorders>
            <w:shd w:val="clear" w:color="auto" w:fill="FFFFFF" w:themeFill="background1"/>
            <w:vAlign w:val="bottom"/>
          </w:tcPr>
          <w:p w14:paraId="74CF9A75"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2022</w:t>
            </w:r>
          </w:p>
        </w:tc>
        <w:tc>
          <w:tcPr>
            <w:tcW w:w="850" w:type="dxa"/>
            <w:tcBorders>
              <w:top w:val="single" w:sz="4" w:space="0" w:color="auto"/>
              <w:left w:val="single" w:sz="4" w:space="0" w:color="auto"/>
              <w:right w:val="single" w:sz="4" w:space="0" w:color="auto"/>
            </w:tcBorders>
            <w:shd w:val="clear" w:color="auto" w:fill="D9D9D9" w:themeFill="background1" w:themeFillShade="D9"/>
            <w:tcMar>
              <w:left w:w="0" w:type="dxa"/>
              <w:right w:w="0" w:type="dxa"/>
            </w:tcMar>
            <w:vAlign w:val="bottom"/>
          </w:tcPr>
          <w:p w14:paraId="5B6573D0"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2023</w:t>
            </w:r>
          </w:p>
        </w:tc>
        <w:tc>
          <w:tcPr>
            <w:tcW w:w="851" w:type="dxa"/>
            <w:tcBorders>
              <w:top w:val="single" w:sz="4" w:space="0" w:color="auto"/>
              <w:right w:val="single" w:sz="4" w:space="0" w:color="auto"/>
            </w:tcBorders>
            <w:shd w:val="clear" w:color="auto" w:fill="FFFFFF" w:themeFill="background1"/>
            <w:vAlign w:val="bottom"/>
          </w:tcPr>
          <w:p w14:paraId="5E18CF66"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2022</w:t>
            </w:r>
          </w:p>
        </w:tc>
        <w:tc>
          <w:tcPr>
            <w:tcW w:w="851" w:type="dxa"/>
            <w:tcBorders>
              <w:top w:val="single" w:sz="4" w:space="0" w:color="auto"/>
              <w:left w:val="single" w:sz="4" w:space="0" w:color="auto"/>
            </w:tcBorders>
            <w:shd w:val="clear" w:color="auto" w:fill="D9D9D9" w:themeFill="background1" w:themeFillShade="D9"/>
            <w:tcMar>
              <w:left w:w="0" w:type="dxa"/>
              <w:right w:w="0" w:type="dxa"/>
            </w:tcMar>
            <w:vAlign w:val="bottom"/>
          </w:tcPr>
          <w:p w14:paraId="78D957EA"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2023</w:t>
            </w:r>
          </w:p>
        </w:tc>
        <w:tc>
          <w:tcPr>
            <w:tcW w:w="850" w:type="dxa"/>
            <w:tcBorders>
              <w:top w:val="single" w:sz="4" w:space="0" w:color="auto"/>
              <w:left w:val="single" w:sz="4" w:space="0" w:color="auto"/>
            </w:tcBorders>
            <w:shd w:val="clear" w:color="auto" w:fill="FFFFFF" w:themeFill="background1"/>
            <w:vAlign w:val="bottom"/>
          </w:tcPr>
          <w:p w14:paraId="450EA05F"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2022</w:t>
            </w:r>
          </w:p>
        </w:tc>
      </w:tr>
      <w:tr w:rsidR="00DF3006" w:rsidRPr="00DF3006" w14:paraId="5559795B" w14:textId="77777777" w:rsidTr="00025E55">
        <w:tc>
          <w:tcPr>
            <w:tcW w:w="1841" w:type="dxa"/>
            <w:tcMar>
              <w:left w:w="0" w:type="dxa"/>
              <w:right w:w="0" w:type="dxa"/>
            </w:tcMar>
          </w:tcPr>
          <w:p w14:paraId="5E55266B" w14:textId="77777777" w:rsidR="00FC17BC" w:rsidRPr="00DF3006" w:rsidRDefault="00FC17BC" w:rsidP="00025E55">
            <w:pPr>
              <w:jc w:val="right"/>
              <w:rPr>
                <w:rFonts w:cstheme="minorHAnsi"/>
                <w:b/>
                <w:color w:val="414042" w:themeColor="text1"/>
                <w:szCs w:val="20"/>
              </w:rPr>
            </w:pPr>
          </w:p>
        </w:tc>
        <w:tc>
          <w:tcPr>
            <w:tcW w:w="427" w:type="dxa"/>
            <w:tcMar>
              <w:left w:w="0" w:type="dxa"/>
              <w:right w:w="0" w:type="dxa"/>
            </w:tcMar>
          </w:tcPr>
          <w:p w14:paraId="03AFB283" w14:textId="77777777" w:rsidR="00FC17BC" w:rsidRPr="00DF3006" w:rsidRDefault="00FC17BC" w:rsidP="00025E55">
            <w:pPr>
              <w:jc w:val="right"/>
              <w:rPr>
                <w:rFonts w:cstheme="minorHAnsi"/>
                <w:b/>
                <w:color w:val="414042" w:themeColor="text1"/>
                <w:szCs w:val="20"/>
              </w:rPr>
            </w:pPr>
          </w:p>
        </w:tc>
        <w:tc>
          <w:tcPr>
            <w:tcW w:w="852" w:type="dxa"/>
            <w:tcBorders>
              <w:bottom w:val="single" w:sz="4" w:space="0" w:color="auto"/>
              <w:right w:val="single" w:sz="4" w:space="0" w:color="auto"/>
            </w:tcBorders>
            <w:shd w:val="clear" w:color="auto" w:fill="D9D9D9" w:themeFill="background1" w:themeFillShade="D9"/>
            <w:tcMar>
              <w:left w:w="0" w:type="dxa"/>
              <w:right w:w="0" w:type="dxa"/>
            </w:tcMar>
            <w:vAlign w:val="bottom"/>
          </w:tcPr>
          <w:p w14:paraId="066004B0"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1" w:type="dxa"/>
            <w:tcBorders>
              <w:left w:val="single" w:sz="4" w:space="0" w:color="auto"/>
              <w:bottom w:val="single" w:sz="4" w:space="0" w:color="auto"/>
              <w:right w:val="single" w:sz="4" w:space="0" w:color="auto"/>
            </w:tcBorders>
            <w:shd w:val="clear" w:color="auto" w:fill="FFFFFF" w:themeFill="background1"/>
            <w:vAlign w:val="bottom"/>
          </w:tcPr>
          <w:p w14:paraId="2CA09726"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1" w:type="dxa"/>
            <w:tcBorders>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bottom"/>
          </w:tcPr>
          <w:p w14:paraId="27D36406"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0" w:type="dxa"/>
            <w:tcBorders>
              <w:left w:val="single" w:sz="4" w:space="0" w:color="auto"/>
              <w:bottom w:val="single" w:sz="4" w:space="0" w:color="auto"/>
              <w:right w:val="single" w:sz="4" w:space="0" w:color="auto"/>
            </w:tcBorders>
            <w:shd w:val="clear" w:color="auto" w:fill="FFFFFF" w:themeFill="background1"/>
            <w:vAlign w:val="bottom"/>
          </w:tcPr>
          <w:p w14:paraId="73B0FE23"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0" w:type="dxa"/>
            <w:tcBorders>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bottom"/>
          </w:tcPr>
          <w:p w14:paraId="68127B40"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1" w:type="dxa"/>
            <w:tcBorders>
              <w:bottom w:val="single" w:sz="4" w:space="0" w:color="auto"/>
              <w:right w:val="single" w:sz="4" w:space="0" w:color="auto"/>
            </w:tcBorders>
            <w:shd w:val="clear" w:color="auto" w:fill="FFFFFF" w:themeFill="background1"/>
            <w:vAlign w:val="bottom"/>
          </w:tcPr>
          <w:p w14:paraId="280F2DE1"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1" w:type="dxa"/>
            <w:tcBorders>
              <w:left w:val="single" w:sz="4" w:space="0" w:color="auto"/>
              <w:bottom w:val="single" w:sz="4" w:space="0" w:color="auto"/>
            </w:tcBorders>
            <w:shd w:val="clear" w:color="auto" w:fill="D9D9D9" w:themeFill="background1" w:themeFillShade="D9"/>
            <w:tcMar>
              <w:left w:w="0" w:type="dxa"/>
              <w:right w:w="0" w:type="dxa"/>
            </w:tcMar>
            <w:vAlign w:val="bottom"/>
          </w:tcPr>
          <w:p w14:paraId="695FCC3B"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c>
          <w:tcPr>
            <w:tcW w:w="850" w:type="dxa"/>
            <w:tcBorders>
              <w:left w:val="single" w:sz="4" w:space="0" w:color="auto"/>
              <w:bottom w:val="single" w:sz="4" w:space="0" w:color="auto"/>
            </w:tcBorders>
            <w:shd w:val="clear" w:color="auto" w:fill="FFFFFF" w:themeFill="background1"/>
            <w:vAlign w:val="bottom"/>
          </w:tcPr>
          <w:p w14:paraId="1B2AD5D1" w14:textId="77777777" w:rsidR="00FC17BC" w:rsidRPr="00DF3006" w:rsidRDefault="00FC17BC" w:rsidP="00025E55">
            <w:pPr>
              <w:jc w:val="center"/>
              <w:rPr>
                <w:rFonts w:cstheme="minorHAnsi"/>
                <w:b/>
                <w:color w:val="414042" w:themeColor="text1"/>
                <w:szCs w:val="20"/>
              </w:rPr>
            </w:pPr>
            <w:r w:rsidRPr="00DF3006">
              <w:rPr>
                <w:rFonts w:cstheme="minorHAnsi"/>
                <w:b/>
                <w:color w:val="414042" w:themeColor="text1"/>
                <w:szCs w:val="20"/>
              </w:rPr>
              <w:t>$’000</w:t>
            </w:r>
          </w:p>
        </w:tc>
      </w:tr>
      <w:tr w:rsidR="00DF3006" w:rsidRPr="00DF3006" w14:paraId="2E96B56A" w14:textId="77777777" w:rsidTr="00025E55">
        <w:trPr>
          <w:trHeight w:val="227"/>
        </w:trPr>
        <w:tc>
          <w:tcPr>
            <w:tcW w:w="1841" w:type="dxa"/>
            <w:tcMar>
              <w:left w:w="0" w:type="dxa"/>
              <w:right w:w="0" w:type="dxa"/>
            </w:tcMar>
          </w:tcPr>
          <w:p w14:paraId="64918E5E" w14:textId="77777777" w:rsidR="00FC17BC" w:rsidRPr="00DF3006" w:rsidRDefault="00FC17BC" w:rsidP="00025E55">
            <w:pPr>
              <w:rPr>
                <w:rFonts w:cstheme="minorHAnsi"/>
                <w:b/>
                <w:color w:val="414042" w:themeColor="text1"/>
                <w:szCs w:val="20"/>
              </w:rPr>
            </w:pPr>
            <w:r w:rsidRPr="00DF3006">
              <w:rPr>
                <w:rFonts w:cstheme="minorHAnsi"/>
                <w:b/>
                <w:color w:val="414042" w:themeColor="text1"/>
                <w:szCs w:val="20"/>
              </w:rPr>
              <w:t>Financial liabilities</w:t>
            </w:r>
          </w:p>
        </w:tc>
        <w:tc>
          <w:tcPr>
            <w:tcW w:w="427" w:type="dxa"/>
            <w:tcMar>
              <w:left w:w="0" w:type="dxa"/>
              <w:right w:w="0" w:type="dxa"/>
            </w:tcMar>
          </w:tcPr>
          <w:p w14:paraId="3F0FA515" w14:textId="77777777" w:rsidR="00FC17BC" w:rsidRPr="00DF3006" w:rsidRDefault="00FC17BC" w:rsidP="00025E55">
            <w:pPr>
              <w:rPr>
                <w:rFonts w:cstheme="minorHAnsi"/>
                <w:b/>
                <w:color w:val="414042" w:themeColor="text1"/>
                <w:szCs w:val="20"/>
              </w:rPr>
            </w:pPr>
          </w:p>
        </w:tc>
        <w:tc>
          <w:tcPr>
            <w:tcW w:w="852" w:type="dxa"/>
            <w:tcBorders>
              <w:top w:val="single" w:sz="4" w:space="0" w:color="auto"/>
              <w:right w:val="single" w:sz="4" w:space="0" w:color="auto"/>
            </w:tcBorders>
            <w:shd w:val="clear" w:color="auto" w:fill="D9D9D9" w:themeFill="background1" w:themeFillShade="D9"/>
            <w:tcMar>
              <w:left w:w="0" w:type="dxa"/>
              <w:right w:w="0" w:type="dxa"/>
            </w:tcMar>
          </w:tcPr>
          <w:p w14:paraId="563CF6E9" w14:textId="77777777" w:rsidR="00FC17BC" w:rsidRPr="00DF3006" w:rsidRDefault="00FC17BC" w:rsidP="00025E55">
            <w:pPr>
              <w:rPr>
                <w:rFonts w:cstheme="minorHAnsi"/>
                <w:b/>
                <w:color w:val="414042" w:themeColor="text1"/>
                <w:szCs w:val="20"/>
              </w:rPr>
            </w:pPr>
          </w:p>
        </w:tc>
        <w:tc>
          <w:tcPr>
            <w:tcW w:w="851" w:type="dxa"/>
            <w:tcBorders>
              <w:top w:val="single" w:sz="4" w:space="0" w:color="auto"/>
              <w:left w:val="single" w:sz="4" w:space="0" w:color="auto"/>
              <w:right w:val="single" w:sz="4" w:space="0" w:color="auto"/>
            </w:tcBorders>
            <w:shd w:val="clear" w:color="auto" w:fill="FFFFFF" w:themeFill="background1"/>
          </w:tcPr>
          <w:p w14:paraId="7BD93224" w14:textId="77777777" w:rsidR="00FC17BC" w:rsidRPr="00DF3006" w:rsidRDefault="00FC17BC" w:rsidP="00025E55">
            <w:pPr>
              <w:rPr>
                <w:rFonts w:cstheme="minorHAnsi"/>
                <w:b/>
                <w:color w:val="414042" w:themeColor="text1"/>
                <w:szCs w:val="20"/>
              </w:rPr>
            </w:pPr>
          </w:p>
        </w:tc>
        <w:tc>
          <w:tcPr>
            <w:tcW w:w="851" w:type="dxa"/>
            <w:tcBorders>
              <w:top w:val="single" w:sz="4" w:space="0" w:color="auto"/>
              <w:left w:val="single" w:sz="4" w:space="0" w:color="auto"/>
              <w:right w:val="single" w:sz="4" w:space="0" w:color="auto"/>
            </w:tcBorders>
            <w:shd w:val="clear" w:color="auto" w:fill="D9D9D9" w:themeFill="background1" w:themeFillShade="D9"/>
            <w:tcMar>
              <w:left w:w="0" w:type="dxa"/>
              <w:right w:w="0" w:type="dxa"/>
            </w:tcMar>
          </w:tcPr>
          <w:p w14:paraId="566585B0" w14:textId="77777777" w:rsidR="00FC17BC" w:rsidRPr="00DF3006" w:rsidRDefault="00FC17BC" w:rsidP="00025E55">
            <w:pPr>
              <w:rPr>
                <w:rFonts w:cstheme="minorHAnsi"/>
                <w:b/>
                <w:color w:val="414042" w:themeColor="text1"/>
                <w:szCs w:val="20"/>
              </w:rPr>
            </w:pPr>
          </w:p>
        </w:tc>
        <w:tc>
          <w:tcPr>
            <w:tcW w:w="850" w:type="dxa"/>
            <w:tcBorders>
              <w:top w:val="single" w:sz="4" w:space="0" w:color="auto"/>
              <w:left w:val="single" w:sz="4" w:space="0" w:color="auto"/>
              <w:right w:val="single" w:sz="4" w:space="0" w:color="auto"/>
            </w:tcBorders>
            <w:shd w:val="clear" w:color="auto" w:fill="FFFFFF" w:themeFill="background1"/>
          </w:tcPr>
          <w:p w14:paraId="0FC69F76" w14:textId="77777777" w:rsidR="00FC17BC" w:rsidRPr="00DF3006" w:rsidRDefault="00FC17BC" w:rsidP="00025E55">
            <w:pPr>
              <w:rPr>
                <w:rFonts w:cstheme="minorHAnsi"/>
                <w:b/>
                <w:color w:val="414042" w:themeColor="text1"/>
                <w:szCs w:val="20"/>
              </w:rPr>
            </w:pPr>
          </w:p>
        </w:tc>
        <w:tc>
          <w:tcPr>
            <w:tcW w:w="850" w:type="dxa"/>
            <w:tcBorders>
              <w:top w:val="single" w:sz="4" w:space="0" w:color="auto"/>
              <w:left w:val="single" w:sz="4" w:space="0" w:color="auto"/>
              <w:right w:val="single" w:sz="4" w:space="0" w:color="auto"/>
            </w:tcBorders>
            <w:shd w:val="clear" w:color="auto" w:fill="D9D9D9" w:themeFill="background1" w:themeFillShade="D9"/>
            <w:tcMar>
              <w:left w:w="0" w:type="dxa"/>
              <w:right w:w="0" w:type="dxa"/>
            </w:tcMar>
          </w:tcPr>
          <w:p w14:paraId="51E02245" w14:textId="77777777" w:rsidR="00FC17BC" w:rsidRPr="00DF3006" w:rsidRDefault="00FC17BC" w:rsidP="00025E55">
            <w:pPr>
              <w:rPr>
                <w:rFonts w:cstheme="minorHAnsi"/>
                <w:b/>
                <w:color w:val="414042" w:themeColor="text1"/>
                <w:szCs w:val="20"/>
              </w:rPr>
            </w:pPr>
          </w:p>
        </w:tc>
        <w:tc>
          <w:tcPr>
            <w:tcW w:w="851" w:type="dxa"/>
            <w:tcBorders>
              <w:top w:val="single" w:sz="4" w:space="0" w:color="auto"/>
              <w:right w:val="single" w:sz="4" w:space="0" w:color="auto"/>
            </w:tcBorders>
            <w:shd w:val="clear" w:color="auto" w:fill="FFFFFF" w:themeFill="background1"/>
          </w:tcPr>
          <w:p w14:paraId="1E8F97F2" w14:textId="77777777" w:rsidR="00FC17BC" w:rsidRPr="00DF3006" w:rsidRDefault="00FC17BC" w:rsidP="00025E55">
            <w:pPr>
              <w:rPr>
                <w:rFonts w:cstheme="minorHAnsi"/>
                <w:b/>
                <w:color w:val="414042" w:themeColor="text1"/>
                <w:szCs w:val="20"/>
              </w:rPr>
            </w:pPr>
          </w:p>
        </w:tc>
        <w:tc>
          <w:tcPr>
            <w:tcW w:w="851" w:type="dxa"/>
            <w:tcBorders>
              <w:top w:val="single" w:sz="4" w:space="0" w:color="auto"/>
              <w:left w:val="single" w:sz="4" w:space="0" w:color="auto"/>
            </w:tcBorders>
            <w:shd w:val="clear" w:color="auto" w:fill="D9D9D9" w:themeFill="background1" w:themeFillShade="D9"/>
            <w:tcMar>
              <w:left w:w="0" w:type="dxa"/>
              <w:right w:w="0" w:type="dxa"/>
            </w:tcMar>
          </w:tcPr>
          <w:p w14:paraId="05C4E174" w14:textId="77777777" w:rsidR="00FC17BC" w:rsidRPr="00DF3006" w:rsidRDefault="00FC17BC" w:rsidP="00025E55">
            <w:pPr>
              <w:rPr>
                <w:rFonts w:cstheme="minorHAnsi"/>
                <w:b/>
                <w:color w:val="414042" w:themeColor="text1"/>
                <w:szCs w:val="20"/>
              </w:rPr>
            </w:pPr>
          </w:p>
        </w:tc>
        <w:tc>
          <w:tcPr>
            <w:tcW w:w="850" w:type="dxa"/>
            <w:tcBorders>
              <w:top w:val="single" w:sz="4" w:space="0" w:color="auto"/>
              <w:left w:val="single" w:sz="4" w:space="0" w:color="auto"/>
            </w:tcBorders>
            <w:shd w:val="clear" w:color="auto" w:fill="FFFFFF" w:themeFill="background1"/>
          </w:tcPr>
          <w:p w14:paraId="6D09DE01" w14:textId="77777777" w:rsidR="00FC17BC" w:rsidRPr="00DF3006" w:rsidRDefault="00FC17BC" w:rsidP="00025E55">
            <w:pPr>
              <w:rPr>
                <w:rFonts w:cstheme="minorHAnsi"/>
                <w:b/>
                <w:color w:val="414042" w:themeColor="text1"/>
                <w:szCs w:val="20"/>
              </w:rPr>
            </w:pPr>
          </w:p>
        </w:tc>
      </w:tr>
      <w:tr w:rsidR="00DF3006" w:rsidRPr="00DF3006" w14:paraId="39746249" w14:textId="77777777" w:rsidTr="00025E55">
        <w:tc>
          <w:tcPr>
            <w:tcW w:w="1841" w:type="dxa"/>
            <w:tcMar>
              <w:left w:w="0" w:type="dxa"/>
              <w:right w:w="0" w:type="dxa"/>
            </w:tcMar>
            <w:vAlign w:val="bottom"/>
          </w:tcPr>
          <w:p w14:paraId="66BA7075" w14:textId="77777777" w:rsidR="00FC17BC" w:rsidRPr="00DF3006" w:rsidRDefault="00FC17BC" w:rsidP="00025E55">
            <w:pPr>
              <w:rPr>
                <w:rFonts w:cstheme="minorHAnsi"/>
                <w:color w:val="414042" w:themeColor="text1"/>
                <w:szCs w:val="20"/>
              </w:rPr>
            </w:pPr>
            <w:r w:rsidRPr="00DF3006">
              <w:rPr>
                <w:rFonts w:cstheme="minorHAnsi"/>
                <w:color w:val="414042" w:themeColor="text1"/>
                <w:szCs w:val="20"/>
              </w:rPr>
              <w:t>Contractual Payables</w:t>
            </w:r>
          </w:p>
        </w:tc>
        <w:tc>
          <w:tcPr>
            <w:tcW w:w="427" w:type="dxa"/>
            <w:tcMar>
              <w:left w:w="0" w:type="dxa"/>
              <w:right w:w="0" w:type="dxa"/>
            </w:tcMar>
            <w:vAlign w:val="bottom"/>
          </w:tcPr>
          <w:p w14:paraId="19792740" w14:textId="77777777" w:rsidR="00FC17BC" w:rsidRPr="00DF3006" w:rsidRDefault="00FC17BC" w:rsidP="00025E55">
            <w:pPr>
              <w:jc w:val="center"/>
              <w:rPr>
                <w:rFonts w:cstheme="minorHAnsi"/>
                <w:color w:val="414042" w:themeColor="text1"/>
                <w:szCs w:val="20"/>
              </w:rPr>
            </w:pPr>
            <w:r w:rsidRPr="00DF3006">
              <w:rPr>
                <w:rFonts w:cstheme="minorHAnsi"/>
                <w:color w:val="414042" w:themeColor="text1"/>
                <w:szCs w:val="20"/>
              </w:rPr>
              <w:t>12</w:t>
            </w:r>
          </w:p>
        </w:tc>
        <w:tc>
          <w:tcPr>
            <w:tcW w:w="852" w:type="dxa"/>
            <w:tcBorders>
              <w:right w:val="single" w:sz="4" w:space="0" w:color="auto"/>
            </w:tcBorders>
            <w:shd w:val="clear" w:color="auto" w:fill="D9D9D9" w:themeFill="background1" w:themeFillShade="D9"/>
            <w:tcMar>
              <w:left w:w="0" w:type="dxa"/>
              <w:right w:w="113" w:type="dxa"/>
            </w:tcMar>
            <w:vAlign w:val="bottom"/>
          </w:tcPr>
          <w:p w14:paraId="57E3878F"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2,199</w:t>
            </w:r>
          </w:p>
        </w:tc>
        <w:tc>
          <w:tcPr>
            <w:tcW w:w="851" w:type="dxa"/>
            <w:tcBorders>
              <w:left w:val="single" w:sz="4" w:space="0" w:color="auto"/>
              <w:right w:val="single" w:sz="4" w:space="0" w:color="auto"/>
            </w:tcBorders>
            <w:shd w:val="clear" w:color="auto" w:fill="FFFFFF" w:themeFill="background1"/>
            <w:vAlign w:val="bottom"/>
          </w:tcPr>
          <w:p w14:paraId="4ED45376"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2,653</w:t>
            </w:r>
          </w:p>
        </w:tc>
        <w:tc>
          <w:tcPr>
            <w:tcW w:w="851" w:type="dxa"/>
            <w:tcBorders>
              <w:left w:val="single" w:sz="4" w:space="0" w:color="auto"/>
              <w:right w:val="single" w:sz="4" w:space="0" w:color="auto"/>
            </w:tcBorders>
            <w:shd w:val="clear" w:color="auto" w:fill="D9D9D9" w:themeFill="background1" w:themeFillShade="D9"/>
            <w:tcMar>
              <w:left w:w="0" w:type="dxa"/>
              <w:right w:w="113" w:type="dxa"/>
            </w:tcMar>
            <w:vAlign w:val="bottom"/>
          </w:tcPr>
          <w:p w14:paraId="4292BFE4"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0" w:type="dxa"/>
            <w:tcBorders>
              <w:left w:val="single" w:sz="4" w:space="0" w:color="auto"/>
              <w:right w:val="single" w:sz="4" w:space="0" w:color="auto"/>
            </w:tcBorders>
            <w:shd w:val="clear" w:color="auto" w:fill="FFFFFF" w:themeFill="background1"/>
            <w:vAlign w:val="bottom"/>
          </w:tcPr>
          <w:p w14:paraId="12D8687F"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0" w:type="dxa"/>
            <w:tcBorders>
              <w:left w:val="single" w:sz="4" w:space="0" w:color="auto"/>
              <w:right w:val="single" w:sz="4" w:space="0" w:color="auto"/>
            </w:tcBorders>
            <w:shd w:val="clear" w:color="auto" w:fill="D9D9D9" w:themeFill="background1" w:themeFillShade="D9"/>
            <w:tcMar>
              <w:left w:w="0" w:type="dxa"/>
              <w:right w:w="113" w:type="dxa"/>
            </w:tcMar>
            <w:vAlign w:val="bottom"/>
          </w:tcPr>
          <w:p w14:paraId="132D7B60"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1" w:type="dxa"/>
            <w:tcBorders>
              <w:right w:val="single" w:sz="4" w:space="0" w:color="auto"/>
            </w:tcBorders>
            <w:shd w:val="clear" w:color="auto" w:fill="FFFFFF" w:themeFill="background1"/>
            <w:vAlign w:val="bottom"/>
          </w:tcPr>
          <w:p w14:paraId="52E2BDEF"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1" w:type="dxa"/>
            <w:tcBorders>
              <w:left w:val="single" w:sz="4" w:space="0" w:color="auto"/>
            </w:tcBorders>
            <w:shd w:val="clear" w:color="auto" w:fill="D9D9D9" w:themeFill="background1" w:themeFillShade="D9"/>
            <w:tcMar>
              <w:left w:w="0" w:type="dxa"/>
              <w:right w:w="113" w:type="dxa"/>
            </w:tcMar>
            <w:vAlign w:val="bottom"/>
          </w:tcPr>
          <w:p w14:paraId="5F9D4C2B"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2,199</w:t>
            </w:r>
          </w:p>
        </w:tc>
        <w:tc>
          <w:tcPr>
            <w:tcW w:w="850" w:type="dxa"/>
            <w:tcBorders>
              <w:left w:val="single" w:sz="4" w:space="0" w:color="auto"/>
            </w:tcBorders>
            <w:shd w:val="clear" w:color="auto" w:fill="FFFFFF" w:themeFill="background1"/>
            <w:vAlign w:val="bottom"/>
          </w:tcPr>
          <w:p w14:paraId="307FFF5D"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2,653</w:t>
            </w:r>
          </w:p>
        </w:tc>
      </w:tr>
      <w:tr w:rsidR="00DF3006" w:rsidRPr="00DF3006" w14:paraId="5A97A227" w14:textId="77777777" w:rsidTr="00025E55">
        <w:tc>
          <w:tcPr>
            <w:tcW w:w="1841" w:type="dxa"/>
            <w:tcMar>
              <w:left w:w="0" w:type="dxa"/>
              <w:right w:w="0" w:type="dxa"/>
            </w:tcMar>
            <w:vAlign w:val="bottom"/>
          </w:tcPr>
          <w:p w14:paraId="40EB59A5" w14:textId="77777777" w:rsidR="00FC17BC" w:rsidRPr="00DF3006" w:rsidRDefault="00FC17BC" w:rsidP="00025E55">
            <w:pPr>
              <w:rPr>
                <w:rFonts w:cstheme="minorHAnsi"/>
                <w:color w:val="414042" w:themeColor="text1"/>
                <w:szCs w:val="20"/>
              </w:rPr>
            </w:pPr>
            <w:r w:rsidRPr="00DF3006">
              <w:rPr>
                <w:rFonts w:cstheme="minorHAnsi"/>
                <w:color w:val="414042" w:themeColor="text1"/>
                <w:szCs w:val="20"/>
              </w:rPr>
              <w:t>Lease liabilities</w:t>
            </w:r>
          </w:p>
        </w:tc>
        <w:tc>
          <w:tcPr>
            <w:tcW w:w="427" w:type="dxa"/>
            <w:tcMar>
              <w:left w:w="0" w:type="dxa"/>
              <w:right w:w="0" w:type="dxa"/>
            </w:tcMar>
            <w:vAlign w:val="bottom"/>
          </w:tcPr>
          <w:p w14:paraId="1FDAE197" w14:textId="77777777" w:rsidR="00FC17BC" w:rsidRPr="00DF3006" w:rsidRDefault="00FC17BC" w:rsidP="00025E55">
            <w:pPr>
              <w:jc w:val="center"/>
              <w:rPr>
                <w:rFonts w:cstheme="minorHAnsi"/>
                <w:color w:val="414042" w:themeColor="text1"/>
                <w:szCs w:val="20"/>
              </w:rPr>
            </w:pPr>
            <w:r w:rsidRPr="00DF3006">
              <w:rPr>
                <w:rFonts w:cstheme="minorHAnsi"/>
                <w:color w:val="414042" w:themeColor="text1"/>
                <w:szCs w:val="20"/>
              </w:rPr>
              <w:t>11</w:t>
            </w:r>
          </w:p>
        </w:tc>
        <w:tc>
          <w:tcPr>
            <w:tcW w:w="852" w:type="dxa"/>
            <w:tcBorders>
              <w:right w:val="single" w:sz="4" w:space="0" w:color="auto"/>
            </w:tcBorders>
            <w:shd w:val="clear" w:color="auto" w:fill="D9D9D9" w:themeFill="background1" w:themeFillShade="D9"/>
            <w:tcMar>
              <w:left w:w="0" w:type="dxa"/>
              <w:right w:w="113" w:type="dxa"/>
            </w:tcMar>
            <w:vAlign w:val="bottom"/>
          </w:tcPr>
          <w:p w14:paraId="2B0D1EBF"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300</w:t>
            </w:r>
          </w:p>
        </w:tc>
        <w:tc>
          <w:tcPr>
            <w:tcW w:w="851" w:type="dxa"/>
            <w:tcBorders>
              <w:left w:val="single" w:sz="4" w:space="0" w:color="auto"/>
              <w:right w:val="single" w:sz="4" w:space="0" w:color="auto"/>
            </w:tcBorders>
            <w:shd w:val="clear" w:color="auto" w:fill="FFFFFF" w:themeFill="background1"/>
            <w:vAlign w:val="bottom"/>
          </w:tcPr>
          <w:p w14:paraId="31614467" w14:textId="77777777" w:rsidR="00FC17BC" w:rsidRPr="00DF3006" w:rsidRDefault="00FC17BC" w:rsidP="00025E55">
            <w:pPr>
              <w:pStyle w:val="Normaltabletext1stpararight"/>
              <w:spacing w:line="240" w:lineRule="auto"/>
              <w:rPr>
                <w:color w:val="414042" w:themeColor="text1"/>
                <w:szCs w:val="20"/>
                <w:lang w:eastAsia="en-AU"/>
              </w:rPr>
            </w:pPr>
            <w:r w:rsidRPr="00DF3006">
              <w:rPr>
                <w:color w:val="414042" w:themeColor="text1"/>
                <w:szCs w:val="20"/>
                <w:lang w:eastAsia="en-AU"/>
              </w:rPr>
              <w:t>330</w:t>
            </w:r>
          </w:p>
        </w:tc>
        <w:tc>
          <w:tcPr>
            <w:tcW w:w="851" w:type="dxa"/>
            <w:tcBorders>
              <w:left w:val="single" w:sz="4" w:space="0" w:color="auto"/>
              <w:right w:val="single" w:sz="4" w:space="0" w:color="auto"/>
            </w:tcBorders>
            <w:shd w:val="clear" w:color="auto" w:fill="D9D9D9" w:themeFill="background1" w:themeFillShade="D9"/>
            <w:tcMar>
              <w:left w:w="0" w:type="dxa"/>
              <w:right w:w="113" w:type="dxa"/>
            </w:tcMar>
            <w:vAlign w:val="bottom"/>
          </w:tcPr>
          <w:p w14:paraId="7B89F40A"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668</w:t>
            </w:r>
          </w:p>
        </w:tc>
        <w:tc>
          <w:tcPr>
            <w:tcW w:w="850" w:type="dxa"/>
            <w:tcBorders>
              <w:left w:val="single" w:sz="4" w:space="0" w:color="auto"/>
              <w:right w:val="single" w:sz="4" w:space="0" w:color="auto"/>
            </w:tcBorders>
            <w:shd w:val="clear" w:color="auto" w:fill="FFFFFF" w:themeFill="background1"/>
            <w:vAlign w:val="bottom"/>
          </w:tcPr>
          <w:p w14:paraId="76640E8D"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0" w:type="dxa"/>
            <w:tcBorders>
              <w:left w:val="single" w:sz="4" w:space="0" w:color="auto"/>
              <w:right w:val="single" w:sz="4" w:space="0" w:color="auto"/>
            </w:tcBorders>
            <w:shd w:val="clear" w:color="auto" w:fill="D9D9D9" w:themeFill="background1" w:themeFillShade="D9"/>
            <w:tcMar>
              <w:left w:w="0" w:type="dxa"/>
              <w:right w:w="113" w:type="dxa"/>
            </w:tcMar>
            <w:vAlign w:val="bottom"/>
          </w:tcPr>
          <w:p w14:paraId="778F3F37"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1" w:type="dxa"/>
            <w:tcBorders>
              <w:right w:val="single" w:sz="4" w:space="0" w:color="auto"/>
            </w:tcBorders>
            <w:shd w:val="clear" w:color="auto" w:fill="FFFFFF" w:themeFill="background1"/>
            <w:vAlign w:val="bottom"/>
          </w:tcPr>
          <w:p w14:paraId="4D7914E5"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w:t>
            </w:r>
          </w:p>
        </w:tc>
        <w:tc>
          <w:tcPr>
            <w:tcW w:w="851" w:type="dxa"/>
            <w:tcBorders>
              <w:left w:val="single" w:sz="4" w:space="0" w:color="auto"/>
            </w:tcBorders>
            <w:shd w:val="clear" w:color="auto" w:fill="D9D9D9" w:themeFill="background1" w:themeFillShade="D9"/>
            <w:tcMar>
              <w:left w:w="0" w:type="dxa"/>
              <w:right w:w="113" w:type="dxa"/>
            </w:tcMar>
            <w:vAlign w:val="bottom"/>
          </w:tcPr>
          <w:p w14:paraId="39236F08"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968</w:t>
            </w:r>
          </w:p>
        </w:tc>
        <w:tc>
          <w:tcPr>
            <w:tcW w:w="850" w:type="dxa"/>
            <w:tcBorders>
              <w:left w:val="single" w:sz="4" w:space="0" w:color="auto"/>
            </w:tcBorders>
            <w:shd w:val="clear" w:color="auto" w:fill="FFFFFF" w:themeFill="background1"/>
            <w:vAlign w:val="bottom"/>
          </w:tcPr>
          <w:p w14:paraId="1F675795" w14:textId="77777777" w:rsidR="00FC17BC" w:rsidRPr="00DF3006" w:rsidRDefault="00FC17BC" w:rsidP="00025E55">
            <w:pPr>
              <w:jc w:val="right"/>
              <w:rPr>
                <w:rFonts w:cstheme="minorHAnsi"/>
                <w:color w:val="414042" w:themeColor="text1"/>
                <w:szCs w:val="20"/>
              </w:rPr>
            </w:pPr>
            <w:r w:rsidRPr="00DF3006">
              <w:rPr>
                <w:rFonts w:cstheme="minorHAnsi"/>
                <w:color w:val="414042" w:themeColor="text1"/>
                <w:szCs w:val="20"/>
              </w:rPr>
              <w:t>330</w:t>
            </w:r>
          </w:p>
        </w:tc>
      </w:tr>
      <w:tr w:rsidR="00DF3006" w:rsidRPr="00DF3006" w14:paraId="712826BD" w14:textId="77777777" w:rsidTr="00025E55">
        <w:tc>
          <w:tcPr>
            <w:tcW w:w="1841" w:type="dxa"/>
            <w:tcMar>
              <w:left w:w="0" w:type="dxa"/>
              <w:right w:w="0" w:type="dxa"/>
            </w:tcMar>
            <w:vAlign w:val="bottom"/>
          </w:tcPr>
          <w:p w14:paraId="0634A6C3" w14:textId="77777777" w:rsidR="00FC17BC" w:rsidRPr="00DF3006" w:rsidRDefault="00FC17BC" w:rsidP="00025E55">
            <w:pPr>
              <w:rPr>
                <w:rFonts w:cstheme="minorHAnsi"/>
                <w:b/>
                <w:color w:val="414042" w:themeColor="text1"/>
                <w:szCs w:val="20"/>
              </w:rPr>
            </w:pPr>
            <w:r w:rsidRPr="00DF3006">
              <w:rPr>
                <w:rFonts w:cstheme="minorHAnsi"/>
                <w:b/>
                <w:color w:val="414042" w:themeColor="text1"/>
                <w:szCs w:val="20"/>
              </w:rPr>
              <w:t>Total</w:t>
            </w:r>
          </w:p>
        </w:tc>
        <w:tc>
          <w:tcPr>
            <w:tcW w:w="427" w:type="dxa"/>
            <w:tcMar>
              <w:left w:w="0" w:type="dxa"/>
              <w:right w:w="0" w:type="dxa"/>
            </w:tcMar>
            <w:vAlign w:val="bottom"/>
          </w:tcPr>
          <w:p w14:paraId="2CEE2C3B" w14:textId="77777777" w:rsidR="00FC17BC" w:rsidRPr="00DF3006" w:rsidRDefault="00FC17BC" w:rsidP="00025E55">
            <w:pPr>
              <w:jc w:val="center"/>
              <w:rPr>
                <w:rFonts w:cstheme="minorHAnsi"/>
                <w:b/>
                <w:color w:val="414042" w:themeColor="text1"/>
                <w:szCs w:val="20"/>
              </w:rPr>
            </w:pPr>
          </w:p>
        </w:tc>
        <w:tc>
          <w:tcPr>
            <w:tcW w:w="852" w:type="dxa"/>
            <w:tcBorders>
              <w:top w:val="single" w:sz="4" w:space="0" w:color="auto"/>
              <w:bottom w:val="double" w:sz="4" w:space="0" w:color="auto"/>
              <w:right w:val="single" w:sz="4" w:space="0" w:color="auto"/>
            </w:tcBorders>
            <w:shd w:val="clear" w:color="auto" w:fill="D9D9D9" w:themeFill="background1" w:themeFillShade="D9"/>
            <w:tcMar>
              <w:left w:w="0" w:type="dxa"/>
              <w:right w:w="113" w:type="dxa"/>
            </w:tcMar>
            <w:vAlign w:val="bottom"/>
          </w:tcPr>
          <w:p w14:paraId="48239F69" w14:textId="77777777" w:rsidR="00FC17BC" w:rsidRPr="00DF3006" w:rsidRDefault="00FC17BC" w:rsidP="00025E55">
            <w:pPr>
              <w:jc w:val="right"/>
              <w:rPr>
                <w:rFonts w:cstheme="minorHAnsi"/>
                <w:b/>
                <w:color w:val="414042" w:themeColor="text1"/>
                <w:szCs w:val="20"/>
              </w:rPr>
            </w:pPr>
            <w:r w:rsidRPr="00DF3006">
              <w:rPr>
                <w:rFonts w:cstheme="minorHAnsi"/>
                <w:b/>
                <w:color w:val="414042" w:themeColor="text1"/>
                <w:szCs w:val="20"/>
              </w:rPr>
              <w:t>2,499</w:t>
            </w:r>
          </w:p>
        </w:tc>
        <w:tc>
          <w:tcPr>
            <w:tcW w:w="851"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19A76008" w14:textId="77777777" w:rsidR="00FC17BC" w:rsidRPr="00DF3006" w:rsidRDefault="00FC17BC" w:rsidP="00025E55">
            <w:pPr>
              <w:jc w:val="right"/>
              <w:rPr>
                <w:rFonts w:cstheme="minorHAnsi"/>
                <w:b/>
                <w:color w:val="414042" w:themeColor="text1"/>
                <w:szCs w:val="20"/>
              </w:rPr>
            </w:pPr>
            <w:r w:rsidRPr="00DF3006">
              <w:rPr>
                <w:rFonts w:cstheme="minorHAnsi"/>
                <w:b/>
                <w:color w:val="414042" w:themeColor="text1"/>
                <w:szCs w:val="20"/>
              </w:rPr>
              <w:t>2,983</w:t>
            </w:r>
          </w:p>
        </w:tc>
        <w:tc>
          <w:tcPr>
            <w:tcW w:w="851" w:type="dxa"/>
            <w:tcBorders>
              <w:top w:val="single" w:sz="4" w:space="0" w:color="auto"/>
              <w:left w:val="single" w:sz="4" w:space="0" w:color="auto"/>
              <w:bottom w:val="double" w:sz="4" w:space="0" w:color="auto"/>
              <w:right w:val="single" w:sz="4" w:space="0" w:color="auto"/>
            </w:tcBorders>
            <w:shd w:val="clear" w:color="auto" w:fill="D9D9D9" w:themeFill="background1" w:themeFillShade="D9"/>
            <w:tcMar>
              <w:left w:w="0" w:type="dxa"/>
              <w:right w:w="113" w:type="dxa"/>
            </w:tcMar>
            <w:vAlign w:val="bottom"/>
          </w:tcPr>
          <w:p w14:paraId="451BC110" w14:textId="77777777" w:rsidR="00FC17BC" w:rsidRPr="00DF3006" w:rsidRDefault="00FC17BC" w:rsidP="00025E55">
            <w:pPr>
              <w:jc w:val="right"/>
              <w:rPr>
                <w:rFonts w:cstheme="minorHAnsi"/>
                <w:b/>
                <w:color w:val="414042" w:themeColor="text1"/>
                <w:szCs w:val="20"/>
              </w:rPr>
            </w:pPr>
            <w:r w:rsidRPr="00DF3006">
              <w:rPr>
                <w:rFonts w:cstheme="minorHAnsi"/>
                <w:b/>
                <w:color w:val="414042" w:themeColor="text1"/>
                <w:szCs w:val="20"/>
              </w:rPr>
              <w:t>668</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54CA5874" w14:textId="77777777" w:rsidR="00FC17BC" w:rsidRPr="00DF3006" w:rsidRDefault="00FC17BC" w:rsidP="00025E55">
            <w:pPr>
              <w:jc w:val="right"/>
              <w:rPr>
                <w:rFonts w:cstheme="minorHAnsi"/>
                <w:b/>
                <w:iCs/>
                <w:color w:val="414042" w:themeColor="text1"/>
                <w:szCs w:val="20"/>
              </w:rPr>
            </w:pPr>
            <w:r w:rsidRPr="00DF3006">
              <w:rPr>
                <w:rFonts w:cstheme="minorHAnsi"/>
                <w:b/>
                <w:color w:val="414042" w:themeColor="text1"/>
                <w:szCs w:val="20"/>
              </w:rPr>
              <w:t>-</w:t>
            </w:r>
          </w:p>
        </w:tc>
        <w:tc>
          <w:tcPr>
            <w:tcW w:w="850" w:type="dxa"/>
            <w:tcBorders>
              <w:top w:val="single" w:sz="4" w:space="0" w:color="auto"/>
              <w:left w:val="single" w:sz="4" w:space="0" w:color="auto"/>
              <w:bottom w:val="double" w:sz="4" w:space="0" w:color="auto"/>
              <w:right w:val="single" w:sz="4" w:space="0" w:color="auto"/>
            </w:tcBorders>
            <w:shd w:val="clear" w:color="auto" w:fill="D9D9D9" w:themeFill="background1" w:themeFillShade="D9"/>
            <w:tcMar>
              <w:left w:w="0" w:type="dxa"/>
              <w:right w:w="113" w:type="dxa"/>
            </w:tcMar>
            <w:vAlign w:val="bottom"/>
          </w:tcPr>
          <w:p w14:paraId="71B04B94" w14:textId="77777777" w:rsidR="00FC17BC" w:rsidRPr="00DF3006" w:rsidRDefault="00FC17BC" w:rsidP="00025E55">
            <w:pPr>
              <w:jc w:val="right"/>
              <w:rPr>
                <w:rFonts w:cstheme="minorHAnsi"/>
                <w:b/>
                <w:color w:val="414042" w:themeColor="text1"/>
                <w:szCs w:val="20"/>
              </w:rPr>
            </w:pPr>
            <w:r w:rsidRPr="00DF3006">
              <w:rPr>
                <w:rFonts w:cstheme="minorHAnsi"/>
                <w:color w:val="414042" w:themeColor="text1"/>
                <w:szCs w:val="20"/>
              </w:rPr>
              <w:t>-</w:t>
            </w:r>
          </w:p>
        </w:tc>
        <w:tc>
          <w:tcPr>
            <w:tcW w:w="851" w:type="dxa"/>
            <w:tcBorders>
              <w:top w:val="single" w:sz="4" w:space="0" w:color="auto"/>
              <w:bottom w:val="double" w:sz="4" w:space="0" w:color="auto"/>
              <w:right w:val="single" w:sz="4" w:space="0" w:color="auto"/>
            </w:tcBorders>
            <w:shd w:val="clear" w:color="auto" w:fill="FFFFFF" w:themeFill="background1"/>
            <w:vAlign w:val="bottom"/>
          </w:tcPr>
          <w:p w14:paraId="13506D1F" w14:textId="77777777" w:rsidR="00FC17BC" w:rsidRPr="00DF3006" w:rsidRDefault="00FC17BC" w:rsidP="00025E55">
            <w:pPr>
              <w:jc w:val="right"/>
              <w:rPr>
                <w:rFonts w:cstheme="minorHAnsi"/>
                <w:b/>
                <w:iCs/>
                <w:color w:val="414042" w:themeColor="text1"/>
                <w:szCs w:val="20"/>
              </w:rPr>
            </w:pPr>
            <w:r w:rsidRPr="00DF3006">
              <w:rPr>
                <w:rFonts w:cstheme="minorHAnsi"/>
                <w:b/>
                <w:iCs/>
                <w:color w:val="414042" w:themeColor="text1"/>
                <w:szCs w:val="20"/>
              </w:rPr>
              <w:t>-</w:t>
            </w:r>
          </w:p>
        </w:tc>
        <w:tc>
          <w:tcPr>
            <w:tcW w:w="851" w:type="dxa"/>
            <w:tcBorders>
              <w:top w:val="single" w:sz="4" w:space="0" w:color="auto"/>
              <w:left w:val="single" w:sz="4" w:space="0" w:color="auto"/>
              <w:bottom w:val="double" w:sz="4" w:space="0" w:color="auto"/>
            </w:tcBorders>
            <w:shd w:val="clear" w:color="auto" w:fill="D9D9D9" w:themeFill="background1" w:themeFillShade="D9"/>
            <w:tcMar>
              <w:left w:w="0" w:type="dxa"/>
              <w:right w:w="113" w:type="dxa"/>
            </w:tcMar>
            <w:vAlign w:val="bottom"/>
          </w:tcPr>
          <w:p w14:paraId="0F76F796" w14:textId="77777777" w:rsidR="00FC17BC" w:rsidRPr="00DF3006" w:rsidRDefault="00FC17BC" w:rsidP="00025E55">
            <w:pPr>
              <w:jc w:val="right"/>
              <w:rPr>
                <w:rFonts w:cstheme="minorHAnsi"/>
                <w:b/>
                <w:iCs/>
                <w:color w:val="414042" w:themeColor="text1"/>
                <w:szCs w:val="20"/>
              </w:rPr>
            </w:pPr>
            <w:r w:rsidRPr="00DF3006">
              <w:rPr>
                <w:rFonts w:cstheme="minorHAnsi"/>
                <w:b/>
                <w:iCs/>
                <w:color w:val="414042" w:themeColor="text1"/>
                <w:szCs w:val="20"/>
              </w:rPr>
              <w:t>3,167</w:t>
            </w:r>
          </w:p>
        </w:tc>
        <w:tc>
          <w:tcPr>
            <w:tcW w:w="850" w:type="dxa"/>
            <w:tcBorders>
              <w:top w:val="single" w:sz="4" w:space="0" w:color="auto"/>
              <w:left w:val="single" w:sz="4" w:space="0" w:color="auto"/>
              <w:bottom w:val="double" w:sz="4" w:space="0" w:color="auto"/>
            </w:tcBorders>
            <w:shd w:val="clear" w:color="auto" w:fill="FFFFFF" w:themeFill="background1"/>
            <w:vAlign w:val="bottom"/>
          </w:tcPr>
          <w:p w14:paraId="6204E73E" w14:textId="77777777" w:rsidR="00FC17BC" w:rsidRPr="00DF3006" w:rsidRDefault="00FC17BC" w:rsidP="00025E55">
            <w:pPr>
              <w:jc w:val="right"/>
              <w:rPr>
                <w:rFonts w:cstheme="minorHAnsi"/>
                <w:b/>
                <w:iCs/>
                <w:color w:val="414042" w:themeColor="text1"/>
                <w:szCs w:val="20"/>
              </w:rPr>
            </w:pPr>
            <w:r w:rsidRPr="00DF3006">
              <w:rPr>
                <w:rFonts w:cstheme="minorHAnsi"/>
                <w:b/>
                <w:iCs/>
                <w:color w:val="414042" w:themeColor="text1"/>
                <w:szCs w:val="20"/>
              </w:rPr>
              <w:t>2,983</w:t>
            </w:r>
          </w:p>
        </w:tc>
      </w:tr>
    </w:tbl>
    <w:p w14:paraId="2C630C1C" w14:textId="77777777" w:rsidR="00FC17BC" w:rsidRPr="00DF3006" w:rsidRDefault="00FC17BC" w:rsidP="00FC17BC">
      <w:pPr>
        <w:pStyle w:val="Normal1stpara"/>
        <w:spacing w:line="240" w:lineRule="auto"/>
        <w:rPr>
          <w:color w:val="414042" w:themeColor="text1"/>
        </w:rPr>
      </w:pPr>
    </w:p>
    <w:p w14:paraId="6ED453ED" w14:textId="77777777" w:rsidR="00FC17BC" w:rsidRPr="00DF3006" w:rsidRDefault="00FC17BC" w:rsidP="00FC17BC">
      <w:pPr>
        <w:pStyle w:val="Normalhanginglist105pt"/>
        <w:spacing w:line="240" w:lineRule="auto"/>
        <w:ind w:left="567" w:hanging="113"/>
        <w:rPr>
          <w:i/>
          <w:color w:val="414042" w:themeColor="text1"/>
        </w:rPr>
      </w:pPr>
    </w:p>
    <w:p w14:paraId="62A4AF6B" w14:textId="77777777" w:rsidR="00FC17BC" w:rsidRPr="00DF3006" w:rsidRDefault="00FC17BC" w:rsidP="00FC17BC">
      <w:pPr>
        <w:pStyle w:val="Normalhanginglist105pt"/>
        <w:spacing w:line="240" w:lineRule="auto"/>
        <w:ind w:left="567" w:hanging="113"/>
        <w:rPr>
          <w:i/>
          <w:color w:val="414042" w:themeColor="text1"/>
        </w:rPr>
      </w:pPr>
    </w:p>
    <w:p w14:paraId="62EA93AE" w14:textId="77777777" w:rsidR="00FC17BC" w:rsidRPr="00DF3006" w:rsidRDefault="00FC17BC" w:rsidP="00FC17BC">
      <w:pPr>
        <w:pStyle w:val="Normalhanginglist105pt"/>
        <w:spacing w:line="240" w:lineRule="auto"/>
        <w:ind w:left="567" w:hanging="113"/>
        <w:rPr>
          <w:i/>
          <w:color w:val="414042" w:themeColor="text1"/>
        </w:rPr>
      </w:pPr>
    </w:p>
    <w:p w14:paraId="2EA53A4D" w14:textId="77777777" w:rsidR="00765421" w:rsidRDefault="00765421" w:rsidP="00FC17BC">
      <w:pPr>
        <w:pStyle w:val="Normal115pttext"/>
        <w:spacing w:line="240" w:lineRule="auto"/>
        <w:rPr>
          <w:color w:val="414042" w:themeColor="text1"/>
        </w:rPr>
      </w:pPr>
      <w:r>
        <w:rPr>
          <w:color w:val="414042" w:themeColor="text1"/>
        </w:rPr>
        <w:br w:type="page"/>
      </w:r>
    </w:p>
    <w:p w14:paraId="5C30650F" w14:textId="5B999991" w:rsidR="00FC17BC" w:rsidRPr="00DF3006" w:rsidRDefault="00FC17BC" w:rsidP="00FC17BC">
      <w:pPr>
        <w:pStyle w:val="Normal115pttext"/>
        <w:spacing w:line="240" w:lineRule="auto"/>
        <w:rPr>
          <w:color w:val="414042" w:themeColor="text1"/>
        </w:rPr>
      </w:pPr>
      <w:r w:rsidRPr="00DF3006">
        <w:rPr>
          <w:color w:val="414042" w:themeColor="text1"/>
        </w:rPr>
        <w:t>Note 17:  Financial Instruments (cont’d)</w:t>
      </w:r>
    </w:p>
    <w:p w14:paraId="47A1CB0A" w14:textId="77777777" w:rsidR="00FC17BC" w:rsidRPr="00DF3006" w:rsidRDefault="00FC17BC" w:rsidP="00FC17BC">
      <w:pPr>
        <w:pStyle w:val="Normalhanginglist105pt"/>
        <w:spacing w:line="240" w:lineRule="auto"/>
        <w:rPr>
          <w:color w:val="414042" w:themeColor="text1"/>
        </w:rPr>
      </w:pPr>
      <w:r w:rsidRPr="00DF3006">
        <w:rPr>
          <w:color w:val="414042" w:themeColor="text1"/>
        </w:rPr>
        <w:t>(b)</w:t>
      </w:r>
      <w:r w:rsidRPr="00DF3006">
        <w:rPr>
          <w:color w:val="414042" w:themeColor="text1"/>
        </w:rPr>
        <w:tab/>
        <w:t>Financial Risk Management (cont’d)</w:t>
      </w:r>
    </w:p>
    <w:p w14:paraId="24F70943" w14:textId="77777777" w:rsidR="00FC17BC" w:rsidRPr="00DF3006" w:rsidRDefault="00FC17BC" w:rsidP="00FC17BC">
      <w:pPr>
        <w:pStyle w:val="Normalhanginglist105pt"/>
        <w:spacing w:line="240" w:lineRule="auto"/>
        <w:ind w:left="567" w:hanging="113"/>
        <w:rPr>
          <w:color w:val="414042" w:themeColor="text1"/>
        </w:rPr>
      </w:pPr>
      <w:r w:rsidRPr="00DF3006">
        <w:rPr>
          <w:i/>
          <w:color w:val="414042" w:themeColor="text1"/>
        </w:rPr>
        <w:t>Market</w:t>
      </w:r>
      <w:r w:rsidRPr="00DF3006">
        <w:rPr>
          <w:color w:val="414042" w:themeColor="text1"/>
        </w:rPr>
        <w:t xml:space="preserve"> </w:t>
      </w:r>
      <w:r w:rsidRPr="00DF3006">
        <w:rPr>
          <w:i/>
          <w:color w:val="414042" w:themeColor="text1"/>
        </w:rPr>
        <w:t>Risk</w:t>
      </w:r>
    </w:p>
    <w:p w14:paraId="342B25E2" w14:textId="77777777" w:rsidR="00FC17BC" w:rsidRPr="00DF3006" w:rsidRDefault="00FC17BC" w:rsidP="00FC17BC">
      <w:pPr>
        <w:pStyle w:val="Normalindent1stpara"/>
        <w:spacing w:line="240" w:lineRule="auto"/>
        <w:jc w:val="both"/>
        <w:rPr>
          <w:color w:val="414042" w:themeColor="text1"/>
        </w:rPr>
      </w:pPr>
      <w:r w:rsidRPr="00DF3006">
        <w:rPr>
          <w:color w:val="414042" w:themeColor="text1"/>
        </w:rPr>
        <w:t xml:space="preserve">Market risk refers to the risk that the fair value or future cash flows of a financial instrument will fluctuate because of changes in market prices. Market risk comprises three types of risk: currency risk, interest rate risk and other price risk. </w:t>
      </w:r>
    </w:p>
    <w:p w14:paraId="76592112" w14:textId="77777777" w:rsidR="00FC17BC" w:rsidRPr="00DF3006" w:rsidRDefault="00FC17BC" w:rsidP="00FC17BC">
      <w:pPr>
        <w:pStyle w:val="Normalindent1stpara"/>
        <w:spacing w:line="240" w:lineRule="auto"/>
        <w:jc w:val="both"/>
        <w:rPr>
          <w:color w:val="414042" w:themeColor="text1"/>
        </w:rPr>
      </w:pPr>
      <w:r w:rsidRPr="00DF3006">
        <w:rPr>
          <w:color w:val="414042" w:themeColor="text1"/>
        </w:rPr>
        <w:t xml:space="preserve">The CCC does not trade in foreign currency. It manages price risk and interest rate risk through its liquidity management strategy and by ensuring that expenditure is within funding levels. </w:t>
      </w:r>
    </w:p>
    <w:p w14:paraId="5456A4CD" w14:textId="77777777" w:rsidR="00FC17BC" w:rsidRPr="00DF3006" w:rsidRDefault="00FC17BC" w:rsidP="00FC17BC">
      <w:pPr>
        <w:pStyle w:val="NormalIndent1"/>
        <w:spacing w:line="240" w:lineRule="auto"/>
        <w:jc w:val="both"/>
        <w:rPr>
          <w:color w:val="414042" w:themeColor="text1"/>
        </w:rPr>
      </w:pPr>
      <w:r w:rsidRPr="00DF3006">
        <w:rPr>
          <w:color w:val="414042" w:themeColor="text1"/>
        </w:rPr>
        <w:t xml:space="preserve">Exposure to interest rate risk is limited to cash assets bearing variable interest rates. The CCC minimises risk by investing in secure short–term investments, mainly fixed term deposits, in accordance with Part 6 of the </w:t>
      </w:r>
      <w:r w:rsidRPr="00DF3006">
        <w:rPr>
          <w:i/>
          <w:color w:val="414042" w:themeColor="text1"/>
        </w:rPr>
        <w:t>Statutory Bodies Financial Arrangements Act 1982</w:t>
      </w:r>
      <w:r w:rsidRPr="00DF3006">
        <w:rPr>
          <w:color w:val="414042" w:themeColor="text1"/>
        </w:rPr>
        <w:t>.</w:t>
      </w:r>
    </w:p>
    <w:p w14:paraId="1AFD30A8" w14:textId="77777777" w:rsidR="00FC17BC" w:rsidRPr="00DF3006" w:rsidRDefault="00FC17BC" w:rsidP="00FC17BC">
      <w:pPr>
        <w:pStyle w:val="NormalIndent1"/>
        <w:spacing w:line="240" w:lineRule="auto"/>
        <w:rPr>
          <w:color w:val="414042" w:themeColor="text1"/>
          <w:sz w:val="16"/>
          <w:szCs w:val="16"/>
        </w:rPr>
      </w:pPr>
    </w:p>
    <w:p w14:paraId="7E404AE2" w14:textId="77777777" w:rsidR="00FC17BC" w:rsidRPr="00DF3006" w:rsidRDefault="00FC17BC" w:rsidP="00FC17BC">
      <w:pPr>
        <w:pStyle w:val="Normalhanginglist105pt"/>
        <w:spacing w:line="240" w:lineRule="auto"/>
        <w:rPr>
          <w:color w:val="414042" w:themeColor="text1"/>
        </w:rPr>
      </w:pPr>
      <w:r w:rsidRPr="00DF3006">
        <w:rPr>
          <w:color w:val="414042" w:themeColor="text1"/>
        </w:rPr>
        <w:t xml:space="preserve"> (c)</w:t>
      </w:r>
      <w:r w:rsidRPr="00DF3006">
        <w:rPr>
          <w:color w:val="414042" w:themeColor="text1"/>
        </w:rPr>
        <w:tab/>
        <w:t>Fair Value</w:t>
      </w:r>
    </w:p>
    <w:p w14:paraId="0385C69A" w14:textId="77777777" w:rsidR="00FC17BC" w:rsidRPr="00DF3006" w:rsidRDefault="00FC17BC" w:rsidP="00FC17BC">
      <w:pPr>
        <w:pStyle w:val="Normalindent1stpara"/>
        <w:spacing w:line="240" w:lineRule="auto"/>
        <w:jc w:val="both"/>
        <w:rPr>
          <w:color w:val="414042" w:themeColor="text1"/>
        </w:rPr>
      </w:pPr>
      <w:r w:rsidRPr="00DF3006">
        <w:rPr>
          <w:color w:val="414042" w:themeColor="text1"/>
        </w:rPr>
        <w:t xml:space="preserve">The fair value of receivables and payables is the transaction cost or the face value. The CCC considers that the carrying </w:t>
      </w:r>
      <w:proofErr w:type="gramStart"/>
      <w:r w:rsidRPr="00DF3006">
        <w:rPr>
          <w:color w:val="414042" w:themeColor="text1"/>
        </w:rPr>
        <w:t>amount</w:t>
      </w:r>
      <w:proofErr w:type="gramEnd"/>
      <w:r w:rsidRPr="00DF3006">
        <w:rPr>
          <w:color w:val="414042" w:themeColor="text1"/>
        </w:rPr>
        <w:t xml:space="preserve"> of receivables and payables represent fair value at the balance date because of the short-term nature of the financial instruments and the expectation that they will be paid in full.</w:t>
      </w:r>
    </w:p>
    <w:p w14:paraId="3E20B738" w14:textId="77777777" w:rsidR="00FC17BC" w:rsidRPr="00DF3006" w:rsidRDefault="00FC17BC" w:rsidP="005268F0">
      <w:pPr>
        <w:rPr>
          <w:color w:val="414042" w:themeColor="text1"/>
        </w:rPr>
      </w:pPr>
    </w:p>
    <w:p w14:paraId="0821BECE" w14:textId="77777777" w:rsidR="00FC17BC" w:rsidRPr="00DF3006" w:rsidRDefault="00FC17BC" w:rsidP="00FC17BC">
      <w:pPr>
        <w:pStyle w:val="Normal115pttext"/>
        <w:spacing w:line="240" w:lineRule="auto"/>
        <w:rPr>
          <w:color w:val="414042" w:themeColor="text1"/>
        </w:rPr>
      </w:pPr>
      <w:r w:rsidRPr="00DF3006">
        <w:rPr>
          <w:color w:val="414042" w:themeColor="text1"/>
        </w:rPr>
        <w:t>Note 18:  Trust Transactions and Balances</w:t>
      </w:r>
    </w:p>
    <w:p w14:paraId="11A1A80D" w14:textId="77777777" w:rsidR="00FC17BC" w:rsidRPr="00DF3006" w:rsidRDefault="00FC17BC" w:rsidP="00FC17BC">
      <w:pPr>
        <w:rPr>
          <w:b/>
          <w:color w:val="414042" w:themeColor="text1"/>
        </w:rPr>
      </w:pPr>
      <w:r w:rsidRPr="00DF3006">
        <w:rPr>
          <w:b/>
          <w:color w:val="414042" w:themeColor="text1"/>
        </w:rPr>
        <w:t>Operational Activities</w:t>
      </w:r>
    </w:p>
    <w:p w14:paraId="01B8AB94" w14:textId="77777777" w:rsidR="00FC17BC" w:rsidRPr="00DF3006" w:rsidRDefault="00FC17BC" w:rsidP="00FC17BC">
      <w:pPr>
        <w:pStyle w:val="Normal1stpara"/>
        <w:spacing w:line="240" w:lineRule="auto"/>
        <w:jc w:val="both"/>
        <w:rPr>
          <w:color w:val="414042" w:themeColor="text1"/>
          <w:sz w:val="20"/>
          <w:szCs w:val="20"/>
        </w:rPr>
      </w:pPr>
      <w:r w:rsidRPr="00DF3006">
        <w:rPr>
          <w:color w:val="414042" w:themeColor="text1"/>
          <w:sz w:val="20"/>
          <w:szCs w:val="20"/>
          <w:lang w:eastAsia="en-AU"/>
        </w:rPr>
        <w:t xml:space="preserve">The CCC undertakes certain trustee transactions on behalf </w:t>
      </w:r>
      <w:r w:rsidRPr="00DF3006">
        <w:rPr>
          <w:color w:val="414042" w:themeColor="text1"/>
          <w:sz w:val="20"/>
          <w:szCs w:val="20"/>
        </w:rPr>
        <w:t>o</w:t>
      </w:r>
      <w:r w:rsidRPr="00DF3006">
        <w:rPr>
          <w:color w:val="414042" w:themeColor="text1"/>
          <w:sz w:val="20"/>
          <w:szCs w:val="20"/>
          <w:lang w:eastAsia="en-AU"/>
        </w:rPr>
        <w:t xml:space="preserve">f individuals </w:t>
      </w:r>
      <w:proofErr w:type="gramStart"/>
      <w:r w:rsidRPr="00DF3006">
        <w:rPr>
          <w:color w:val="414042" w:themeColor="text1"/>
          <w:sz w:val="20"/>
          <w:szCs w:val="20"/>
          <w:lang w:eastAsia="en-AU"/>
        </w:rPr>
        <w:t>as a result of</w:t>
      </w:r>
      <w:proofErr w:type="gramEnd"/>
      <w:r w:rsidRPr="00DF3006">
        <w:rPr>
          <w:color w:val="414042" w:themeColor="text1"/>
          <w:sz w:val="20"/>
          <w:szCs w:val="20"/>
          <w:lang w:eastAsia="en-AU"/>
        </w:rPr>
        <w:t xml:space="preserve"> operational activities.  </w:t>
      </w:r>
      <w:r w:rsidRPr="00DF3006">
        <w:rPr>
          <w:color w:val="414042" w:themeColor="text1"/>
          <w:sz w:val="20"/>
          <w:szCs w:val="20"/>
        </w:rPr>
        <w:t>As the CCC acts only in a custodial role in respect of these transactions and balances, they are not recognised in the financial statements but are disclosed separately under this note.</w:t>
      </w:r>
    </w:p>
    <w:p w14:paraId="249B10BA" w14:textId="77777777" w:rsidR="00FC17BC" w:rsidRPr="00DF3006" w:rsidRDefault="00FC17BC" w:rsidP="00FC17BC">
      <w:pPr>
        <w:pStyle w:val="Normal1stpara"/>
        <w:spacing w:line="240" w:lineRule="auto"/>
        <w:jc w:val="both"/>
        <w:rPr>
          <w:color w:val="414042" w:themeColor="text1"/>
          <w:sz w:val="20"/>
          <w:szCs w:val="20"/>
        </w:rPr>
      </w:pPr>
    </w:p>
    <w:p w14:paraId="6BDD7FBE" w14:textId="77777777" w:rsidR="00FC17BC" w:rsidRPr="00DF3006" w:rsidRDefault="00FC17BC" w:rsidP="00FC17BC">
      <w:pPr>
        <w:pStyle w:val="Normal1stpara"/>
        <w:spacing w:line="240" w:lineRule="auto"/>
        <w:jc w:val="both"/>
        <w:rPr>
          <w:color w:val="414042" w:themeColor="text1"/>
          <w:sz w:val="20"/>
          <w:szCs w:val="20"/>
        </w:rPr>
      </w:pPr>
      <w:proofErr w:type="gramStart"/>
      <w:r w:rsidRPr="00DF3006">
        <w:rPr>
          <w:color w:val="414042" w:themeColor="text1"/>
          <w:sz w:val="20"/>
          <w:szCs w:val="20"/>
        </w:rPr>
        <w:t>At</w:t>
      </w:r>
      <w:proofErr w:type="gramEnd"/>
      <w:r w:rsidRPr="00DF3006">
        <w:rPr>
          <w:color w:val="414042" w:themeColor="text1"/>
          <w:sz w:val="20"/>
          <w:szCs w:val="20"/>
        </w:rPr>
        <w:t xml:space="preserve"> 30 June 2023, the CCC held $106,510 (2022: $420,560) in a trust bank account as a result of operational activities. </w:t>
      </w:r>
    </w:p>
    <w:p w14:paraId="2B7A9A81" w14:textId="77777777" w:rsidR="00FC17BC" w:rsidRPr="00DF3006" w:rsidRDefault="00FC17BC" w:rsidP="00FC17BC">
      <w:pPr>
        <w:rPr>
          <w:color w:val="414042" w:themeColor="text1"/>
          <w:lang w:eastAsia="en-AU"/>
        </w:rPr>
      </w:pPr>
    </w:p>
    <w:p w14:paraId="198611B8" w14:textId="77777777" w:rsidR="00FC17BC" w:rsidRPr="00DF3006" w:rsidRDefault="00FC17BC" w:rsidP="00FC17BC">
      <w:pPr>
        <w:rPr>
          <w:color w:val="414042" w:themeColor="text1"/>
          <w:lang w:eastAsia="en-AU"/>
        </w:rPr>
      </w:pPr>
    </w:p>
    <w:p w14:paraId="476284ED" w14:textId="77777777" w:rsidR="00FC17BC" w:rsidRPr="00DF3006" w:rsidRDefault="00FC17BC" w:rsidP="00FC17BC">
      <w:pPr>
        <w:rPr>
          <w:color w:val="414042" w:themeColor="text1"/>
          <w:lang w:eastAsia="en-AU"/>
        </w:rPr>
      </w:pPr>
    </w:p>
    <w:p w14:paraId="29926412" w14:textId="77777777" w:rsidR="00FC17BC" w:rsidRPr="00DF3006" w:rsidRDefault="00FC17BC" w:rsidP="00FC17BC">
      <w:pPr>
        <w:rPr>
          <w:color w:val="414042" w:themeColor="text1"/>
          <w:lang w:eastAsia="en-AU"/>
        </w:rPr>
      </w:pPr>
    </w:p>
    <w:p w14:paraId="7015D68F" w14:textId="77777777" w:rsidR="00FC17BC" w:rsidRPr="00DF3006" w:rsidRDefault="00FC17BC" w:rsidP="00FC17BC">
      <w:pPr>
        <w:rPr>
          <w:color w:val="414042" w:themeColor="text1"/>
          <w:lang w:eastAsia="en-AU"/>
        </w:rPr>
      </w:pPr>
    </w:p>
    <w:p w14:paraId="10D52BDB" w14:textId="77777777" w:rsidR="00FC17BC" w:rsidRPr="00DF3006" w:rsidRDefault="00FC17BC" w:rsidP="00FC17BC">
      <w:pPr>
        <w:rPr>
          <w:color w:val="414042" w:themeColor="text1"/>
          <w:lang w:eastAsia="en-AU"/>
        </w:rPr>
      </w:pPr>
    </w:p>
    <w:p w14:paraId="5D00266E" w14:textId="77777777" w:rsidR="00FC17BC" w:rsidRPr="00DF3006" w:rsidRDefault="00FC17BC" w:rsidP="00FC17BC">
      <w:pPr>
        <w:rPr>
          <w:color w:val="414042" w:themeColor="text1"/>
          <w:lang w:eastAsia="en-AU"/>
        </w:rPr>
      </w:pPr>
    </w:p>
    <w:p w14:paraId="69CF3ACD" w14:textId="75F8B62E" w:rsidR="00FC17BC" w:rsidRPr="00DF3006" w:rsidRDefault="00FC17BC" w:rsidP="00FC17BC">
      <w:pPr>
        <w:rPr>
          <w:color w:val="414042" w:themeColor="text1"/>
          <w:lang w:eastAsia="en-AU"/>
        </w:rPr>
      </w:pPr>
    </w:p>
    <w:p w14:paraId="61720B01" w14:textId="6F1D0EC9" w:rsidR="005268F0" w:rsidRPr="00DF3006" w:rsidRDefault="005268F0" w:rsidP="00FC17BC">
      <w:pPr>
        <w:rPr>
          <w:color w:val="414042" w:themeColor="text1"/>
          <w:lang w:eastAsia="en-AU"/>
        </w:rPr>
      </w:pPr>
    </w:p>
    <w:p w14:paraId="48CD24AA" w14:textId="77777777" w:rsidR="005268F0" w:rsidRPr="00DF3006" w:rsidRDefault="005268F0" w:rsidP="00FC17BC">
      <w:pPr>
        <w:rPr>
          <w:color w:val="414042" w:themeColor="text1"/>
          <w:lang w:eastAsia="en-AU"/>
        </w:rPr>
      </w:pPr>
    </w:p>
    <w:p w14:paraId="4E0FB971" w14:textId="77777777" w:rsidR="00FC17BC" w:rsidRPr="00DF3006" w:rsidRDefault="00FC17BC" w:rsidP="00FC17BC">
      <w:pPr>
        <w:rPr>
          <w:color w:val="414042" w:themeColor="text1"/>
          <w:lang w:eastAsia="en-AU"/>
        </w:rPr>
      </w:pPr>
    </w:p>
    <w:p w14:paraId="4C49FE44" w14:textId="77777777" w:rsidR="00FC17BC" w:rsidRPr="00DF3006" w:rsidRDefault="00FC17BC" w:rsidP="00FC17BC">
      <w:pPr>
        <w:rPr>
          <w:color w:val="414042" w:themeColor="text1"/>
          <w:lang w:eastAsia="en-AU"/>
        </w:rPr>
      </w:pPr>
    </w:p>
    <w:p w14:paraId="4DAC44DA" w14:textId="77777777" w:rsidR="00FC17BC" w:rsidRPr="00DF3006" w:rsidRDefault="00FC17BC" w:rsidP="00FC17BC">
      <w:pPr>
        <w:rPr>
          <w:color w:val="414042" w:themeColor="text1"/>
          <w:lang w:eastAsia="en-AU"/>
        </w:rPr>
      </w:pPr>
    </w:p>
    <w:p w14:paraId="64DA4A57" w14:textId="77777777" w:rsidR="00FC17BC" w:rsidRPr="00DF3006" w:rsidRDefault="00FC17BC" w:rsidP="00FC17BC">
      <w:pPr>
        <w:rPr>
          <w:color w:val="414042" w:themeColor="text1"/>
          <w:lang w:eastAsia="en-AU"/>
        </w:rPr>
      </w:pPr>
    </w:p>
    <w:p w14:paraId="2562E212" w14:textId="77777777" w:rsidR="00FC17BC" w:rsidRPr="00DF3006" w:rsidRDefault="00FC17BC" w:rsidP="00FC17BC">
      <w:pPr>
        <w:rPr>
          <w:color w:val="414042" w:themeColor="text1"/>
          <w:lang w:eastAsia="en-AU"/>
        </w:rPr>
      </w:pPr>
    </w:p>
    <w:p w14:paraId="5D8786AF" w14:textId="77777777" w:rsidR="00FC17BC" w:rsidRPr="00DF3006" w:rsidRDefault="00FC17BC" w:rsidP="00FC17BC">
      <w:pPr>
        <w:rPr>
          <w:color w:val="414042" w:themeColor="text1"/>
          <w:lang w:eastAsia="en-AU"/>
        </w:rPr>
      </w:pPr>
    </w:p>
    <w:p w14:paraId="5EA9BDB9" w14:textId="77777777" w:rsidR="00FC17BC" w:rsidRPr="00DF3006" w:rsidRDefault="00FC17BC" w:rsidP="00FC17BC">
      <w:pPr>
        <w:pStyle w:val="Normalhanginglist105pt"/>
        <w:spacing w:line="240" w:lineRule="auto"/>
        <w:rPr>
          <w:color w:val="414042" w:themeColor="text1"/>
          <w:sz w:val="23"/>
          <w:szCs w:val="23"/>
        </w:rPr>
      </w:pPr>
      <w:r w:rsidRPr="00DF3006">
        <w:rPr>
          <w:color w:val="414042" w:themeColor="text1"/>
          <w:sz w:val="23"/>
          <w:szCs w:val="23"/>
        </w:rPr>
        <w:t xml:space="preserve">Note 19:  Explanation of Major Variances </w:t>
      </w:r>
    </w:p>
    <w:p w14:paraId="30E04DCE" w14:textId="77777777" w:rsidR="00FC17BC" w:rsidRPr="00DF3006" w:rsidRDefault="00FC17BC" w:rsidP="00FC17BC">
      <w:pPr>
        <w:pStyle w:val="Normalhanginglist105pt"/>
        <w:spacing w:line="240" w:lineRule="auto"/>
        <w:rPr>
          <w:color w:val="414042" w:themeColor="text1"/>
        </w:rPr>
      </w:pPr>
      <w:r w:rsidRPr="00DF3006">
        <w:rPr>
          <w:color w:val="414042" w:themeColor="text1"/>
        </w:rPr>
        <w:t>Note 19A:  Explanation of Major Variances – Statement of Comprehensive Income</w:t>
      </w:r>
    </w:p>
    <w:p w14:paraId="2815AB62" w14:textId="77777777" w:rsidR="00FC17BC" w:rsidRPr="00DF3006" w:rsidRDefault="00FC17BC" w:rsidP="00FC17BC">
      <w:pPr>
        <w:pStyle w:val="Normalhanginglist105pt"/>
        <w:spacing w:line="240" w:lineRule="auto"/>
        <w:rPr>
          <w:color w:val="414042" w:themeColor="text1"/>
        </w:rPr>
      </w:pPr>
    </w:p>
    <w:tbl>
      <w:tblPr>
        <w:tblStyle w:val="Table3Deffects1"/>
        <w:tblW w:w="9498" w:type="dxa"/>
        <w:tblLook w:val="04A0" w:firstRow="1" w:lastRow="0" w:firstColumn="1" w:lastColumn="0" w:noHBand="0" w:noVBand="1"/>
      </w:tblPr>
      <w:tblGrid>
        <w:gridCol w:w="2977"/>
        <w:gridCol w:w="6521"/>
      </w:tblGrid>
      <w:tr w:rsidR="00DF3006" w:rsidRPr="00DF3006" w14:paraId="09F58AF3" w14:textId="77777777" w:rsidTr="00686A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shd w:val="clear" w:color="auto" w:fill="auto"/>
          </w:tcPr>
          <w:p w14:paraId="625C9662" w14:textId="77777777" w:rsidR="00FC17BC" w:rsidRPr="00DF3006" w:rsidRDefault="00FC17BC" w:rsidP="00CC5BBF">
            <w:pPr>
              <w:pStyle w:val="Normal1stpara"/>
              <w:spacing w:line="240" w:lineRule="auto"/>
              <w:rPr>
                <w:rFonts w:asciiTheme="minorHAnsi" w:hAnsiTheme="minorHAnsi" w:cstheme="minorHAnsi"/>
                <w:b w:val="0"/>
                <w:i/>
                <w:color w:val="414042" w:themeColor="text1"/>
                <w:sz w:val="20"/>
              </w:rPr>
            </w:pPr>
            <w:r w:rsidRPr="00DF3006">
              <w:rPr>
                <w:rFonts w:asciiTheme="minorHAnsi" w:hAnsiTheme="minorHAnsi" w:cstheme="minorHAnsi"/>
                <w:b w:val="0"/>
                <w:i/>
                <w:color w:val="414042" w:themeColor="text1"/>
                <w:sz w:val="20"/>
              </w:rPr>
              <w:t>Grants and other contributions:</w:t>
            </w:r>
          </w:p>
        </w:tc>
        <w:tc>
          <w:tcPr>
            <w:tcW w:w="6521" w:type="dxa"/>
            <w:tcBorders>
              <w:bottom w:val="none" w:sz="0" w:space="0" w:color="auto"/>
            </w:tcBorders>
            <w:shd w:val="clear" w:color="auto" w:fill="auto"/>
          </w:tcPr>
          <w:p w14:paraId="150207E5" w14:textId="77777777" w:rsidR="00FC17BC" w:rsidRPr="00DF3006" w:rsidRDefault="00FC17BC" w:rsidP="00CC5BBF">
            <w:pPr>
              <w:pStyle w:val="Normal1stpara"/>
              <w:spacing w:line="240" w:lineRule="auto"/>
              <w:ind w:left="-108"/>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414042" w:themeColor="text1"/>
                <w:sz w:val="20"/>
              </w:rPr>
            </w:pPr>
            <w:r w:rsidRPr="00DF3006">
              <w:rPr>
                <w:rFonts w:asciiTheme="minorHAnsi" w:hAnsiTheme="minorHAnsi" w:cstheme="minorHAnsi"/>
                <w:b w:val="0"/>
                <w:color w:val="414042" w:themeColor="text1"/>
                <w:sz w:val="20"/>
              </w:rPr>
              <w:t>The increase of $1.385M is due to the impact of $0.950M to implement the recommendations from the Commission of Inquiry and $0.435M from the whole of government wage policy adjustment.</w:t>
            </w:r>
          </w:p>
        </w:tc>
      </w:tr>
      <w:tr w:rsidR="00DF3006" w:rsidRPr="00DF3006" w14:paraId="7E5FE52A" w14:textId="77777777" w:rsidTr="00686AB5">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2BE04CF1" w14:textId="77777777" w:rsidR="00FC17BC" w:rsidRPr="00DF3006" w:rsidRDefault="00FC17BC" w:rsidP="00CC5BBF">
            <w:pPr>
              <w:pStyle w:val="Normal1stpara"/>
              <w:spacing w:line="240" w:lineRule="auto"/>
              <w:rPr>
                <w:rFonts w:asciiTheme="minorHAnsi" w:hAnsiTheme="minorHAnsi" w:cstheme="minorHAnsi"/>
                <w:b w:val="0"/>
                <w:bCs w:val="0"/>
                <w:i/>
                <w:color w:val="414042" w:themeColor="text1"/>
                <w:sz w:val="20"/>
              </w:rPr>
            </w:pPr>
            <w:r w:rsidRPr="00DF3006">
              <w:rPr>
                <w:rFonts w:asciiTheme="minorHAnsi" w:hAnsiTheme="minorHAnsi" w:cstheme="minorHAnsi"/>
                <w:b w:val="0"/>
                <w:bCs w:val="0"/>
                <w:i/>
                <w:color w:val="414042" w:themeColor="text1"/>
                <w:sz w:val="20"/>
              </w:rPr>
              <w:t>Interest:</w:t>
            </w:r>
          </w:p>
        </w:tc>
        <w:tc>
          <w:tcPr>
            <w:tcW w:w="6521" w:type="dxa"/>
            <w:shd w:val="clear" w:color="auto" w:fill="auto"/>
          </w:tcPr>
          <w:p w14:paraId="56F48A06" w14:textId="0953A2B8" w:rsidR="00FC17BC" w:rsidRPr="00DF3006" w:rsidRDefault="00FC17BC" w:rsidP="00CC5BBF">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14042" w:themeColor="text1"/>
                <w:sz w:val="20"/>
              </w:rPr>
            </w:pPr>
            <w:r w:rsidRPr="00DF3006">
              <w:rPr>
                <w:rFonts w:asciiTheme="minorHAnsi" w:hAnsiTheme="minorHAnsi" w:cstheme="minorHAnsi"/>
                <w:color w:val="414042" w:themeColor="text1"/>
                <w:sz w:val="20"/>
              </w:rPr>
              <w:t>The increase of $0.843M is due to interest rate increase</w:t>
            </w:r>
            <w:r w:rsidR="00B40B58" w:rsidRPr="00DF3006">
              <w:rPr>
                <w:rFonts w:asciiTheme="minorHAnsi" w:hAnsiTheme="minorHAnsi" w:cstheme="minorHAnsi"/>
                <w:color w:val="414042" w:themeColor="text1"/>
                <w:sz w:val="20"/>
              </w:rPr>
              <w:t>s</w:t>
            </w:r>
            <w:r w:rsidRPr="00DF3006">
              <w:rPr>
                <w:rFonts w:asciiTheme="minorHAnsi" w:hAnsiTheme="minorHAnsi" w:cstheme="minorHAnsi"/>
                <w:color w:val="414042" w:themeColor="text1"/>
                <w:sz w:val="20"/>
              </w:rPr>
              <w:t xml:space="preserve"> across 2022-23.</w:t>
            </w:r>
          </w:p>
        </w:tc>
      </w:tr>
      <w:tr w:rsidR="00DF3006" w:rsidRPr="00DF3006" w14:paraId="4744B637" w14:textId="77777777" w:rsidTr="00686AB5">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FE7660F" w14:textId="77777777" w:rsidR="00FC17BC" w:rsidRPr="00DF3006" w:rsidRDefault="00FC17BC" w:rsidP="00CC5BBF">
            <w:pPr>
              <w:pStyle w:val="Normal1stpara"/>
              <w:spacing w:line="240" w:lineRule="auto"/>
              <w:rPr>
                <w:rFonts w:asciiTheme="minorHAnsi" w:hAnsiTheme="minorHAnsi" w:cstheme="minorHAnsi"/>
                <w:b w:val="0"/>
                <w:i/>
                <w:color w:val="414042" w:themeColor="text1"/>
                <w:sz w:val="20"/>
              </w:rPr>
            </w:pPr>
            <w:r w:rsidRPr="00DF3006">
              <w:rPr>
                <w:rFonts w:asciiTheme="minorHAnsi" w:hAnsiTheme="minorHAnsi" w:cstheme="minorHAnsi"/>
                <w:b w:val="0"/>
                <w:i/>
                <w:color w:val="414042" w:themeColor="text1"/>
                <w:sz w:val="20"/>
              </w:rPr>
              <w:t>Employee expenses:</w:t>
            </w:r>
          </w:p>
        </w:tc>
        <w:tc>
          <w:tcPr>
            <w:tcW w:w="6521" w:type="dxa"/>
            <w:shd w:val="clear" w:color="auto" w:fill="auto"/>
          </w:tcPr>
          <w:p w14:paraId="2B431336" w14:textId="77777777" w:rsidR="00FC17BC" w:rsidRPr="00DF3006" w:rsidRDefault="00FC17BC" w:rsidP="00CC5BBF">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14042" w:themeColor="text1"/>
                <w:sz w:val="20"/>
              </w:rPr>
            </w:pPr>
            <w:r w:rsidRPr="00DF3006">
              <w:rPr>
                <w:rFonts w:asciiTheme="minorHAnsi" w:hAnsiTheme="minorHAnsi" w:cstheme="minorHAnsi"/>
                <w:color w:val="414042" w:themeColor="text1"/>
                <w:sz w:val="20"/>
              </w:rPr>
              <w:t>The decrease of $2.832M is due to increased employee vacancies in a tight labour market.</w:t>
            </w:r>
          </w:p>
        </w:tc>
      </w:tr>
      <w:tr w:rsidR="00DF3006" w:rsidRPr="00DF3006" w14:paraId="04D4B13A" w14:textId="77777777" w:rsidTr="00686AB5">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20F2D47" w14:textId="77777777" w:rsidR="00FC17BC" w:rsidRPr="00DF3006" w:rsidRDefault="00FC17BC" w:rsidP="00CC5BBF">
            <w:pPr>
              <w:pStyle w:val="Normal1stpara"/>
              <w:spacing w:line="240" w:lineRule="auto"/>
              <w:rPr>
                <w:rFonts w:asciiTheme="minorHAnsi" w:hAnsiTheme="minorHAnsi" w:cstheme="minorHAnsi"/>
                <w:b w:val="0"/>
                <w:i/>
                <w:color w:val="414042" w:themeColor="text1"/>
                <w:sz w:val="20"/>
              </w:rPr>
            </w:pPr>
            <w:r w:rsidRPr="00DF3006">
              <w:rPr>
                <w:rFonts w:asciiTheme="minorHAnsi" w:hAnsiTheme="minorHAnsi" w:cstheme="minorHAnsi"/>
                <w:b w:val="0"/>
                <w:i/>
                <w:color w:val="414042" w:themeColor="text1"/>
                <w:sz w:val="20"/>
              </w:rPr>
              <w:t>Supplies and services:</w:t>
            </w:r>
          </w:p>
        </w:tc>
        <w:tc>
          <w:tcPr>
            <w:tcW w:w="6521" w:type="dxa"/>
            <w:shd w:val="clear" w:color="auto" w:fill="auto"/>
          </w:tcPr>
          <w:p w14:paraId="0B48D9B5" w14:textId="3057AE26" w:rsidR="00FC17BC" w:rsidRPr="00DF3006" w:rsidRDefault="00FC17BC" w:rsidP="00CC5BBF">
            <w:pPr>
              <w:pStyle w:val="Variences"/>
              <w:spacing w:before="60"/>
              <w:ind w:left="-108" w:firstLine="0"/>
              <w:jc w:val="both"/>
              <w:cnfStyle w:val="000000000000" w:firstRow="0" w:lastRow="0" w:firstColumn="0" w:lastColumn="0" w:oddVBand="0" w:evenVBand="0" w:oddHBand="0" w:evenHBand="0" w:firstRowFirstColumn="0" w:firstRowLastColumn="0" w:lastRowFirstColumn="0" w:lastRowLastColumn="0"/>
              <w:rPr>
                <w:rFonts w:cstheme="minorHAnsi"/>
                <w:color w:val="414042" w:themeColor="text1"/>
                <w:szCs w:val="20"/>
              </w:rPr>
            </w:pPr>
            <w:r w:rsidRPr="00DF3006">
              <w:rPr>
                <w:rFonts w:cstheme="minorHAnsi"/>
                <w:color w:val="414042" w:themeColor="text1"/>
                <w:szCs w:val="20"/>
              </w:rPr>
              <w:t xml:space="preserve">The decrease of $1.182M is mainly due to reduced expenditure </w:t>
            </w:r>
            <w:proofErr w:type="gramStart"/>
            <w:r w:rsidRPr="00DF3006">
              <w:rPr>
                <w:rFonts w:cstheme="minorHAnsi"/>
                <w:color w:val="414042" w:themeColor="text1"/>
                <w:szCs w:val="20"/>
              </w:rPr>
              <w:t>as a result of</w:t>
            </w:r>
            <w:proofErr w:type="gramEnd"/>
            <w:r w:rsidRPr="00DF3006">
              <w:rPr>
                <w:rFonts w:cstheme="minorHAnsi"/>
                <w:color w:val="414042" w:themeColor="text1"/>
                <w:szCs w:val="20"/>
              </w:rPr>
              <w:t xml:space="preserve"> increased employee vacancies due to market pressures and reduced operating expenditure as </w:t>
            </w:r>
            <w:r w:rsidR="00573035" w:rsidRPr="00DF3006">
              <w:rPr>
                <w:rFonts w:cstheme="minorHAnsi"/>
                <w:color w:val="414042" w:themeColor="text1"/>
                <w:szCs w:val="20"/>
              </w:rPr>
              <w:t xml:space="preserve">a </w:t>
            </w:r>
            <w:r w:rsidRPr="00DF3006">
              <w:rPr>
                <w:rFonts w:cstheme="minorHAnsi"/>
                <w:color w:val="414042" w:themeColor="text1"/>
                <w:szCs w:val="20"/>
              </w:rPr>
              <w:t>result of capacity issues.</w:t>
            </w:r>
          </w:p>
        </w:tc>
      </w:tr>
      <w:tr w:rsidR="00DF3006" w:rsidRPr="00DF3006" w14:paraId="69E93817" w14:textId="77777777" w:rsidTr="00686AB5">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6E9FA195" w14:textId="77777777" w:rsidR="00FC17BC" w:rsidRPr="00DF3006" w:rsidRDefault="00FC17BC" w:rsidP="00CC5BBF">
            <w:pPr>
              <w:pStyle w:val="Normal1stpara"/>
              <w:spacing w:line="240" w:lineRule="auto"/>
              <w:rPr>
                <w:rFonts w:asciiTheme="minorHAnsi" w:hAnsiTheme="minorHAnsi" w:cstheme="minorHAnsi"/>
                <w:bCs w:val="0"/>
                <w:i/>
                <w:color w:val="414042" w:themeColor="text1"/>
                <w:sz w:val="20"/>
              </w:rPr>
            </w:pPr>
            <w:r w:rsidRPr="00DF3006">
              <w:rPr>
                <w:rFonts w:asciiTheme="minorHAnsi" w:hAnsiTheme="minorHAnsi" w:cstheme="minorHAnsi"/>
                <w:b w:val="0"/>
                <w:i/>
                <w:color w:val="414042" w:themeColor="text1"/>
                <w:sz w:val="20"/>
              </w:rPr>
              <w:t xml:space="preserve">Depreciation and </w:t>
            </w:r>
          </w:p>
          <w:p w14:paraId="7D06D513" w14:textId="77777777" w:rsidR="00FC17BC" w:rsidRPr="00DF3006" w:rsidRDefault="00FC17BC" w:rsidP="00CC5BBF">
            <w:pPr>
              <w:pStyle w:val="Normal1stpara"/>
              <w:spacing w:line="240" w:lineRule="auto"/>
              <w:rPr>
                <w:rFonts w:asciiTheme="minorHAnsi" w:hAnsiTheme="minorHAnsi" w:cstheme="minorHAnsi"/>
                <w:i/>
                <w:color w:val="414042" w:themeColor="text1"/>
                <w:sz w:val="20"/>
              </w:rPr>
            </w:pPr>
            <w:r w:rsidRPr="00DF3006">
              <w:rPr>
                <w:rFonts w:asciiTheme="minorHAnsi" w:hAnsiTheme="minorHAnsi" w:cstheme="minorHAnsi"/>
                <w:b w:val="0"/>
                <w:i/>
                <w:color w:val="414042" w:themeColor="text1"/>
                <w:sz w:val="20"/>
              </w:rPr>
              <w:t>amortisation:</w:t>
            </w:r>
          </w:p>
        </w:tc>
        <w:tc>
          <w:tcPr>
            <w:tcW w:w="6521" w:type="dxa"/>
            <w:shd w:val="clear" w:color="auto" w:fill="auto"/>
          </w:tcPr>
          <w:p w14:paraId="0A29352A" w14:textId="77777777" w:rsidR="00FC17BC" w:rsidRPr="00DF3006" w:rsidRDefault="00FC17BC" w:rsidP="00CC5BBF">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14042" w:themeColor="text1"/>
                <w:sz w:val="20"/>
              </w:rPr>
            </w:pPr>
            <w:r w:rsidRPr="00DF3006">
              <w:rPr>
                <w:rFonts w:asciiTheme="minorHAnsi" w:hAnsiTheme="minorHAnsi" w:cstheme="minorHAnsi"/>
                <w:color w:val="414042" w:themeColor="text1"/>
                <w:sz w:val="20"/>
              </w:rPr>
              <w:t>The decrease of $0.245M is due to asset useful life extensions and minor delays in the completion of asset updates.</w:t>
            </w:r>
          </w:p>
        </w:tc>
      </w:tr>
      <w:tr w:rsidR="00DF3006" w:rsidRPr="00DF3006" w14:paraId="41D02BB2" w14:textId="77777777" w:rsidTr="00686AB5">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319AE29" w14:textId="77777777" w:rsidR="00FC17BC" w:rsidRPr="00DF3006" w:rsidRDefault="00FC17BC" w:rsidP="00CC5BBF">
            <w:pPr>
              <w:pStyle w:val="Normal1stpara"/>
              <w:spacing w:line="240" w:lineRule="auto"/>
              <w:rPr>
                <w:rFonts w:asciiTheme="minorHAnsi" w:hAnsiTheme="minorHAnsi" w:cstheme="minorHAnsi"/>
                <w:bCs w:val="0"/>
                <w:i/>
                <w:color w:val="414042" w:themeColor="text1"/>
                <w:sz w:val="20"/>
              </w:rPr>
            </w:pPr>
            <w:r w:rsidRPr="00DF3006">
              <w:rPr>
                <w:rFonts w:asciiTheme="minorHAnsi" w:hAnsiTheme="minorHAnsi" w:cstheme="minorHAnsi"/>
                <w:b w:val="0"/>
                <w:i/>
                <w:color w:val="414042" w:themeColor="text1"/>
                <w:sz w:val="20"/>
              </w:rPr>
              <w:t xml:space="preserve">Operating results from </w:t>
            </w:r>
          </w:p>
          <w:p w14:paraId="7B3B32A2" w14:textId="77777777" w:rsidR="00FC17BC" w:rsidRPr="00DF3006" w:rsidRDefault="00FC17BC" w:rsidP="00CC5BBF">
            <w:pPr>
              <w:pStyle w:val="Normal1stpara"/>
              <w:spacing w:line="240" w:lineRule="auto"/>
              <w:rPr>
                <w:rFonts w:asciiTheme="minorHAnsi" w:hAnsiTheme="minorHAnsi" w:cstheme="minorHAnsi"/>
                <w:b w:val="0"/>
                <w:i/>
                <w:color w:val="414042" w:themeColor="text1"/>
                <w:sz w:val="20"/>
              </w:rPr>
            </w:pPr>
            <w:r w:rsidRPr="00DF3006">
              <w:rPr>
                <w:rFonts w:asciiTheme="minorHAnsi" w:hAnsiTheme="minorHAnsi" w:cstheme="minorHAnsi"/>
                <w:b w:val="0"/>
                <w:i/>
                <w:color w:val="414042" w:themeColor="text1"/>
                <w:sz w:val="20"/>
              </w:rPr>
              <w:t>continuing operations:</w:t>
            </w:r>
          </w:p>
        </w:tc>
        <w:tc>
          <w:tcPr>
            <w:tcW w:w="6521" w:type="dxa"/>
            <w:shd w:val="clear" w:color="auto" w:fill="auto"/>
          </w:tcPr>
          <w:p w14:paraId="29126597" w14:textId="317323E7" w:rsidR="00FC17BC" w:rsidRPr="00DF3006" w:rsidRDefault="00FC17BC" w:rsidP="00CC5BBF">
            <w:pPr>
              <w:pStyle w:val="Normal1stpara"/>
              <w:spacing w:line="240" w:lineRule="auto"/>
              <w:ind w:left="-10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14042" w:themeColor="text1"/>
                <w:sz w:val="20"/>
              </w:rPr>
            </w:pPr>
            <w:r w:rsidRPr="00DF3006">
              <w:rPr>
                <w:rFonts w:asciiTheme="minorHAnsi" w:hAnsiTheme="minorHAnsi" w:cstheme="minorHAnsi"/>
                <w:color w:val="414042" w:themeColor="text1"/>
                <w:sz w:val="20"/>
              </w:rPr>
              <w:t xml:space="preserve">The $6.431M surplus is a result of increased employee vacancies due to labour market pressures and reduced operating expenditure </w:t>
            </w:r>
            <w:proofErr w:type="gramStart"/>
            <w:r w:rsidRPr="00DF3006">
              <w:rPr>
                <w:rFonts w:asciiTheme="minorHAnsi" w:hAnsiTheme="minorHAnsi" w:cstheme="minorHAnsi"/>
                <w:color w:val="414042" w:themeColor="text1"/>
                <w:sz w:val="20"/>
              </w:rPr>
              <w:t xml:space="preserve">as </w:t>
            </w:r>
            <w:r w:rsidR="00573035" w:rsidRPr="00DF3006">
              <w:rPr>
                <w:rFonts w:asciiTheme="minorHAnsi" w:hAnsiTheme="minorHAnsi" w:cstheme="minorHAnsi"/>
                <w:color w:val="414042" w:themeColor="text1"/>
                <w:sz w:val="20"/>
              </w:rPr>
              <w:t xml:space="preserve">a </w:t>
            </w:r>
            <w:r w:rsidRPr="00DF3006">
              <w:rPr>
                <w:rFonts w:asciiTheme="minorHAnsi" w:hAnsiTheme="minorHAnsi" w:cstheme="minorHAnsi"/>
                <w:color w:val="414042" w:themeColor="text1"/>
                <w:sz w:val="20"/>
              </w:rPr>
              <w:t>result of</w:t>
            </w:r>
            <w:proofErr w:type="gramEnd"/>
            <w:r w:rsidRPr="00DF3006">
              <w:rPr>
                <w:rFonts w:asciiTheme="minorHAnsi" w:hAnsiTheme="minorHAnsi" w:cstheme="minorHAnsi"/>
                <w:color w:val="414042" w:themeColor="text1"/>
                <w:sz w:val="20"/>
              </w:rPr>
              <w:t xml:space="preserve"> capacity issues.</w:t>
            </w:r>
          </w:p>
        </w:tc>
      </w:tr>
    </w:tbl>
    <w:p w14:paraId="6A291D55" w14:textId="77777777" w:rsidR="00FC17BC" w:rsidRPr="00DF3006" w:rsidRDefault="00FC17BC" w:rsidP="00FC17BC">
      <w:pPr>
        <w:pStyle w:val="Normal1stpara"/>
        <w:spacing w:line="240" w:lineRule="auto"/>
        <w:rPr>
          <w:rFonts w:asciiTheme="minorHAnsi" w:hAnsiTheme="minorHAnsi" w:cstheme="minorHAnsi"/>
          <w:color w:val="414042" w:themeColor="text1"/>
          <w:sz w:val="20"/>
          <w:szCs w:val="20"/>
        </w:rPr>
      </w:pPr>
    </w:p>
    <w:p w14:paraId="465745A2" w14:textId="77777777" w:rsidR="00FC17BC" w:rsidRPr="00DF3006" w:rsidRDefault="00FC17BC" w:rsidP="00FC17BC">
      <w:pPr>
        <w:pStyle w:val="Normalhanginglist105pt"/>
        <w:spacing w:line="240" w:lineRule="auto"/>
        <w:rPr>
          <w:rFonts w:cstheme="minorHAnsi"/>
          <w:color w:val="414042" w:themeColor="text1"/>
          <w:szCs w:val="21"/>
        </w:rPr>
      </w:pPr>
      <w:r w:rsidRPr="00DF3006">
        <w:rPr>
          <w:rFonts w:cstheme="minorHAnsi"/>
          <w:color w:val="414042" w:themeColor="text1"/>
          <w:szCs w:val="21"/>
        </w:rPr>
        <w:t>Note 19B:  Explanation of Major Variances – Statement of Financial Position</w:t>
      </w:r>
    </w:p>
    <w:p w14:paraId="1D172614" w14:textId="77777777" w:rsidR="00FC17BC" w:rsidRPr="00DF3006" w:rsidRDefault="00FC17BC" w:rsidP="00FC17BC">
      <w:pPr>
        <w:pStyle w:val="Normalhanginglist105pt"/>
        <w:spacing w:line="240" w:lineRule="auto"/>
        <w:rPr>
          <w:rFonts w:cstheme="minorHAnsi"/>
          <w:color w:val="414042" w:themeColor="text1"/>
          <w:szCs w:val="21"/>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48"/>
      </w:tblGrid>
      <w:tr w:rsidR="00DF3006" w:rsidRPr="00DF3006" w14:paraId="4821ECA1" w14:textId="77777777" w:rsidTr="00CC5BBF">
        <w:tc>
          <w:tcPr>
            <w:tcW w:w="2835" w:type="dxa"/>
          </w:tcPr>
          <w:p w14:paraId="1C1C9905" w14:textId="77777777" w:rsidR="00FC17BC" w:rsidRPr="00DF3006" w:rsidRDefault="00FC17BC" w:rsidP="008D6A1B">
            <w:pPr>
              <w:pStyle w:val="Normal1stpara"/>
              <w:spacing w:line="240" w:lineRule="auto"/>
              <w:rPr>
                <w:rFonts w:asciiTheme="minorHAnsi" w:hAnsiTheme="minorHAnsi" w:cstheme="minorHAnsi"/>
                <w:i/>
                <w:color w:val="414042" w:themeColor="text1"/>
                <w:sz w:val="20"/>
                <w:szCs w:val="20"/>
              </w:rPr>
            </w:pPr>
            <w:r w:rsidRPr="00DF3006">
              <w:rPr>
                <w:rFonts w:asciiTheme="minorHAnsi" w:hAnsiTheme="minorHAnsi" w:cstheme="minorHAnsi"/>
                <w:i/>
                <w:color w:val="414042" w:themeColor="text1"/>
                <w:sz w:val="20"/>
                <w:szCs w:val="20"/>
              </w:rPr>
              <w:t>Cash and cash equivalents:</w:t>
            </w:r>
          </w:p>
        </w:tc>
        <w:tc>
          <w:tcPr>
            <w:tcW w:w="6648" w:type="dxa"/>
          </w:tcPr>
          <w:p w14:paraId="102720CC" w14:textId="77777777" w:rsidR="00FC17BC" w:rsidRPr="00DF3006" w:rsidRDefault="00FC17BC" w:rsidP="008D6A1B">
            <w:pPr>
              <w:pStyle w:val="Normal1stpara"/>
              <w:spacing w:line="240" w:lineRule="auto"/>
              <w:ind w:left="-108"/>
              <w:rPr>
                <w:rFonts w:asciiTheme="minorHAnsi" w:hAnsiTheme="minorHAnsi" w:cstheme="minorHAnsi"/>
                <w:color w:val="414042" w:themeColor="text1"/>
                <w:sz w:val="20"/>
                <w:szCs w:val="20"/>
              </w:rPr>
            </w:pPr>
            <w:r w:rsidRPr="00DF3006">
              <w:rPr>
                <w:rFonts w:asciiTheme="minorHAnsi" w:hAnsiTheme="minorHAnsi" w:cstheme="minorHAnsi"/>
                <w:color w:val="414042" w:themeColor="text1"/>
                <w:sz w:val="20"/>
                <w:szCs w:val="20"/>
              </w:rPr>
              <w:t>The increase in cash assets of $6.605M is primarily due to the operating surplus of $6.431M and limited capital spend.</w:t>
            </w:r>
          </w:p>
        </w:tc>
      </w:tr>
      <w:tr w:rsidR="00DF3006" w:rsidRPr="00DF3006" w14:paraId="32DB5A97" w14:textId="77777777" w:rsidTr="00CC5BBF">
        <w:tc>
          <w:tcPr>
            <w:tcW w:w="2835" w:type="dxa"/>
          </w:tcPr>
          <w:p w14:paraId="587FB102" w14:textId="77777777" w:rsidR="00FC17BC" w:rsidRPr="00DF3006" w:rsidRDefault="00FC17BC" w:rsidP="008D6A1B">
            <w:pPr>
              <w:pStyle w:val="Normal1stpara"/>
              <w:spacing w:line="240" w:lineRule="auto"/>
              <w:rPr>
                <w:rFonts w:asciiTheme="minorHAnsi" w:hAnsiTheme="minorHAnsi" w:cstheme="minorHAnsi"/>
                <w:i/>
                <w:color w:val="414042" w:themeColor="text1"/>
                <w:sz w:val="20"/>
                <w:szCs w:val="20"/>
              </w:rPr>
            </w:pPr>
            <w:r w:rsidRPr="00DF3006">
              <w:rPr>
                <w:rFonts w:asciiTheme="minorHAnsi" w:hAnsiTheme="minorHAnsi" w:cstheme="minorHAnsi"/>
                <w:i/>
                <w:color w:val="414042" w:themeColor="text1"/>
                <w:sz w:val="20"/>
                <w:szCs w:val="20"/>
              </w:rPr>
              <w:t xml:space="preserve">Property, </w:t>
            </w:r>
            <w:proofErr w:type="gramStart"/>
            <w:r w:rsidRPr="00DF3006">
              <w:rPr>
                <w:rFonts w:asciiTheme="minorHAnsi" w:hAnsiTheme="minorHAnsi" w:cstheme="minorHAnsi"/>
                <w:i/>
                <w:color w:val="414042" w:themeColor="text1"/>
                <w:sz w:val="20"/>
                <w:szCs w:val="20"/>
              </w:rPr>
              <w:t>plant</w:t>
            </w:r>
            <w:proofErr w:type="gramEnd"/>
            <w:r w:rsidRPr="00DF3006">
              <w:rPr>
                <w:rFonts w:asciiTheme="minorHAnsi" w:hAnsiTheme="minorHAnsi" w:cstheme="minorHAnsi"/>
                <w:i/>
                <w:color w:val="414042" w:themeColor="text1"/>
                <w:sz w:val="20"/>
                <w:szCs w:val="20"/>
              </w:rPr>
              <w:t xml:space="preserve"> and equipment:</w:t>
            </w:r>
          </w:p>
        </w:tc>
        <w:tc>
          <w:tcPr>
            <w:tcW w:w="6648" w:type="dxa"/>
          </w:tcPr>
          <w:p w14:paraId="35B66F5F" w14:textId="31E731CD" w:rsidR="00FC17BC" w:rsidRPr="00DF3006" w:rsidRDefault="00FC17BC" w:rsidP="008D6A1B">
            <w:pPr>
              <w:pStyle w:val="Normal1stpara"/>
              <w:spacing w:line="240" w:lineRule="auto"/>
              <w:ind w:left="-103"/>
              <w:rPr>
                <w:rFonts w:asciiTheme="minorHAnsi" w:hAnsiTheme="minorHAnsi" w:cstheme="minorHAnsi"/>
                <w:color w:val="414042" w:themeColor="text1"/>
                <w:sz w:val="20"/>
                <w:szCs w:val="20"/>
              </w:rPr>
            </w:pPr>
            <w:r w:rsidRPr="00DF3006">
              <w:rPr>
                <w:rFonts w:asciiTheme="minorHAnsi" w:hAnsiTheme="minorHAnsi" w:cstheme="minorHAnsi"/>
                <w:color w:val="414042" w:themeColor="text1"/>
                <w:sz w:val="20"/>
                <w:szCs w:val="20"/>
              </w:rPr>
              <w:t xml:space="preserve">The decrease of $0.624M is due to </w:t>
            </w:r>
            <w:r w:rsidR="00573035" w:rsidRPr="00DF3006">
              <w:rPr>
                <w:rFonts w:asciiTheme="minorHAnsi" w:hAnsiTheme="minorHAnsi" w:cstheme="minorHAnsi"/>
                <w:color w:val="414042" w:themeColor="text1"/>
                <w:sz w:val="20"/>
                <w:szCs w:val="20"/>
              </w:rPr>
              <w:t>reduced</w:t>
            </w:r>
            <w:r w:rsidRPr="00DF3006">
              <w:rPr>
                <w:rFonts w:asciiTheme="minorHAnsi" w:hAnsiTheme="minorHAnsi" w:cstheme="minorHAnsi"/>
                <w:color w:val="414042" w:themeColor="text1"/>
                <w:sz w:val="20"/>
                <w:szCs w:val="20"/>
              </w:rPr>
              <w:t xml:space="preserve"> depreciation expenses and replacement of property, plant and equipment deferred to future years.</w:t>
            </w:r>
          </w:p>
        </w:tc>
      </w:tr>
      <w:tr w:rsidR="00DF3006" w:rsidRPr="00DF3006" w14:paraId="4238E26A" w14:textId="77777777" w:rsidTr="00CC5BBF">
        <w:tc>
          <w:tcPr>
            <w:tcW w:w="2835" w:type="dxa"/>
          </w:tcPr>
          <w:p w14:paraId="242F2CD9" w14:textId="77777777" w:rsidR="00FC17BC" w:rsidRPr="00DF3006" w:rsidRDefault="00FC17BC" w:rsidP="008D6A1B">
            <w:pPr>
              <w:pStyle w:val="Normal1stpara"/>
              <w:spacing w:line="240" w:lineRule="auto"/>
              <w:rPr>
                <w:rFonts w:asciiTheme="minorHAnsi" w:hAnsiTheme="minorHAnsi" w:cstheme="minorHAnsi"/>
                <w:i/>
                <w:color w:val="414042" w:themeColor="text1"/>
                <w:sz w:val="20"/>
                <w:szCs w:val="20"/>
              </w:rPr>
            </w:pPr>
            <w:r w:rsidRPr="00DF3006">
              <w:rPr>
                <w:rFonts w:asciiTheme="minorHAnsi" w:hAnsiTheme="minorHAnsi" w:cstheme="minorHAnsi"/>
                <w:i/>
                <w:color w:val="414042" w:themeColor="text1"/>
                <w:sz w:val="20"/>
                <w:szCs w:val="20"/>
              </w:rPr>
              <w:t>Right-of-use assets:</w:t>
            </w:r>
          </w:p>
        </w:tc>
        <w:tc>
          <w:tcPr>
            <w:tcW w:w="6648" w:type="dxa"/>
          </w:tcPr>
          <w:p w14:paraId="40D83A14" w14:textId="77777777" w:rsidR="00FC17BC" w:rsidRPr="00DF3006" w:rsidRDefault="00FC17BC" w:rsidP="008D6A1B">
            <w:pPr>
              <w:pStyle w:val="Normal1stpara"/>
              <w:spacing w:line="240" w:lineRule="auto"/>
              <w:ind w:left="-103"/>
              <w:rPr>
                <w:rFonts w:asciiTheme="minorHAnsi" w:hAnsiTheme="minorHAnsi" w:cstheme="minorHAnsi"/>
                <w:color w:val="414042" w:themeColor="text1"/>
                <w:sz w:val="20"/>
                <w:szCs w:val="20"/>
              </w:rPr>
            </w:pPr>
            <w:r w:rsidRPr="00DF3006">
              <w:rPr>
                <w:rFonts w:asciiTheme="minorHAnsi" w:hAnsiTheme="minorHAnsi" w:cstheme="minorHAnsi"/>
                <w:color w:val="414042" w:themeColor="text1"/>
                <w:sz w:val="20"/>
                <w:szCs w:val="20"/>
              </w:rPr>
              <w:t>The increase of $0.944M is due to extension of property lease for a further three years.</w:t>
            </w:r>
          </w:p>
        </w:tc>
      </w:tr>
      <w:tr w:rsidR="00DF3006" w:rsidRPr="00DF3006" w14:paraId="25A3939C" w14:textId="77777777" w:rsidTr="00CC5BBF">
        <w:tc>
          <w:tcPr>
            <w:tcW w:w="2835" w:type="dxa"/>
          </w:tcPr>
          <w:p w14:paraId="1B52CB7C" w14:textId="77777777" w:rsidR="00FC17BC" w:rsidRPr="00DF3006" w:rsidRDefault="00FC17BC" w:rsidP="008D6A1B">
            <w:pPr>
              <w:pStyle w:val="Normal1stpara"/>
              <w:spacing w:line="240" w:lineRule="auto"/>
              <w:rPr>
                <w:rFonts w:asciiTheme="minorHAnsi" w:hAnsiTheme="minorHAnsi" w:cstheme="minorHAnsi"/>
                <w:i/>
                <w:color w:val="414042" w:themeColor="text1"/>
                <w:sz w:val="20"/>
                <w:szCs w:val="20"/>
              </w:rPr>
            </w:pPr>
            <w:r w:rsidRPr="00DF3006">
              <w:rPr>
                <w:rFonts w:asciiTheme="minorHAnsi" w:hAnsiTheme="minorHAnsi" w:cstheme="minorHAnsi"/>
                <w:i/>
                <w:color w:val="414042" w:themeColor="text1"/>
                <w:sz w:val="20"/>
                <w:szCs w:val="20"/>
              </w:rPr>
              <w:t>Lease liabilities:</w:t>
            </w:r>
          </w:p>
        </w:tc>
        <w:tc>
          <w:tcPr>
            <w:tcW w:w="6648" w:type="dxa"/>
          </w:tcPr>
          <w:p w14:paraId="525518C1" w14:textId="77777777" w:rsidR="00FC17BC" w:rsidRPr="00DF3006" w:rsidRDefault="00FC17BC" w:rsidP="008D6A1B">
            <w:pPr>
              <w:pStyle w:val="Normal1stpara"/>
              <w:spacing w:line="240" w:lineRule="auto"/>
              <w:ind w:left="-103"/>
              <w:rPr>
                <w:rFonts w:asciiTheme="minorHAnsi" w:hAnsiTheme="minorHAnsi" w:cstheme="minorHAnsi"/>
                <w:color w:val="414042" w:themeColor="text1"/>
                <w:sz w:val="20"/>
                <w:szCs w:val="20"/>
              </w:rPr>
            </w:pPr>
            <w:r w:rsidRPr="00DF3006">
              <w:rPr>
                <w:rFonts w:asciiTheme="minorHAnsi" w:hAnsiTheme="minorHAnsi" w:cstheme="minorHAnsi"/>
                <w:color w:val="414042" w:themeColor="text1"/>
                <w:sz w:val="20"/>
                <w:szCs w:val="20"/>
              </w:rPr>
              <w:t xml:space="preserve">The increase of $0.300M in current lease liability and $0.668M in </w:t>
            </w:r>
            <w:proofErr w:type="spellStart"/>
            <w:proofErr w:type="gramStart"/>
            <w:r w:rsidRPr="00DF3006">
              <w:rPr>
                <w:rFonts w:asciiTheme="minorHAnsi" w:hAnsiTheme="minorHAnsi" w:cstheme="minorHAnsi"/>
                <w:color w:val="414042" w:themeColor="text1"/>
                <w:sz w:val="20"/>
                <w:szCs w:val="20"/>
              </w:rPr>
              <w:t>non current</w:t>
            </w:r>
            <w:proofErr w:type="spellEnd"/>
            <w:proofErr w:type="gramEnd"/>
            <w:r w:rsidRPr="00DF3006">
              <w:rPr>
                <w:rFonts w:asciiTheme="minorHAnsi" w:hAnsiTheme="minorHAnsi" w:cstheme="minorHAnsi"/>
                <w:color w:val="414042" w:themeColor="text1"/>
                <w:sz w:val="20"/>
                <w:szCs w:val="20"/>
              </w:rPr>
              <w:t xml:space="preserve"> lease liability is due to extension of property lease for a further three years.</w:t>
            </w:r>
          </w:p>
        </w:tc>
      </w:tr>
      <w:tr w:rsidR="00FC17BC" w:rsidRPr="00DF3006" w14:paraId="4607DBF7" w14:textId="77777777" w:rsidTr="00CC5BBF">
        <w:tc>
          <w:tcPr>
            <w:tcW w:w="2835" w:type="dxa"/>
          </w:tcPr>
          <w:p w14:paraId="0F6285F1" w14:textId="77777777" w:rsidR="00FC17BC" w:rsidRPr="00DF3006" w:rsidRDefault="00FC17BC" w:rsidP="008D6A1B">
            <w:pPr>
              <w:pStyle w:val="Normal1stpara"/>
              <w:spacing w:line="240" w:lineRule="auto"/>
              <w:rPr>
                <w:rFonts w:asciiTheme="minorHAnsi" w:hAnsiTheme="minorHAnsi" w:cstheme="minorHAnsi"/>
                <w:i/>
                <w:color w:val="414042" w:themeColor="text1"/>
                <w:sz w:val="20"/>
                <w:szCs w:val="20"/>
              </w:rPr>
            </w:pPr>
            <w:r w:rsidRPr="00DF3006">
              <w:rPr>
                <w:rFonts w:asciiTheme="minorHAnsi" w:hAnsiTheme="minorHAnsi" w:cstheme="minorHAnsi"/>
                <w:i/>
                <w:color w:val="414042" w:themeColor="text1"/>
                <w:sz w:val="20"/>
                <w:szCs w:val="20"/>
              </w:rPr>
              <w:t>Accrued employee benefits:</w:t>
            </w:r>
          </w:p>
        </w:tc>
        <w:tc>
          <w:tcPr>
            <w:tcW w:w="6648" w:type="dxa"/>
          </w:tcPr>
          <w:p w14:paraId="51B91FDA" w14:textId="77777777" w:rsidR="00FC17BC" w:rsidRPr="00DF3006" w:rsidRDefault="00FC17BC" w:rsidP="008D6A1B">
            <w:pPr>
              <w:pStyle w:val="Normal1stpara"/>
              <w:spacing w:line="240" w:lineRule="auto"/>
              <w:ind w:left="-103"/>
              <w:rPr>
                <w:rFonts w:asciiTheme="minorHAnsi" w:hAnsiTheme="minorHAnsi" w:cstheme="minorHAnsi"/>
                <w:color w:val="414042" w:themeColor="text1"/>
                <w:sz w:val="20"/>
                <w:szCs w:val="20"/>
              </w:rPr>
            </w:pPr>
            <w:r w:rsidRPr="00DF3006">
              <w:rPr>
                <w:rFonts w:asciiTheme="minorHAnsi" w:hAnsiTheme="minorHAnsi" w:cstheme="minorHAnsi"/>
                <w:color w:val="414042" w:themeColor="text1"/>
                <w:sz w:val="20"/>
                <w:szCs w:val="20"/>
              </w:rPr>
              <w:t>The decrease of $0.345M is primarily due to payment made in 2022-23 for entitlements owed to current and former casual employees (See Note 13).</w:t>
            </w:r>
          </w:p>
        </w:tc>
      </w:tr>
    </w:tbl>
    <w:p w14:paraId="368E708B" w14:textId="77777777" w:rsidR="00FC17BC" w:rsidRPr="00DF3006" w:rsidRDefault="00FC17BC" w:rsidP="00CC5BBF">
      <w:pPr>
        <w:rPr>
          <w:color w:val="414042" w:themeColor="text1"/>
        </w:rPr>
      </w:pPr>
    </w:p>
    <w:p w14:paraId="118047DC" w14:textId="77777777" w:rsidR="00FC17BC" w:rsidRPr="00DF3006" w:rsidRDefault="00FC17BC" w:rsidP="00FC17BC">
      <w:pPr>
        <w:pStyle w:val="Normalhanginglist105pt"/>
        <w:spacing w:line="240" w:lineRule="auto"/>
        <w:rPr>
          <w:rFonts w:cstheme="minorHAnsi"/>
          <w:color w:val="414042" w:themeColor="text1"/>
          <w:szCs w:val="21"/>
        </w:rPr>
      </w:pPr>
      <w:r w:rsidRPr="00DF3006">
        <w:rPr>
          <w:rFonts w:cstheme="minorHAnsi"/>
          <w:color w:val="414042" w:themeColor="text1"/>
          <w:szCs w:val="21"/>
        </w:rPr>
        <w:t>Note 19C:  Explanation of Major Variances – Statement of Cash Flows</w:t>
      </w:r>
    </w:p>
    <w:p w14:paraId="015181B7" w14:textId="77777777" w:rsidR="00FC17BC" w:rsidRPr="00DF3006" w:rsidRDefault="00FC17BC" w:rsidP="00FC17BC">
      <w:pPr>
        <w:pStyle w:val="Normalhanginglist105pt"/>
        <w:spacing w:line="240" w:lineRule="auto"/>
        <w:rPr>
          <w:rFonts w:cstheme="minorHAnsi"/>
          <w:b w:val="0"/>
          <w:color w:val="414042" w:themeColor="text1"/>
          <w:szCs w:val="21"/>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63"/>
      </w:tblGrid>
      <w:tr w:rsidR="00DF3006" w:rsidRPr="00DF3006" w14:paraId="515995B6" w14:textId="77777777" w:rsidTr="00CC5BBF">
        <w:tc>
          <w:tcPr>
            <w:tcW w:w="2835" w:type="dxa"/>
          </w:tcPr>
          <w:p w14:paraId="2EEA0533" w14:textId="77777777" w:rsidR="00FC17BC" w:rsidRPr="00DF3006" w:rsidRDefault="00FC17BC" w:rsidP="008D6A1B">
            <w:pPr>
              <w:pStyle w:val="Variences"/>
              <w:spacing w:before="60"/>
              <w:ind w:left="0" w:firstLine="0"/>
              <w:rPr>
                <w:rFonts w:cstheme="minorHAnsi"/>
                <w:i/>
                <w:color w:val="414042" w:themeColor="text1"/>
                <w:szCs w:val="20"/>
              </w:rPr>
            </w:pPr>
            <w:r w:rsidRPr="00DF3006">
              <w:rPr>
                <w:rFonts w:cstheme="minorHAnsi"/>
                <w:i/>
                <w:color w:val="414042" w:themeColor="text1"/>
                <w:szCs w:val="20"/>
              </w:rPr>
              <w:t>Grants and other contributions:</w:t>
            </w:r>
          </w:p>
        </w:tc>
        <w:tc>
          <w:tcPr>
            <w:tcW w:w="6663" w:type="dxa"/>
          </w:tcPr>
          <w:p w14:paraId="62D64673" w14:textId="77777777" w:rsidR="00FC17BC" w:rsidRPr="00DF3006" w:rsidRDefault="00FC17BC" w:rsidP="008D6A1B">
            <w:pPr>
              <w:pStyle w:val="Variences"/>
              <w:spacing w:before="60"/>
              <w:ind w:left="-108" w:firstLine="0"/>
              <w:rPr>
                <w:rFonts w:cstheme="minorHAnsi"/>
                <w:color w:val="414042" w:themeColor="text1"/>
                <w:szCs w:val="20"/>
                <w:lang w:eastAsia="en-US"/>
              </w:rPr>
            </w:pPr>
            <w:r w:rsidRPr="00DF3006">
              <w:rPr>
                <w:rFonts w:cstheme="minorHAnsi"/>
                <w:color w:val="414042" w:themeColor="text1"/>
                <w:szCs w:val="20"/>
                <w:lang w:eastAsia="en-US"/>
              </w:rPr>
              <w:t>The increase of $1.220M is mainly due to the impact of $0.950M to implement the recommendations from the Commission of Inquiry and wage adjustments.</w:t>
            </w:r>
          </w:p>
        </w:tc>
      </w:tr>
      <w:tr w:rsidR="00DF3006" w:rsidRPr="00DF3006" w14:paraId="529B1BAC" w14:textId="77777777" w:rsidTr="00CC5BBF">
        <w:trPr>
          <w:trHeight w:val="455"/>
        </w:trPr>
        <w:tc>
          <w:tcPr>
            <w:tcW w:w="2835" w:type="dxa"/>
          </w:tcPr>
          <w:p w14:paraId="74D146DF" w14:textId="77777777" w:rsidR="00FC17BC" w:rsidRPr="00DF3006" w:rsidRDefault="00FC17BC" w:rsidP="008D6A1B">
            <w:pPr>
              <w:pStyle w:val="Variences"/>
              <w:spacing w:before="60"/>
              <w:ind w:left="0" w:firstLine="0"/>
              <w:rPr>
                <w:rFonts w:cstheme="minorHAnsi"/>
                <w:i/>
                <w:color w:val="414042" w:themeColor="text1"/>
                <w:szCs w:val="20"/>
              </w:rPr>
            </w:pPr>
            <w:r w:rsidRPr="00DF3006">
              <w:rPr>
                <w:rFonts w:cstheme="minorHAnsi"/>
                <w:i/>
                <w:color w:val="414042" w:themeColor="text1"/>
                <w:szCs w:val="20"/>
              </w:rPr>
              <w:t>Interest receipts:</w:t>
            </w:r>
          </w:p>
        </w:tc>
        <w:tc>
          <w:tcPr>
            <w:tcW w:w="6663" w:type="dxa"/>
          </w:tcPr>
          <w:p w14:paraId="1B98DE76" w14:textId="5F034975" w:rsidR="00FC17BC" w:rsidRPr="00DF3006" w:rsidRDefault="00FC17BC" w:rsidP="008D6A1B">
            <w:pPr>
              <w:pStyle w:val="Variences"/>
              <w:spacing w:before="60"/>
              <w:ind w:left="-108" w:firstLine="5"/>
              <w:rPr>
                <w:rFonts w:cstheme="minorHAnsi"/>
                <w:color w:val="414042" w:themeColor="text1"/>
                <w:szCs w:val="20"/>
              </w:rPr>
            </w:pPr>
            <w:r w:rsidRPr="00DF3006">
              <w:rPr>
                <w:rFonts w:cstheme="minorHAnsi"/>
                <w:color w:val="414042" w:themeColor="text1"/>
                <w:szCs w:val="20"/>
              </w:rPr>
              <w:t>The increase of $0.763M is due to interest rate increase</w:t>
            </w:r>
            <w:r w:rsidR="00573035" w:rsidRPr="00DF3006">
              <w:rPr>
                <w:rFonts w:cstheme="minorHAnsi"/>
                <w:color w:val="414042" w:themeColor="text1"/>
                <w:szCs w:val="20"/>
              </w:rPr>
              <w:t>s</w:t>
            </w:r>
            <w:r w:rsidRPr="00DF3006">
              <w:rPr>
                <w:rFonts w:cstheme="minorHAnsi"/>
                <w:color w:val="414042" w:themeColor="text1"/>
                <w:szCs w:val="20"/>
              </w:rPr>
              <w:t xml:space="preserve"> across 2022-23.</w:t>
            </w:r>
          </w:p>
        </w:tc>
      </w:tr>
      <w:tr w:rsidR="00DF3006" w:rsidRPr="00DF3006" w14:paraId="6529F9A1" w14:textId="77777777" w:rsidTr="00CC5BBF">
        <w:tc>
          <w:tcPr>
            <w:tcW w:w="2835" w:type="dxa"/>
          </w:tcPr>
          <w:p w14:paraId="23818847" w14:textId="77777777" w:rsidR="00FC17BC" w:rsidRPr="00DF3006" w:rsidRDefault="00FC17BC" w:rsidP="008D6A1B">
            <w:pPr>
              <w:pStyle w:val="Variences"/>
              <w:spacing w:before="60"/>
              <w:ind w:left="0" w:firstLine="0"/>
              <w:rPr>
                <w:rFonts w:cstheme="minorHAnsi"/>
                <w:i/>
                <w:color w:val="414042" w:themeColor="text1"/>
                <w:szCs w:val="20"/>
              </w:rPr>
            </w:pPr>
            <w:r w:rsidRPr="00DF3006">
              <w:rPr>
                <w:rFonts w:cstheme="minorHAnsi"/>
                <w:i/>
                <w:color w:val="414042" w:themeColor="text1"/>
                <w:szCs w:val="20"/>
              </w:rPr>
              <w:t>Employee expenses:</w:t>
            </w:r>
          </w:p>
        </w:tc>
        <w:tc>
          <w:tcPr>
            <w:tcW w:w="6663" w:type="dxa"/>
          </w:tcPr>
          <w:p w14:paraId="3B55C9C2" w14:textId="77777777" w:rsidR="00FC17BC" w:rsidRPr="00DF3006" w:rsidRDefault="00FC17BC" w:rsidP="008D6A1B">
            <w:pPr>
              <w:spacing w:before="60" w:after="0"/>
              <w:ind w:left="-106"/>
              <w:rPr>
                <w:rFonts w:asciiTheme="minorHAnsi" w:hAnsiTheme="minorHAnsi" w:cstheme="minorHAnsi"/>
                <w:bCs/>
                <w:color w:val="414042" w:themeColor="text1"/>
              </w:rPr>
            </w:pPr>
            <w:r w:rsidRPr="00DF3006">
              <w:rPr>
                <w:rFonts w:asciiTheme="minorHAnsi" w:hAnsiTheme="minorHAnsi" w:cstheme="minorHAnsi"/>
                <w:bCs/>
                <w:color w:val="414042" w:themeColor="text1"/>
              </w:rPr>
              <w:t>The decrease of $2.534M is due to increased employee vacancies in a tight labour market.</w:t>
            </w:r>
          </w:p>
        </w:tc>
      </w:tr>
      <w:tr w:rsidR="00DF3006" w:rsidRPr="00DF3006" w14:paraId="346000B1" w14:textId="77777777" w:rsidTr="00CC5BBF">
        <w:tc>
          <w:tcPr>
            <w:tcW w:w="2835" w:type="dxa"/>
          </w:tcPr>
          <w:p w14:paraId="165A93BF" w14:textId="77777777" w:rsidR="00FC17BC" w:rsidRPr="00DF3006" w:rsidRDefault="00FC17BC" w:rsidP="008D6A1B">
            <w:pPr>
              <w:pStyle w:val="Variences"/>
              <w:spacing w:before="60"/>
              <w:ind w:left="0" w:firstLine="0"/>
              <w:rPr>
                <w:rFonts w:cstheme="minorHAnsi"/>
                <w:i/>
                <w:color w:val="414042" w:themeColor="text1"/>
                <w:szCs w:val="20"/>
              </w:rPr>
            </w:pPr>
            <w:r w:rsidRPr="00DF3006">
              <w:rPr>
                <w:rFonts w:cstheme="minorHAnsi"/>
                <w:i/>
                <w:color w:val="414042" w:themeColor="text1"/>
                <w:szCs w:val="20"/>
              </w:rPr>
              <w:t>Supplies and services</w:t>
            </w:r>
          </w:p>
        </w:tc>
        <w:tc>
          <w:tcPr>
            <w:tcW w:w="6663" w:type="dxa"/>
          </w:tcPr>
          <w:p w14:paraId="2BE2BC56" w14:textId="77777777" w:rsidR="00FC17BC" w:rsidRPr="00DF3006" w:rsidRDefault="00FC17BC" w:rsidP="008D6A1B">
            <w:pPr>
              <w:spacing w:before="60" w:after="0"/>
              <w:ind w:left="-106"/>
              <w:rPr>
                <w:rFonts w:asciiTheme="minorHAnsi" w:hAnsiTheme="minorHAnsi" w:cstheme="minorHAnsi"/>
                <w:bCs/>
                <w:color w:val="414042" w:themeColor="text1"/>
              </w:rPr>
            </w:pPr>
            <w:r w:rsidRPr="00DF3006">
              <w:rPr>
                <w:rFonts w:asciiTheme="minorHAnsi" w:hAnsiTheme="minorHAnsi" w:cstheme="minorHAnsi"/>
                <w:bCs/>
                <w:color w:val="414042" w:themeColor="text1"/>
              </w:rPr>
              <w:t xml:space="preserve">The decrease of $0.332M is due to reduced expenditure </w:t>
            </w:r>
            <w:proofErr w:type="gramStart"/>
            <w:r w:rsidRPr="00DF3006">
              <w:rPr>
                <w:rFonts w:asciiTheme="minorHAnsi" w:hAnsiTheme="minorHAnsi" w:cstheme="minorHAnsi"/>
                <w:bCs/>
                <w:color w:val="414042" w:themeColor="text1"/>
              </w:rPr>
              <w:t>as a result of</w:t>
            </w:r>
            <w:proofErr w:type="gramEnd"/>
            <w:r w:rsidRPr="00DF3006">
              <w:rPr>
                <w:rFonts w:asciiTheme="minorHAnsi" w:hAnsiTheme="minorHAnsi" w:cstheme="minorHAnsi"/>
                <w:bCs/>
                <w:color w:val="414042" w:themeColor="text1"/>
              </w:rPr>
              <w:t xml:space="preserve"> increased employee vacancies due to market pressures and reduced operating expenditure as result of capacity issues.</w:t>
            </w:r>
          </w:p>
        </w:tc>
      </w:tr>
      <w:tr w:rsidR="00FC17BC" w:rsidRPr="00DF3006" w14:paraId="6A11BA4C" w14:textId="77777777" w:rsidTr="00CC5BBF">
        <w:tc>
          <w:tcPr>
            <w:tcW w:w="2835" w:type="dxa"/>
          </w:tcPr>
          <w:p w14:paraId="62074AC9" w14:textId="77777777" w:rsidR="00FC17BC" w:rsidRPr="00DF3006" w:rsidRDefault="00FC17BC" w:rsidP="008D6A1B">
            <w:pPr>
              <w:pStyle w:val="Variences"/>
              <w:spacing w:before="60"/>
              <w:ind w:left="0" w:firstLine="0"/>
              <w:rPr>
                <w:rFonts w:cstheme="minorHAnsi"/>
                <w:i/>
                <w:color w:val="414042" w:themeColor="text1"/>
                <w:szCs w:val="20"/>
              </w:rPr>
            </w:pPr>
            <w:r w:rsidRPr="00DF3006">
              <w:rPr>
                <w:rFonts w:cstheme="minorHAnsi"/>
                <w:i/>
                <w:color w:val="414042" w:themeColor="text1"/>
                <w:szCs w:val="20"/>
              </w:rPr>
              <w:t xml:space="preserve">Sales of property, </w:t>
            </w:r>
            <w:proofErr w:type="gramStart"/>
            <w:r w:rsidRPr="00DF3006">
              <w:rPr>
                <w:rFonts w:cstheme="minorHAnsi"/>
                <w:i/>
                <w:color w:val="414042" w:themeColor="text1"/>
                <w:szCs w:val="20"/>
              </w:rPr>
              <w:t>plant</w:t>
            </w:r>
            <w:proofErr w:type="gramEnd"/>
            <w:r w:rsidRPr="00DF3006">
              <w:rPr>
                <w:rFonts w:cstheme="minorHAnsi"/>
                <w:i/>
                <w:color w:val="414042" w:themeColor="text1"/>
                <w:szCs w:val="20"/>
              </w:rPr>
              <w:t xml:space="preserve"> and equipment:</w:t>
            </w:r>
          </w:p>
        </w:tc>
        <w:tc>
          <w:tcPr>
            <w:tcW w:w="6663" w:type="dxa"/>
          </w:tcPr>
          <w:p w14:paraId="4CCCDB9B" w14:textId="77777777" w:rsidR="00FC17BC" w:rsidRPr="00DF3006" w:rsidRDefault="00FC17BC" w:rsidP="008D6A1B">
            <w:pPr>
              <w:spacing w:before="60" w:after="0"/>
              <w:ind w:left="-106"/>
              <w:rPr>
                <w:rFonts w:asciiTheme="minorHAnsi" w:hAnsiTheme="minorHAnsi" w:cstheme="minorHAnsi"/>
                <w:color w:val="414042" w:themeColor="text1"/>
              </w:rPr>
            </w:pPr>
            <w:r w:rsidRPr="00DF3006">
              <w:rPr>
                <w:rFonts w:asciiTheme="minorHAnsi" w:hAnsiTheme="minorHAnsi" w:cstheme="minorHAnsi"/>
                <w:bCs/>
                <w:color w:val="414042" w:themeColor="text1"/>
              </w:rPr>
              <w:t>The increase of $0.375M is due to higher than anticipated gains on the sale of motor vehicles.</w:t>
            </w:r>
          </w:p>
        </w:tc>
      </w:tr>
    </w:tbl>
    <w:p w14:paraId="357883ED" w14:textId="77777777" w:rsidR="00FC17BC" w:rsidRPr="00DF3006" w:rsidRDefault="00FC17BC" w:rsidP="00FC17BC">
      <w:pPr>
        <w:rPr>
          <w:color w:val="414042" w:themeColor="text1"/>
          <w:lang w:eastAsia="en-AU"/>
        </w:rPr>
      </w:pPr>
    </w:p>
    <w:p w14:paraId="6B69E9FF" w14:textId="77777777" w:rsidR="00FC17BC" w:rsidRPr="00DF3006" w:rsidRDefault="00FC17BC" w:rsidP="00FC17BC">
      <w:pPr>
        <w:rPr>
          <w:color w:val="414042" w:themeColor="text1"/>
          <w:lang w:eastAsia="en-AU"/>
        </w:rPr>
        <w:sectPr w:rsidR="00FC17BC" w:rsidRPr="00DF3006" w:rsidSect="00C77834">
          <w:headerReference w:type="even" r:id="rId341"/>
          <w:headerReference w:type="default" r:id="rId342"/>
          <w:footerReference w:type="default" r:id="rId343"/>
          <w:headerReference w:type="first" r:id="rId344"/>
          <w:pgSz w:w="11906" w:h="16838"/>
          <w:pgMar w:top="2155" w:right="1134" w:bottom="964" w:left="1134" w:header="720" w:footer="283" w:gutter="0"/>
          <w:cols w:space="708"/>
          <w:docGrid w:linePitch="360"/>
        </w:sectPr>
      </w:pPr>
    </w:p>
    <w:bookmarkEnd w:id="1941"/>
    <w:bookmarkEnd w:id="1948"/>
    <w:bookmarkEnd w:id="1949"/>
    <w:p w14:paraId="6E650E67" w14:textId="6E0816B3" w:rsidR="008E121E" w:rsidRPr="00DF3006" w:rsidRDefault="008E121E" w:rsidP="008E121E">
      <w:pPr>
        <w:jc w:val="both"/>
        <w:rPr>
          <w:rFonts w:ascii="Calibri" w:eastAsia="Calibri" w:hAnsi="Calibri" w:cs="Calibri"/>
          <w:color w:val="414042" w:themeColor="text1"/>
          <w:szCs w:val="20"/>
        </w:rPr>
      </w:pPr>
      <w:r w:rsidRPr="00DF3006">
        <w:rPr>
          <w:rFonts w:ascii="Calibri" w:eastAsia="Calibri" w:hAnsi="Calibri" w:cs="Calibri"/>
          <w:color w:val="414042" w:themeColor="text1"/>
          <w:szCs w:val="20"/>
        </w:rPr>
        <w:t xml:space="preserve">These </w:t>
      </w:r>
      <w:proofErr w:type="gramStart"/>
      <w:r w:rsidRPr="00DF3006">
        <w:rPr>
          <w:rFonts w:ascii="Calibri" w:eastAsia="Calibri" w:hAnsi="Calibri" w:cs="Calibri"/>
          <w:color w:val="414042" w:themeColor="text1"/>
          <w:szCs w:val="20"/>
        </w:rPr>
        <w:t>general purpose</w:t>
      </w:r>
      <w:proofErr w:type="gramEnd"/>
      <w:r w:rsidRPr="00DF3006">
        <w:rPr>
          <w:rFonts w:ascii="Calibri" w:eastAsia="Calibri" w:hAnsi="Calibri" w:cs="Calibri"/>
          <w:color w:val="414042" w:themeColor="text1"/>
          <w:szCs w:val="20"/>
        </w:rPr>
        <w:t xml:space="preserve"> financial statements have been prepared pursuant to s.62(1) of the </w:t>
      </w:r>
      <w:r w:rsidRPr="00DF3006">
        <w:rPr>
          <w:rFonts w:ascii="Calibri" w:eastAsia="Calibri" w:hAnsi="Calibri" w:cs="Calibri"/>
          <w:i/>
          <w:color w:val="414042" w:themeColor="text1"/>
          <w:szCs w:val="20"/>
        </w:rPr>
        <w:t>Financial Accountability Act 2009</w:t>
      </w:r>
      <w:r w:rsidRPr="00DF3006">
        <w:rPr>
          <w:rFonts w:ascii="Calibri" w:eastAsia="Calibri" w:hAnsi="Calibri" w:cs="Calibri"/>
          <w:color w:val="414042" w:themeColor="text1"/>
          <w:szCs w:val="20"/>
        </w:rPr>
        <w:t xml:space="preserve"> (the Act), section 39 of the </w:t>
      </w:r>
      <w:r w:rsidRPr="00DF3006">
        <w:rPr>
          <w:rFonts w:ascii="Calibri" w:eastAsia="Calibri" w:hAnsi="Calibri" w:cs="Calibri"/>
          <w:i/>
          <w:color w:val="414042" w:themeColor="text1"/>
          <w:szCs w:val="20"/>
        </w:rPr>
        <w:t>Financial and Performance Management Standard 2019</w:t>
      </w:r>
      <w:r w:rsidRPr="00DF3006">
        <w:rPr>
          <w:rFonts w:ascii="Calibri" w:eastAsia="Calibri" w:hAnsi="Calibri" w:cs="Calibri"/>
          <w:color w:val="414042" w:themeColor="text1"/>
          <w:szCs w:val="20"/>
        </w:rPr>
        <w:t xml:space="preserve"> and other prescribed requirements. In accordance with s.62(1)(b) of the Act we certify that in our opinion:</w:t>
      </w:r>
    </w:p>
    <w:p w14:paraId="35E67D3B" w14:textId="12438C63" w:rsidR="008E121E" w:rsidRPr="00DF3006" w:rsidRDefault="008E121E" w:rsidP="008E121E">
      <w:pPr>
        <w:jc w:val="both"/>
        <w:rPr>
          <w:rFonts w:ascii="Calibri" w:eastAsia="Calibri" w:hAnsi="Calibri" w:cs="Calibri"/>
          <w:color w:val="414042" w:themeColor="text1"/>
          <w:szCs w:val="20"/>
        </w:rPr>
      </w:pPr>
    </w:p>
    <w:p w14:paraId="665F04FE" w14:textId="29B4DC9D" w:rsidR="008E121E" w:rsidRPr="00DF3006" w:rsidRDefault="008E121E" w:rsidP="008E121E">
      <w:pPr>
        <w:numPr>
          <w:ilvl w:val="0"/>
          <w:numId w:val="64"/>
        </w:numPr>
        <w:spacing w:after="0"/>
        <w:ind w:left="567" w:hanging="425"/>
        <w:contextualSpacing/>
        <w:jc w:val="both"/>
        <w:rPr>
          <w:rFonts w:eastAsia="Calibri" w:cs="Calibri"/>
          <w:color w:val="414042" w:themeColor="text1"/>
        </w:rPr>
      </w:pPr>
      <w:r w:rsidRPr="00DF3006">
        <w:rPr>
          <w:rFonts w:eastAsia="Calibri" w:cs="Calibri"/>
          <w:color w:val="414042" w:themeColor="text1"/>
        </w:rPr>
        <w:t>the prescribed requirements in relation to the establishment and keeping of accounts and for establishing and maintaining the statutory body's resource management systems have been complied with in all material respects; and</w:t>
      </w:r>
    </w:p>
    <w:p w14:paraId="664F65D4" w14:textId="475BFE3D" w:rsidR="008E121E" w:rsidRPr="00DF3006" w:rsidRDefault="008E121E" w:rsidP="008E121E">
      <w:pPr>
        <w:jc w:val="both"/>
        <w:rPr>
          <w:rFonts w:ascii="Calibri" w:eastAsia="Calibri" w:hAnsi="Calibri" w:cs="Calibri"/>
          <w:color w:val="414042" w:themeColor="text1"/>
          <w:szCs w:val="20"/>
        </w:rPr>
      </w:pPr>
    </w:p>
    <w:p w14:paraId="0F0262E4" w14:textId="6AE6CE96" w:rsidR="008E121E" w:rsidRPr="00DF3006" w:rsidRDefault="008E121E" w:rsidP="008E121E">
      <w:pPr>
        <w:numPr>
          <w:ilvl w:val="0"/>
          <w:numId w:val="64"/>
        </w:numPr>
        <w:spacing w:after="0"/>
        <w:ind w:left="567" w:hanging="425"/>
        <w:contextualSpacing/>
        <w:jc w:val="both"/>
        <w:rPr>
          <w:rFonts w:eastAsia="Calibri" w:cs="Calibri"/>
          <w:color w:val="414042" w:themeColor="text1"/>
        </w:rPr>
      </w:pPr>
      <w:r w:rsidRPr="00DF3006">
        <w:rPr>
          <w:rFonts w:eastAsia="Calibri" w:cs="Calibri"/>
          <w:color w:val="414042" w:themeColor="text1"/>
        </w:rPr>
        <w:t xml:space="preserve">the financial statements have been drawn up to present a true and fair view, in accordance with prescribed accounting standards, of the transactions of the Crime and Corruption Commission for the financial year ended 30 June 2023 and of the financial position of the Commission at the end of that year; and </w:t>
      </w:r>
    </w:p>
    <w:p w14:paraId="69987561" w14:textId="7DAB67DB" w:rsidR="008E121E" w:rsidRPr="00DF3006" w:rsidRDefault="008E121E" w:rsidP="008E121E">
      <w:pPr>
        <w:ind w:firstLine="357"/>
        <w:contextualSpacing/>
        <w:jc w:val="both"/>
        <w:rPr>
          <w:rFonts w:eastAsia="Calibri" w:cs="Calibri"/>
          <w:color w:val="414042" w:themeColor="text1"/>
        </w:rPr>
      </w:pPr>
    </w:p>
    <w:p w14:paraId="18DBFF0E" w14:textId="621DCB14" w:rsidR="008E121E" w:rsidRPr="00DF3006" w:rsidRDefault="008E121E" w:rsidP="008E121E">
      <w:pPr>
        <w:jc w:val="both"/>
        <w:rPr>
          <w:rFonts w:ascii="Calibri" w:eastAsia="Calibri" w:hAnsi="Calibri" w:cs="Calibri"/>
          <w:color w:val="414042" w:themeColor="text1"/>
          <w:szCs w:val="20"/>
        </w:rPr>
      </w:pPr>
      <w:r w:rsidRPr="00DF3006">
        <w:rPr>
          <w:rFonts w:ascii="Calibri" w:eastAsia="Calibri" w:hAnsi="Calibri" w:cs="Calibri"/>
          <w:color w:val="414042" w:themeColor="text1"/>
          <w:szCs w:val="20"/>
        </w:rPr>
        <w:t xml:space="preserve">We acknowledge responsibility under s.7 and s.11 of the </w:t>
      </w:r>
      <w:r w:rsidRPr="00DF3006">
        <w:rPr>
          <w:rFonts w:ascii="Calibri" w:eastAsia="Calibri" w:hAnsi="Calibri" w:cs="Calibri"/>
          <w:i/>
          <w:color w:val="414042" w:themeColor="text1"/>
          <w:szCs w:val="20"/>
        </w:rPr>
        <w:t>Financial and Performance Management Standard 2019</w:t>
      </w:r>
      <w:r w:rsidRPr="00DF3006">
        <w:rPr>
          <w:rFonts w:ascii="Calibri" w:eastAsia="Calibri" w:hAnsi="Calibri" w:cs="Calibri"/>
          <w:color w:val="414042" w:themeColor="text1"/>
          <w:szCs w:val="20"/>
        </w:rPr>
        <w:t xml:space="preserve"> for the establishment and maintenance, in all material respects, of an appropriate and effective system of internal controls and risk management processes with respect to financial reporting throughout the reporting period.  </w:t>
      </w:r>
    </w:p>
    <w:p w14:paraId="4AD47661" w14:textId="77777777" w:rsidR="008E121E" w:rsidRPr="00DF3006" w:rsidRDefault="008E121E" w:rsidP="008E121E">
      <w:pPr>
        <w:rPr>
          <w:rFonts w:ascii="Calibri" w:eastAsia="Calibri" w:hAnsi="Calibri" w:cs="Calibri"/>
          <w:color w:val="414042" w:themeColor="text1"/>
          <w:szCs w:val="20"/>
        </w:rPr>
      </w:pPr>
    </w:p>
    <w:p w14:paraId="53CE4D37" w14:textId="77777777" w:rsidR="008E121E" w:rsidRPr="00DF3006" w:rsidRDefault="008E121E" w:rsidP="008E121E">
      <w:pPr>
        <w:rPr>
          <w:rFonts w:ascii="Calibri" w:eastAsia="Calibri" w:hAnsi="Calibri" w:cs="Calibri"/>
          <w:color w:val="414042" w:themeColor="text1"/>
          <w:szCs w:val="20"/>
        </w:rPr>
      </w:pPr>
    </w:p>
    <w:p w14:paraId="2C7518FD" w14:textId="77777777" w:rsidR="008E121E" w:rsidRPr="00DF3006" w:rsidRDefault="008E121E" w:rsidP="008E121E">
      <w:pPr>
        <w:tabs>
          <w:tab w:val="center" w:pos="1080"/>
          <w:tab w:val="center" w:pos="4500"/>
        </w:tabs>
        <w:rPr>
          <w:rFonts w:ascii="Calibri" w:eastAsia="Calibri" w:hAnsi="Calibri" w:cs="Calibri"/>
          <w:color w:val="414042" w:themeColor="text1"/>
          <w:szCs w:val="20"/>
        </w:rPr>
      </w:pPr>
    </w:p>
    <w:p w14:paraId="234C6BDE" w14:textId="77777777" w:rsidR="008E121E" w:rsidRPr="00DF3006" w:rsidRDefault="008E121E" w:rsidP="008E121E">
      <w:pPr>
        <w:tabs>
          <w:tab w:val="center" w:pos="1080"/>
          <w:tab w:val="center" w:pos="4500"/>
        </w:tabs>
        <w:rPr>
          <w:rFonts w:ascii="Calibri" w:eastAsia="Calibri" w:hAnsi="Calibri" w:cs="Calibri"/>
          <w:color w:val="414042" w:themeColor="text1"/>
          <w:szCs w:val="20"/>
        </w:rPr>
      </w:pPr>
    </w:p>
    <w:p w14:paraId="45D2E1D7" w14:textId="77777777" w:rsidR="008E121E" w:rsidRPr="00DF3006" w:rsidRDefault="008E121E" w:rsidP="008E121E">
      <w:pPr>
        <w:tabs>
          <w:tab w:val="center" w:pos="1080"/>
          <w:tab w:val="center" w:pos="4500"/>
        </w:tabs>
        <w:rPr>
          <w:rFonts w:ascii="Calibri" w:eastAsia="Calibri" w:hAnsi="Calibri" w:cs="Calibri"/>
          <w:color w:val="414042" w:themeColor="text1"/>
          <w:szCs w:val="20"/>
        </w:rPr>
      </w:pP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p>
    <w:p w14:paraId="462EC5CE" w14:textId="77777777" w:rsidR="008E121E" w:rsidRPr="00DF3006" w:rsidRDefault="008E121E" w:rsidP="008E121E">
      <w:pPr>
        <w:tabs>
          <w:tab w:val="center" w:pos="1080"/>
          <w:tab w:val="center" w:pos="4678"/>
        </w:tabs>
        <w:rPr>
          <w:rFonts w:ascii="Calibri" w:eastAsia="Calibri" w:hAnsi="Calibri" w:cs="Calibri"/>
          <w:color w:val="414042" w:themeColor="text1"/>
          <w:szCs w:val="20"/>
        </w:rPr>
      </w:pPr>
      <w:r w:rsidRPr="00DF3006">
        <w:rPr>
          <w:rFonts w:ascii="Calibri" w:eastAsia="Calibri" w:hAnsi="Calibri" w:cs="Calibri"/>
          <w:color w:val="414042" w:themeColor="text1"/>
          <w:szCs w:val="20"/>
        </w:rPr>
        <w:br/>
      </w:r>
      <w:r w:rsidRPr="00DF3006">
        <w:rPr>
          <w:rFonts w:ascii="Calibri" w:eastAsia="Calibri" w:hAnsi="Calibri" w:cs="Calibri"/>
          <w:color w:val="414042" w:themeColor="text1"/>
          <w:szCs w:val="20"/>
        </w:rPr>
        <w:br/>
      </w:r>
      <w:r w:rsidRPr="00DF3006">
        <w:rPr>
          <w:rFonts w:ascii="Calibri" w:eastAsia="Calibri" w:hAnsi="Calibri" w:cs="Calibri"/>
          <w:color w:val="414042" w:themeColor="text1"/>
          <w:szCs w:val="20"/>
        </w:rPr>
        <w:br/>
        <w:t>Bruce Barbour</w:t>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p>
    <w:p w14:paraId="0B673B5E" w14:textId="111C65A2" w:rsidR="008E121E" w:rsidRPr="00DF3006" w:rsidRDefault="008E121E" w:rsidP="008E121E">
      <w:pPr>
        <w:tabs>
          <w:tab w:val="center" w:pos="1080"/>
          <w:tab w:val="center" w:pos="4500"/>
        </w:tabs>
        <w:rPr>
          <w:rFonts w:ascii="Calibri" w:eastAsia="Calibri" w:hAnsi="Calibri" w:cs="Calibri"/>
          <w:color w:val="414042" w:themeColor="text1"/>
          <w:szCs w:val="20"/>
        </w:rPr>
      </w:pPr>
      <w:r w:rsidRPr="00DF3006">
        <w:rPr>
          <w:rFonts w:ascii="Calibri" w:eastAsia="Calibri" w:hAnsi="Calibri" w:cs="Calibri"/>
          <w:color w:val="414042" w:themeColor="text1"/>
          <w:szCs w:val="20"/>
        </w:rPr>
        <w:t>Chairperson</w:t>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t xml:space="preserve">             </w:t>
      </w:r>
      <w:r w:rsidR="00D65979">
        <w:rPr>
          <w:rFonts w:ascii="Calibri" w:eastAsia="Calibri" w:hAnsi="Calibri" w:cs="Calibri"/>
          <w:color w:val="414042" w:themeColor="text1"/>
          <w:szCs w:val="20"/>
        </w:rPr>
        <w:tab/>
      </w:r>
      <w:r w:rsidRPr="00DF3006">
        <w:rPr>
          <w:rFonts w:ascii="Calibri" w:eastAsia="Calibri" w:hAnsi="Calibri" w:cs="Calibri"/>
          <w:color w:val="414042" w:themeColor="text1"/>
          <w:szCs w:val="20"/>
        </w:rPr>
        <w:t>Chief Executive Officer</w:t>
      </w:r>
    </w:p>
    <w:p w14:paraId="125D3C39" w14:textId="77777777" w:rsidR="008E121E" w:rsidRPr="00DF3006" w:rsidRDefault="008E121E" w:rsidP="008E121E">
      <w:pPr>
        <w:tabs>
          <w:tab w:val="center" w:pos="1080"/>
          <w:tab w:val="center" w:pos="4500"/>
        </w:tabs>
        <w:ind w:right="-286"/>
        <w:rPr>
          <w:rFonts w:ascii="Calibri" w:eastAsia="Calibri" w:hAnsi="Calibri" w:cs="Calibri"/>
          <w:color w:val="414042" w:themeColor="text1"/>
          <w:szCs w:val="20"/>
        </w:rPr>
      </w:pPr>
      <w:r w:rsidRPr="00DF3006">
        <w:rPr>
          <w:rFonts w:ascii="Calibri" w:eastAsia="Calibri" w:hAnsi="Calibri" w:cs="Calibri"/>
          <w:color w:val="414042" w:themeColor="text1"/>
          <w:szCs w:val="20"/>
        </w:rPr>
        <w:t xml:space="preserve">Crime and Corruption Commission </w:t>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t>Crime and Corruption Commission</w:t>
      </w:r>
    </w:p>
    <w:p w14:paraId="1DDC1D97" w14:textId="77777777" w:rsidR="008E121E" w:rsidRPr="00DF3006" w:rsidRDefault="008E121E" w:rsidP="008E121E">
      <w:pPr>
        <w:tabs>
          <w:tab w:val="center" w:pos="1080"/>
          <w:tab w:val="center" w:pos="4500"/>
        </w:tabs>
        <w:rPr>
          <w:rFonts w:ascii="Calibri" w:eastAsia="Calibri" w:hAnsi="Calibri" w:cs="Calibri"/>
          <w:color w:val="414042" w:themeColor="text1"/>
          <w:szCs w:val="20"/>
        </w:rPr>
      </w:pPr>
      <w:r w:rsidRPr="00DF3006">
        <w:rPr>
          <w:rFonts w:ascii="Calibri" w:eastAsia="Calibri" w:hAnsi="Calibri" w:cs="Calibri"/>
          <w:color w:val="414042" w:themeColor="text1"/>
          <w:szCs w:val="20"/>
        </w:rPr>
        <w:t>Date: 28 August 2023</w:t>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t>Date: 28 August 2023</w:t>
      </w:r>
    </w:p>
    <w:p w14:paraId="2067FD41" w14:textId="77777777" w:rsidR="008E121E" w:rsidRPr="00DF3006" w:rsidRDefault="008E121E" w:rsidP="008E121E">
      <w:pPr>
        <w:rPr>
          <w:rFonts w:ascii="Calibri" w:eastAsia="Calibri" w:hAnsi="Calibri" w:cs="Calibri"/>
          <w:color w:val="414042" w:themeColor="text1"/>
          <w:szCs w:val="20"/>
        </w:rPr>
      </w:pPr>
    </w:p>
    <w:p w14:paraId="506B6075" w14:textId="77777777" w:rsidR="008E121E" w:rsidRPr="00DF3006" w:rsidRDefault="008E121E" w:rsidP="008E121E">
      <w:pPr>
        <w:rPr>
          <w:rFonts w:ascii="Calibri" w:eastAsia="Calibri" w:hAnsi="Calibri" w:cs="Calibri"/>
          <w:color w:val="414042" w:themeColor="text1"/>
          <w:szCs w:val="20"/>
        </w:rPr>
      </w:pPr>
    </w:p>
    <w:p w14:paraId="42604B09" w14:textId="77777777" w:rsidR="008E121E" w:rsidRPr="00DF3006" w:rsidRDefault="008E121E" w:rsidP="008E121E">
      <w:pPr>
        <w:rPr>
          <w:rFonts w:ascii="Calibri" w:eastAsia="Calibri" w:hAnsi="Calibri" w:cs="Calibri"/>
          <w:color w:val="414042" w:themeColor="text1"/>
          <w:szCs w:val="20"/>
        </w:rPr>
      </w:pPr>
    </w:p>
    <w:p w14:paraId="032B6CA5" w14:textId="77777777" w:rsidR="008E121E" w:rsidRPr="00DF3006" w:rsidRDefault="008E121E" w:rsidP="008E121E">
      <w:pPr>
        <w:rPr>
          <w:rFonts w:ascii="Calibri" w:eastAsia="Calibri" w:hAnsi="Calibri" w:cs="Calibri"/>
          <w:color w:val="414042" w:themeColor="text1"/>
          <w:szCs w:val="20"/>
        </w:rPr>
      </w:pPr>
    </w:p>
    <w:p w14:paraId="33F39749" w14:textId="77777777" w:rsidR="008E121E" w:rsidRPr="00DF3006" w:rsidRDefault="008E121E" w:rsidP="008E121E">
      <w:pPr>
        <w:rPr>
          <w:rFonts w:ascii="Calibri" w:eastAsia="Calibri" w:hAnsi="Calibri" w:cs="Calibri"/>
          <w:color w:val="414042" w:themeColor="text1"/>
          <w:szCs w:val="20"/>
        </w:rPr>
      </w:pPr>
    </w:p>
    <w:p w14:paraId="22FF9ED8" w14:textId="77777777" w:rsidR="008E121E" w:rsidRPr="00DF3006" w:rsidRDefault="008E121E" w:rsidP="008E121E">
      <w:pPr>
        <w:rPr>
          <w:rFonts w:ascii="Calibri" w:eastAsia="Calibri" w:hAnsi="Calibri" w:cs="Calibri"/>
          <w:color w:val="414042" w:themeColor="text1"/>
          <w:szCs w:val="20"/>
        </w:rPr>
      </w:pPr>
      <w:r w:rsidRPr="00DF3006">
        <w:rPr>
          <w:rFonts w:ascii="Calibri" w:eastAsia="Calibri" w:hAnsi="Calibri" w:cs="Calibri"/>
          <w:color w:val="414042" w:themeColor="text1"/>
          <w:szCs w:val="20"/>
        </w:rPr>
        <w:t>Paul Bracegirdle</w:t>
      </w:r>
    </w:p>
    <w:p w14:paraId="437D8E59" w14:textId="77777777" w:rsidR="008E121E" w:rsidRPr="00DF3006" w:rsidRDefault="008E121E" w:rsidP="008E121E">
      <w:pPr>
        <w:tabs>
          <w:tab w:val="center" w:pos="1080"/>
          <w:tab w:val="center" w:pos="4500"/>
        </w:tabs>
        <w:rPr>
          <w:rFonts w:ascii="Calibri" w:eastAsia="Calibri" w:hAnsi="Calibri" w:cs="Calibri"/>
          <w:color w:val="414042" w:themeColor="text1"/>
          <w:szCs w:val="20"/>
        </w:rPr>
      </w:pPr>
      <w:r w:rsidRPr="00DF3006">
        <w:rPr>
          <w:rFonts w:ascii="Calibri" w:eastAsia="Calibri" w:hAnsi="Calibri" w:cs="Calibri"/>
          <w:color w:val="414042" w:themeColor="text1"/>
          <w:szCs w:val="20"/>
        </w:rPr>
        <w:t>Chief Finance Officer</w:t>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p>
    <w:p w14:paraId="42CAC9EB" w14:textId="77777777" w:rsidR="008E121E" w:rsidRPr="00DF3006" w:rsidRDefault="008E121E" w:rsidP="008E121E">
      <w:pPr>
        <w:tabs>
          <w:tab w:val="center" w:pos="1080"/>
          <w:tab w:val="center" w:pos="4500"/>
        </w:tabs>
        <w:rPr>
          <w:rFonts w:ascii="Calibri" w:eastAsia="Calibri" w:hAnsi="Calibri" w:cs="Calibri"/>
          <w:color w:val="414042" w:themeColor="text1"/>
          <w:szCs w:val="20"/>
        </w:rPr>
      </w:pPr>
      <w:r w:rsidRPr="00DF3006">
        <w:rPr>
          <w:rFonts w:ascii="Calibri" w:eastAsia="Calibri" w:hAnsi="Calibri" w:cs="Calibri"/>
          <w:color w:val="414042" w:themeColor="text1"/>
          <w:szCs w:val="20"/>
        </w:rPr>
        <w:t>Crime and Corruption Commission</w:t>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r w:rsidRPr="00DF3006">
        <w:rPr>
          <w:rFonts w:ascii="Calibri" w:eastAsia="Calibri" w:hAnsi="Calibri" w:cs="Calibri"/>
          <w:color w:val="414042" w:themeColor="text1"/>
          <w:szCs w:val="20"/>
        </w:rPr>
        <w:tab/>
      </w:r>
    </w:p>
    <w:p w14:paraId="78B11130" w14:textId="77777777" w:rsidR="008E121E" w:rsidRPr="00DF3006" w:rsidRDefault="008E121E" w:rsidP="008E121E">
      <w:pPr>
        <w:tabs>
          <w:tab w:val="center" w:pos="1080"/>
          <w:tab w:val="center" w:pos="4500"/>
        </w:tabs>
        <w:rPr>
          <w:rFonts w:eastAsia="Calibri" w:cs="Arial"/>
          <w:color w:val="414042" w:themeColor="text1"/>
        </w:rPr>
      </w:pPr>
      <w:r w:rsidRPr="00DF3006">
        <w:rPr>
          <w:rFonts w:ascii="Calibri" w:eastAsia="Calibri" w:hAnsi="Calibri" w:cs="Calibri"/>
          <w:color w:val="414042" w:themeColor="text1"/>
          <w:szCs w:val="20"/>
        </w:rPr>
        <w:t>Date:</w:t>
      </w:r>
      <w:r w:rsidRPr="00DF3006">
        <w:rPr>
          <w:rFonts w:ascii="Arial" w:eastAsia="Calibri" w:hAnsi="Arial" w:cs="Arial"/>
          <w:color w:val="414042" w:themeColor="text1"/>
          <w:sz w:val="18"/>
          <w:szCs w:val="18"/>
        </w:rPr>
        <w:t xml:space="preserve"> 28 August 2023</w:t>
      </w:r>
    </w:p>
    <w:p w14:paraId="3BED4FF4" w14:textId="77777777" w:rsidR="008E121E" w:rsidRPr="00DF3006" w:rsidRDefault="008E121E" w:rsidP="008E121E">
      <w:pPr>
        <w:rPr>
          <w:rFonts w:eastAsia="Calibri" w:cs="Arial"/>
          <w:color w:val="414042" w:themeColor="text1"/>
        </w:rPr>
      </w:pPr>
    </w:p>
    <w:p w14:paraId="7A48ABAF" w14:textId="77777777" w:rsidR="00953FC4" w:rsidRPr="00DF3006" w:rsidRDefault="00953FC4" w:rsidP="00953FC4">
      <w:pPr>
        <w:tabs>
          <w:tab w:val="center" w:pos="1080"/>
          <w:tab w:val="center" w:pos="4500"/>
        </w:tabs>
        <w:rPr>
          <w:rFonts w:asciiTheme="minorHAnsi" w:hAnsiTheme="minorHAnsi" w:cstheme="minorHAnsi"/>
          <w:color w:val="414042" w:themeColor="text1"/>
          <w:szCs w:val="20"/>
        </w:rPr>
      </w:pPr>
    </w:p>
    <w:p w14:paraId="7F1F446D" w14:textId="77777777" w:rsidR="00A532DA" w:rsidRPr="00DF3006" w:rsidRDefault="00A532DA" w:rsidP="00860F16">
      <w:pPr>
        <w:tabs>
          <w:tab w:val="left" w:pos="462"/>
          <w:tab w:val="left" w:pos="1134"/>
          <w:tab w:val="left" w:pos="7132"/>
        </w:tabs>
        <w:spacing w:line="360" w:lineRule="auto"/>
        <w:rPr>
          <w:b/>
          <w:bCs/>
          <w:color w:val="414042" w:themeColor="text1"/>
          <w:szCs w:val="20"/>
          <w:highlight w:val="cyan"/>
        </w:rPr>
        <w:sectPr w:rsidR="00A532DA" w:rsidRPr="00DF3006" w:rsidSect="00C77834">
          <w:headerReference w:type="even" r:id="rId345"/>
          <w:headerReference w:type="default" r:id="rId346"/>
          <w:headerReference w:type="first" r:id="rId347"/>
          <w:pgSz w:w="11906" w:h="16838"/>
          <w:pgMar w:top="2155" w:right="1134" w:bottom="964" w:left="1134" w:header="720" w:footer="284" w:gutter="0"/>
          <w:cols w:space="708"/>
          <w:docGrid w:linePitch="360"/>
        </w:sectPr>
      </w:pPr>
    </w:p>
    <w:p w14:paraId="2EE0CBD9" w14:textId="18284DEA" w:rsidR="008E121E" w:rsidRPr="00D2771D" w:rsidRDefault="008E121E" w:rsidP="008E121E">
      <w:pPr>
        <w:widowControl w:val="0"/>
        <w:kinsoku w:val="0"/>
        <w:overflowPunct w:val="0"/>
        <w:autoSpaceDE w:val="0"/>
        <w:autoSpaceDN w:val="0"/>
        <w:adjustRightInd w:val="0"/>
        <w:spacing w:before="110" w:after="0"/>
        <w:ind w:left="142"/>
        <w:jc w:val="center"/>
        <w:outlineLvl w:val="0"/>
        <w:rPr>
          <w:rFonts w:ascii="Arial" w:eastAsia="Times New Roman" w:hAnsi="Arial" w:cs="Arial"/>
          <w:b/>
          <w:bCs/>
          <w:color w:val="414042" w:themeColor="text1"/>
          <w:spacing w:val="-2"/>
          <w:sz w:val="24"/>
          <w:szCs w:val="24"/>
          <w:lang w:eastAsia="en-AU"/>
        </w:rPr>
      </w:pPr>
      <w:r w:rsidRPr="00D2771D">
        <w:rPr>
          <w:rFonts w:ascii="Arial" w:eastAsia="Times New Roman" w:hAnsi="Arial" w:cs="Arial"/>
          <w:b/>
          <w:bCs/>
          <w:color w:val="414042" w:themeColor="text1"/>
          <w:spacing w:val="-2"/>
          <w:sz w:val="24"/>
          <w:szCs w:val="24"/>
          <w:lang w:eastAsia="en-AU"/>
        </w:rPr>
        <w:t>INDEPENDENT</w:t>
      </w:r>
      <w:r w:rsidRPr="00D2771D">
        <w:rPr>
          <w:rFonts w:ascii="Arial" w:eastAsia="Times New Roman" w:hAnsi="Arial" w:cs="Arial"/>
          <w:b/>
          <w:bCs/>
          <w:color w:val="414042" w:themeColor="text1"/>
          <w:spacing w:val="-5"/>
          <w:sz w:val="24"/>
          <w:szCs w:val="24"/>
          <w:lang w:eastAsia="en-AU"/>
        </w:rPr>
        <w:t xml:space="preserve"> </w:t>
      </w:r>
      <w:r w:rsidRPr="00D2771D">
        <w:rPr>
          <w:rFonts w:ascii="Arial" w:eastAsia="Times New Roman" w:hAnsi="Arial" w:cs="Arial"/>
          <w:b/>
          <w:bCs/>
          <w:color w:val="414042" w:themeColor="text1"/>
          <w:spacing w:val="-2"/>
          <w:sz w:val="24"/>
          <w:szCs w:val="24"/>
          <w:lang w:eastAsia="en-AU"/>
        </w:rPr>
        <w:t>AUDITOR’S</w:t>
      </w:r>
      <w:r w:rsidRPr="00D2771D">
        <w:rPr>
          <w:rFonts w:ascii="Arial" w:eastAsia="Times New Roman" w:hAnsi="Arial" w:cs="Arial"/>
          <w:b/>
          <w:bCs/>
          <w:color w:val="414042" w:themeColor="text1"/>
          <w:spacing w:val="-6"/>
          <w:sz w:val="24"/>
          <w:szCs w:val="24"/>
          <w:lang w:eastAsia="en-AU"/>
        </w:rPr>
        <w:t xml:space="preserve"> </w:t>
      </w:r>
      <w:r w:rsidRPr="00D2771D">
        <w:rPr>
          <w:rFonts w:ascii="Arial" w:eastAsia="Times New Roman" w:hAnsi="Arial" w:cs="Arial"/>
          <w:b/>
          <w:bCs/>
          <w:color w:val="414042" w:themeColor="text1"/>
          <w:spacing w:val="-2"/>
          <w:sz w:val="24"/>
          <w:szCs w:val="24"/>
          <w:lang w:eastAsia="en-AU"/>
        </w:rPr>
        <w:t>REPORT</w:t>
      </w:r>
    </w:p>
    <w:p w14:paraId="00F90314" w14:textId="72B9271A" w:rsidR="008E121E" w:rsidRPr="00FA07A8" w:rsidRDefault="00FA07A8" w:rsidP="00D2771D">
      <w:pPr>
        <w:pStyle w:val="Heading1"/>
        <w:spacing w:after="0"/>
        <w:rPr>
          <w:color w:val="FFFFFF" w:themeColor="background1"/>
          <w:sz w:val="40"/>
          <w:szCs w:val="16"/>
        </w:rPr>
      </w:pPr>
      <w:bookmarkStart w:id="1956" w:name="_here"/>
      <w:bookmarkStart w:id="1957" w:name="_Independent_Auditor’s_Report"/>
      <w:bookmarkEnd w:id="1956"/>
      <w:bookmarkEnd w:id="1957"/>
      <w:r w:rsidRPr="00FA07A8">
        <w:rPr>
          <w:color w:val="FFFFFF" w:themeColor="background1"/>
          <w:sz w:val="40"/>
          <w:szCs w:val="16"/>
        </w:rPr>
        <w:t>Independent Auditor’s Report</w:t>
      </w:r>
    </w:p>
    <w:tbl>
      <w:tblPr>
        <w:tblStyle w:val="GridTable1Light-Accent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F0C86" w:rsidRPr="003F0C86" w14:paraId="23F9BD61" w14:textId="77777777" w:rsidTr="003F0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tcPr>
          <w:p w14:paraId="46938B7A"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Arial" w:hAnsi="Arial" w:cs="Arial"/>
                <w:b w:val="0"/>
                <w:bCs w:val="0"/>
                <w:color w:val="414042" w:themeColor="text1"/>
                <w:sz w:val="22"/>
                <w:lang w:val="en-US"/>
              </w:rPr>
            </w:pPr>
            <w:r w:rsidRPr="003F0C86">
              <w:rPr>
                <w:rFonts w:ascii="Arial" w:eastAsia="Arial" w:hAnsi="Arial" w:cs="Arial"/>
                <w:b w:val="0"/>
                <w:bCs w:val="0"/>
                <w:color w:val="414042" w:themeColor="text1"/>
                <w:sz w:val="22"/>
                <w:lang w:val="en-US"/>
              </w:rPr>
              <w:t>To the Chairperson of the Crime and Corruption Commission</w:t>
            </w:r>
          </w:p>
          <w:p w14:paraId="1FF9BE2C" w14:textId="77777777" w:rsidR="003F0C86" w:rsidRPr="003F0C86" w:rsidRDefault="003F0C86" w:rsidP="003F0C86">
            <w:pPr>
              <w:rPr>
                <w:rFonts w:eastAsia="Calibri" w:cs="Arial"/>
                <w:b w:val="0"/>
                <w:bCs w:val="0"/>
                <w:color w:val="414042" w:themeColor="text1"/>
              </w:rPr>
            </w:pPr>
          </w:p>
          <w:p w14:paraId="4B017008" w14:textId="77777777" w:rsidR="003F0C86" w:rsidRPr="003F0C86" w:rsidRDefault="003F0C86" w:rsidP="003F0C86">
            <w:pPr>
              <w:keepNext/>
              <w:widowControl w:val="0"/>
              <w:spacing w:before="120" w:after="120"/>
              <w:ind w:right="-425"/>
              <w:outlineLvl w:val="2"/>
              <w:rPr>
                <w:rFonts w:ascii="Arial" w:eastAsia="Times New Roman" w:hAnsi="Arial" w:cs="Arial"/>
                <w:noProof/>
                <w:color w:val="414042" w:themeColor="text1"/>
                <w:spacing w:val="-2"/>
                <w:sz w:val="22"/>
                <w:lang w:eastAsia="en-AU"/>
              </w:rPr>
            </w:pPr>
            <w:r w:rsidRPr="003F0C86">
              <w:rPr>
                <w:rFonts w:ascii="Arial" w:eastAsia="Times New Roman" w:hAnsi="Arial" w:cs="Arial"/>
                <w:noProof/>
                <w:color w:val="414042" w:themeColor="text1"/>
                <w:sz w:val="22"/>
                <w:lang w:eastAsia="en-AU"/>
              </w:rPr>
              <w:t>Report</w:t>
            </w:r>
            <w:r w:rsidRPr="003F0C86">
              <w:rPr>
                <w:rFonts w:ascii="Arial" w:eastAsia="Times New Roman" w:hAnsi="Arial" w:cs="Arial"/>
                <w:noProof/>
                <w:color w:val="414042" w:themeColor="text1"/>
                <w:spacing w:val="-14"/>
                <w:sz w:val="22"/>
                <w:lang w:eastAsia="en-AU"/>
              </w:rPr>
              <w:t xml:space="preserve"> </w:t>
            </w:r>
            <w:r w:rsidRPr="003F0C86">
              <w:rPr>
                <w:rFonts w:ascii="Arial" w:eastAsia="Times New Roman" w:hAnsi="Arial" w:cs="Arial"/>
                <w:noProof/>
                <w:color w:val="414042" w:themeColor="text1"/>
                <w:sz w:val="22"/>
                <w:lang w:eastAsia="en-AU"/>
              </w:rPr>
              <w:t>on</w:t>
            </w:r>
            <w:r w:rsidRPr="003F0C86">
              <w:rPr>
                <w:rFonts w:ascii="Arial" w:eastAsia="Times New Roman" w:hAnsi="Arial" w:cs="Arial"/>
                <w:noProof/>
                <w:color w:val="414042" w:themeColor="text1"/>
                <w:spacing w:val="-14"/>
                <w:sz w:val="22"/>
                <w:lang w:eastAsia="en-AU"/>
              </w:rPr>
              <w:t xml:space="preserve"> </w:t>
            </w:r>
            <w:r w:rsidRPr="003F0C86">
              <w:rPr>
                <w:rFonts w:ascii="Arial" w:eastAsia="Times New Roman" w:hAnsi="Arial" w:cs="Arial"/>
                <w:noProof/>
                <w:color w:val="414042" w:themeColor="text1"/>
                <w:sz w:val="22"/>
                <w:lang w:eastAsia="en-AU"/>
              </w:rPr>
              <w:t>the</w:t>
            </w:r>
            <w:r w:rsidRPr="003F0C86">
              <w:rPr>
                <w:rFonts w:ascii="Arial" w:eastAsia="Times New Roman" w:hAnsi="Arial" w:cs="Arial"/>
                <w:noProof/>
                <w:color w:val="414042" w:themeColor="text1"/>
                <w:spacing w:val="-12"/>
                <w:sz w:val="22"/>
                <w:lang w:eastAsia="en-AU"/>
              </w:rPr>
              <w:t xml:space="preserve"> </w:t>
            </w:r>
            <w:r w:rsidRPr="003F0C86">
              <w:rPr>
                <w:rFonts w:ascii="Arial" w:eastAsia="Times New Roman" w:hAnsi="Arial" w:cs="Arial"/>
                <w:noProof/>
                <w:color w:val="414042" w:themeColor="text1"/>
                <w:sz w:val="22"/>
                <w:lang w:eastAsia="en-AU"/>
              </w:rPr>
              <w:t>audit</w:t>
            </w:r>
            <w:r w:rsidRPr="003F0C86">
              <w:rPr>
                <w:rFonts w:ascii="Arial" w:eastAsia="Times New Roman" w:hAnsi="Arial" w:cs="Arial"/>
                <w:noProof/>
                <w:color w:val="414042" w:themeColor="text1"/>
                <w:spacing w:val="-14"/>
                <w:sz w:val="22"/>
                <w:lang w:eastAsia="en-AU"/>
              </w:rPr>
              <w:t xml:space="preserve"> </w:t>
            </w:r>
            <w:r w:rsidRPr="003F0C86">
              <w:rPr>
                <w:rFonts w:ascii="Arial" w:eastAsia="Times New Roman" w:hAnsi="Arial" w:cs="Arial"/>
                <w:noProof/>
                <w:color w:val="414042" w:themeColor="text1"/>
                <w:sz w:val="22"/>
                <w:lang w:eastAsia="en-AU"/>
              </w:rPr>
              <w:t>of</w:t>
            </w:r>
            <w:r w:rsidRPr="003F0C86">
              <w:rPr>
                <w:rFonts w:ascii="Arial" w:eastAsia="Times New Roman" w:hAnsi="Arial" w:cs="Arial"/>
                <w:noProof/>
                <w:color w:val="414042" w:themeColor="text1"/>
                <w:spacing w:val="-12"/>
                <w:sz w:val="22"/>
                <w:lang w:eastAsia="en-AU"/>
              </w:rPr>
              <w:t xml:space="preserve"> </w:t>
            </w:r>
            <w:r w:rsidRPr="003F0C86">
              <w:rPr>
                <w:rFonts w:ascii="Arial" w:eastAsia="Times New Roman" w:hAnsi="Arial" w:cs="Arial"/>
                <w:noProof/>
                <w:color w:val="414042" w:themeColor="text1"/>
                <w:sz w:val="22"/>
                <w:lang w:eastAsia="en-AU"/>
              </w:rPr>
              <w:t>the</w:t>
            </w:r>
            <w:r w:rsidRPr="003F0C86">
              <w:rPr>
                <w:rFonts w:ascii="Arial" w:eastAsia="Times New Roman" w:hAnsi="Arial" w:cs="Arial"/>
                <w:noProof/>
                <w:color w:val="414042" w:themeColor="text1"/>
                <w:spacing w:val="-13"/>
                <w:sz w:val="22"/>
                <w:lang w:eastAsia="en-AU"/>
              </w:rPr>
              <w:t xml:space="preserve"> </w:t>
            </w:r>
            <w:r w:rsidRPr="003F0C86">
              <w:rPr>
                <w:rFonts w:ascii="Arial" w:eastAsia="Times New Roman" w:hAnsi="Arial" w:cs="Arial"/>
                <w:noProof/>
                <w:color w:val="414042" w:themeColor="text1"/>
                <w:sz w:val="22"/>
                <w:lang w:eastAsia="en-AU"/>
              </w:rPr>
              <w:t>financial</w:t>
            </w:r>
            <w:r w:rsidRPr="003F0C86">
              <w:rPr>
                <w:rFonts w:ascii="Arial" w:eastAsia="Times New Roman" w:hAnsi="Arial" w:cs="Arial"/>
                <w:noProof/>
                <w:color w:val="414042" w:themeColor="text1"/>
                <w:spacing w:val="-12"/>
                <w:sz w:val="22"/>
                <w:lang w:eastAsia="en-AU"/>
              </w:rPr>
              <w:t xml:space="preserve"> </w:t>
            </w:r>
            <w:r w:rsidRPr="003F0C86">
              <w:rPr>
                <w:rFonts w:ascii="Arial" w:eastAsia="Times New Roman" w:hAnsi="Arial" w:cs="Arial"/>
                <w:noProof/>
                <w:color w:val="414042" w:themeColor="text1"/>
                <w:spacing w:val="-2"/>
                <w:sz w:val="22"/>
                <w:lang w:eastAsia="en-AU"/>
              </w:rPr>
              <w:t>report</w:t>
            </w:r>
          </w:p>
          <w:p w14:paraId="1133B8C7" w14:textId="77777777" w:rsidR="003F0C86" w:rsidRPr="003F0C86" w:rsidRDefault="003F0C86" w:rsidP="003F0C86">
            <w:pPr>
              <w:keepNext/>
              <w:widowControl w:val="0"/>
              <w:spacing w:before="120" w:after="120"/>
              <w:ind w:right="-425"/>
              <w:outlineLvl w:val="2"/>
              <w:rPr>
                <w:rFonts w:ascii="Arial" w:eastAsia="Times New Roman" w:hAnsi="Arial" w:cs="Arial"/>
                <w:noProof/>
                <w:color w:val="414042" w:themeColor="text1"/>
                <w:sz w:val="22"/>
                <w:lang w:eastAsia="en-AU"/>
              </w:rPr>
            </w:pPr>
            <w:r w:rsidRPr="003F0C86">
              <w:rPr>
                <w:rFonts w:ascii="Arial" w:eastAsia="Times New Roman" w:hAnsi="Arial" w:cs="Arial"/>
                <w:noProof/>
                <w:color w:val="414042" w:themeColor="text1"/>
                <w:sz w:val="22"/>
                <w:lang w:eastAsia="en-AU"/>
              </w:rPr>
              <w:t>Opinion</w:t>
            </w:r>
          </w:p>
          <w:p w14:paraId="084463EB"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Times New Roman" w:hAnsi="Arial" w:cs="Arial"/>
                <w:b w:val="0"/>
                <w:bCs w:val="0"/>
                <w:color w:val="414042" w:themeColor="text1"/>
                <w:sz w:val="22"/>
                <w:lang w:eastAsia="en-AU"/>
              </w:rPr>
            </w:pPr>
            <w:r w:rsidRPr="003F0C86">
              <w:rPr>
                <w:rFonts w:ascii="Arial" w:eastAsia="Times New Roman" w:hAnsi="Arial" w:cs="Arial"/>
                <w:b w:val="0"/>
                <w:bCs w:val="0"/>
                <w:color w:val="414042" w:themeColor="text1"/>
                <w:sz w:val="22"/>
                <w:lang w:eastAsia="en-AU"/>
              </w:rPr>
              <w:t>I</w:t>
            </w:r>
            <w:r w:rsidRPr="003F0C86">
              <w:rPr>
                <w:rFonts w:ascii="Arial" w:eastAsia="Times New Roman" w:hAnsi="Arial" w:cs="Arial"/>
                <w:b w:val="0"/>
                <w:bCs w:val="0"/>
                <w:color w:val="414042" w:themeColor="text1"/>
                <w:spacing w:val="-6"/>
                <w:sz w:val="22"/>
                <w:lang w:eastAsia="en-AU"/>
              </w:rPr>
              <w:t xml:space="preserve"> </w:t>
            </w:r>
            <w:r w:rsidRPr="003F0C86">
              <w:rPr>
                <w:rFonts w:ascii="Arial" w:eastAsia="Times New Roman" w:hAnsi="Arial" w:cs="Arial"/>
                <w:b w:val="0"/>
                <w:bCs w:val="0"/>
                <w:color w:val="414042" w:themeColor="text1"/>
                <w:sz w:val="22"/>
                <w:lang w:eastAsia="en-AU"/>
              </w:rPr>
              <w:t>have</w:t>
            </w:r>
            <w:r w:rsidRPr="003F0C86">
              <w:rPr>
                <w:rFonts w:ascii="Arial" w:eastAsia="Times New Roman" w:hAnsi="Arial" w:cs="Arial"/>
                <w:b w:val="0"/>
                <w:bCs w:val="0"/>
                <w:color w:val="414042" w:themeColor="text1"/>
                <w:spacing w:val="-8"/>
                <w:sz w:val="22"/>
                <w:lang w:eastAsia="en-AU"/>
              </w:rPr>
              <w:t xml:space="preserve"> </w:t>
            </w:r>
            <w:r w:rsidRPr="003F0C86">
              <w:rPr>
                <w:rFonts w:ascii="Arial" w:eastAsia="Times New Roman" w:hAnsi="Arial" w:cs="Arial"/>
                <w:b w:val="0"/>
                <w:bCs w:val="0"/>
                <w:color w:val="414042" w:themeColor="text1"/>
                <w:sz w:val="22"/>
                <w:lang w:eastAsia="en-AU"/>
              </w:rPr>
              <w:t>audited</w:t>
            </w:r>
            <w:r w:rsidRPr="003F0C86">
              <w:rPr>
                <w:rFonts w:ascii="Arial" w:eastAsia="Times New Roman" w:hAnsi="Arial" w:cs="Arial"/>
                <w:b w:val="0"/>
                <w:bCs w:val="0"/>
                <w:color w:val="414042" w:themeColor="text1"/>
                <w:spacing w:val="-10"/>
                <w:sz w:val="22"/>
                <w:lang w:eastAsia="en-AU"/>
              </w:rPr>
              <w:t xml:space="preserve"> </w:t>
            </w:r>
            <w:r w:rsidRPr="003F0C86">
              <w:rPr>
                <w:rFonts w:ascii="Arial" w:eastAsia="Times New Roman" w:hAnsi="Arial" w:cs="Arial"/>
                <w:b w:val="0"/>
                <w:bCs w:val="0"/>
                <w:color w:val="414042" w:themeColor="text1"/>
                <w:sz w:val="22"/>
                <w:lang w:eastAsia="en-AU"/>
              </w:rPr>
              <w:t>the</w:t>
            </w:r>
            <w:r w:rsidRPr="003F0C86">
              <w:rPr>
                <w:rFonts w:ascii="Arial" w:eastAsia="Times New Roman" w:hAnsi="Arial" w:cs="Arial"/>
                <w:b w:val="0"/>
                <w:bCs w:val="0"/>
                <w:color w:val="414042" w:themeColor="text1"/>
                <w:spacing w:val="-10"/>
                <w:sz w:val="22"/>
                <w:lang w:eastAsia="en-AU"/>
              </w:rPr>
              <w:t xml:space="preserve"> </w:t>
            </w:r>
            <w:r w:rsidRPr="003F0C86">
              <w:rPr>
                <w:rFonts w:ascii="Arial" w:eastAsia="Times New Roman" w:hAnsi="Arial" w:cs="Arial"/>
                <w:b w:val="0"/>
                <w:bCs w:val="0"/>
                <w:color w:val="414042" w:themeColor="text1"/>
                <w:sz w:val="22"/>
                <w:lang w:eastAsia="en-AU"/>
              </w:rPr>
              <w:t>accompanying</w:t>
            </w:r>
            <w:r w:rsidRPr="003F0C86">
              <w:rPr>
                <w:rFonts w:ascii="Arial" w:eastAsia="Times New Roman" w:hAnsi="Arial" w:cs="Arial"/>
                <w:b w:val="0"/>
                <w:bCs w:val="0"/>
                <w:color w:val="414042" w:themeColor="text1"/>
                <w:spacing w:val="-8"/>
                <w:sz w:val="22"/>
                <w:lang w:eastAsia="en-AU"/>
              </w:rPr>
              <w:t xml:space="preserve"> </w:t>
            </w:r>
            <w:r w:rsidRPr="003F0C86">
              <w:rPr>
                <w:rFonts w:ascii="Arial" w:eastAsia="Times New Roman" w:hAnsi="Arial" w:cs="Arial"/>
                <w:b w:val="0"/>
                <w:bCs w:val="0"/>
                <w:color w:val="414042" w:themeColor="text1"/>
                <w:sz w:val="22"/>
                <w:lang w:eastAsia="en-AU"/>
              </w:rPr>
              <w:t>financial</w:t>
            </w:r>
            <w:r w:rsidRPr="003F0C86">
              <w:rPr>
                <w:rFonts w:ascii="Arial" w:eastAsia="Times New Roman" w:hAnsi="Arial" w:cs="Arial"/>
                <w:b w:val="0"/>
                <w:bCs w:val="0"/>
                <w:color w:val="414042" w:themeColor="text1"/>
                <w:spacing w:val="-10"/>
                <w:sz w:val="22"/>
                <w:lang w:eastAsia="en-AU"/>
              </w:rPr>
              <w:t xml:space="preserve"> </w:t>
            </w:r>
            <w:r w:rsidRPr="003F0C86">
              <w:rPr>
                <w:rFonts w:ascii="Arial" w:eastAsia="Times New Roman" w:hAnsi="Arial" w:cs="Arial"/>
                <w:b w:val="0"/>
                <w:bCs w:val="0"/>
                <w:color w:val="414042" w:themeColor="text1"/>
                <w:sz w:val="22"/>
                <w:lang w:eastAsia="en-AU"/>
              </w:rPr>
              <w:t>report</w:t>
            </w:r>
            <w:r w:rsidRPr="003F0C86">
              <w:rPr>
                <w:rFonts w:ascii="Arial" w:eastAsia="Times New Roman" w:hAnsi="Arial" w:cs="Arial"/>
                <w:b w:val="0"/>
                <w:bCs w:val="0"/>
                <w:color w:val="414042" w:themeColor="text1"/>
                <w:spacing w:val="-6"/>
                <w:sz w:val="22"/>
                <w:lang w:eastAsia="en-AU"/>
              </w:rPr>
              <w:t xml:space="preserve"> </w:t>
            </w:r>
            <w:r w:rsidRPr="003F0C86">
              <w:rPr>
                <w:rFonts w:ascii="Arial" w:eastAsia="Times New Roman" w:hAnsi="Arial" w:cs="Arial"/>
                <w:b w:val="0"/>
                <w:bCs w:val="0"/>
                <w:color w:val="414042" w:themeColor="text1"/>
                <w:sz w:val="22"/>
                <w:lang w:eastAsia="en-AU"/>
              </w:rPr>
              <w:t>of</w:t>
            </w:r>
            <w:r w:rsidRPr="003F0C86">
              <w:rPr>
                <w:rFonts w:ascii="Arial" w:eastAsia="Times New Roman" w:hAnsi="Arial" w:cs="Arial"/>
                <w:b w:val="0"/>
                <w:bCs w:val="0"/>
                <w:color w:val="414042" w:themeColor="text1"/>
                <w:spacing w:val="-3"/>
                <w:sz w:val="22"/>
                <w:lang w:eastAsia="en-AU"/>
              </w:rPr>
              <w:t xml:space="preserve"> </w:t>
            </w:r>
            <w:r w:rsidRPr="003F0C86">
              <w:rPr>
                <w:rFonts w:ascii="Arial" w:eastAsia="Times New Roman" w:hAnsi="Arial" w:cs="Arial"/>
                <w:b w:val="0"/>
                <w:bCs w:val="0"/>
                <w:color w:val="414042" w:themeColor="text1"/>
                <w:sz w:val="22"/>
                <w:lang w:eastAsia="en-AU"/>
              </w:rPr>
              <w:t>the</w:t>
            </w:r>
            <w:r w:rsidRPr="003F0C86">
              <w:rPr>
                <w:rFonts w:ascii="Arial" w:eastAsia="Times New Roman" w:hAnsi="Arial" w:cs="Arial"/>
                <w:b w:val="0"/>
                <w:bCs w:val="0"/>
                <w:color w:val="414042" w:themeColor="text1"/>
                <w:spacing w:val="-14"/>
                <w:sz w:val="22"/>
                <w:lang w:eastAsia="en-AU"/>
              </w:rPr>
              <w:t xml:space="preserve"> </w:t>
            </w:r>
            <w:r w:rsidRPr="003F0C86">
              <w:rPr>
                <w:rFonts w:ascii="Arial" w:eastAsia="Times New Roman" w:hAnsi="Arial" w:cs="Arial"/>
                <w:b w:val="0"/>
                <w:bCs w:val="0"/>
                <w:color w:val="414042" w:themeColor="text1"/>
                <w:sz w:val="22"/>
                <w:lang w:eastAsia="en-AU"/>
              </w:rPr>
              <w:t>Crime</w:t>
            </w:r>
            <w:r w:rsidRPr="003F0C86">
              <w:rPr>
                <w:rFonts w:ascii="Arial" w:eastAsia="Times New Roman" w:hAnsi="Arial" w:cs="Arial"/>
                <w:b w:val="0"/>
                <w:bCs w:val="0"/>
                <w:color w:val="414042" w:themeColor="text1"/>
                <w:spacing w:val="-11"/>
                <w:sz w:val="22"/>
                <w:lang w:eastAsia="en-AU"/>
              </w:rPr>
              <w:t xml:space="preserve"> </w:t>
            </w:r>
            <w:r w:rsidRPr="003F0C86">
              <w:rPr>
                <w:rFonts w:ascii="Arial" w:eastAsia="Times New Roman" w:hAnsi="Arial" w:cs="Arial"/>
                <w:b w:val="0"/>
                <w:bCs w:val="0"/>
                <w:color w:val="414042" w:themeColor="text1"/>
                <w:sz w:val="22"/>
                <w:lang w:eastAsia="en-AU"/>
              </w:rPr>
              <w:t>and</w:t>
            </w:r>
            <w:r w:rsidRPr="003F0C86">
              <w:rPr>
                <w:rFonts w:ascii="Arial" w:eastAsia="Times New Roman" w:hAnsi="Arial" w:cs="Arial"/>
                <w:b w:val="0"/>
                <w:bCs w:val="0"/>
                <w:color w:val="414042" w:themeColor="text1"/>
                <w:spacing w:val="-11"/>
                <w:sz w:val="22"/>
                <w:lang w:eastAsia="en-AU"/>
              </w:rPr>
              <w:t xml:space="preserve"> </w:t>
            </w:r>
            <w:r w:rsidRPr="003F0C86">
              <w:rPr>
                <w:rFonts w:ascii="Arial" w:eastAsia="Times New Roman" w:hAnsi="Arial" w:cs="Arial"/>
                <w:b w:val="0"/>
                <w:bCs w:val="0"/>
                <w:color w:val="414042" w:themeColor="text1"/>
                <w:sz w:val="22"/>
                <w:lang w:eastAsia="en-AU"/>
              </w:rPr>
              <w:t>Corruption</w:t>
            </w:r>
            <w:r w:rsidRPr="003F0C86">
              <w:rPr>
                <w:rFonts w:ascii="Arial" w:eastAsia="Times New Roman" w:hAnsi="Arial" w:cs="Arial"/>
                <w:b w:val="0"/>
                <w:bCs w:val="0"/>
                <w:color w:val="414042" w:themeColor="text1"/>
                <w:spacing w:val="-11"/>
                <w:sz w:val="22"/>
                <w:lang w:eastAsia="en-AU"/>
              </w:rPr>
              <w:t xml:space="preserve"> </w:t>
            </w:r>
            <w:r w:rsidRPr="003F0C86">
              <w:rPr>
                <w:rFonts w:ascii="Arial" w:eastAsia="Times New Roman" w:hAnsi="Arial" w:cs="Arial"/>
                <w:b w:val="0"/>
                <w:bCs w:val="0"/>
                <w:color w:val="414042" w:themeColor="text1"/>
                <w:sz w:val="22"/>
                <w:lang w:eastAsia="en-AU"/>
              </w:rPr>
              <w:t xml:space="preserve">Commission </w:t>
            </w:r>
            <w:r w:rsidRPr="003F0C86">
              <w:rPr>
                <w:rFonts w:ascii="Arial" w:eastAsia="Times New Roman" w:hAnsi="Arial" w:cs="Arial"/>
                <w:b w:val="0"/>
                <w:bCs w:val="0"/>
                <w:color w:val="414042" w:themeColor="text1"/>
                <w:sz w:val="22"/>
                <w:lang w:eastAsia="en-AU"/>
              </w:rPr>
              <w:br/>
              <w:t>(the ‘Commission’).</w:t>
            </w:r>
          </w:p>
          <w:p w14:paraId="42B9D5A2"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Arial" w:hAnsi="Arial" w:cs="Arial"/>
                <w:b w:val="0"/>
                <w:bCs w:val="0"/>
                <w:color w:val="414042" w:themeColor="text1"/>
                <w:sz w:val="22"/>
                <w:lang w:val="en-US"/>
              </w:rPr>
            </w:pPr>
            <w:r w:rsidRPr="003F0C86">
              <w:rPr>
                <w:rFonts w:ascii="Arial" w:eastAsia="Arial" w:hAnsi="Arial" w:cs="Arial"/>
                <w:b w:val="0"/>
                <w:bCs w:val="0"/>
                <w:color w:val="414042" w:themeColor="text1"/>
                <w:sz w:val="22"/>
                <w:lang w:val="en-US"/>
              </w:rPr>
              <w:t>In</w:t>
            </w:r>
            <w:r w:rsidRPr="003F0C86">
              <w:rPr>
                <w:rFonts w:ascii="Arial" w:eastAsia="Arial" w:hAnsi="Arial" w:cs="Arial"/>
                <w:b w:val="0"/>
                <w:bCs w:val="0"/>
                <w:color w:val="414042" w:themeColor="text1"/>
                <w:spacing w:val="-5"/>
                <w:sz w:val="22"/>
                <w:lang w:val="en-US"/>
              </w:rPr>
              <w:t xml:space="preserve"> </w:t>
            </w:r>
            <w:r w:rsidRPr="003F0C86">
              <w:rPr>
                <w:rFonts w:ascii="Arial" w:eastAsia="Arial" w:hAnsi="Arial" w:cs="Arial"/>
                <w:b w:val="0"/>
                <w:bCs w:val="0"/>
                <w:color w:val="414042" w:themeColor="text1"/>
                <w:sz w:val="22"/>
                <w:lang w:val="en-US"/>
              </w:rPr>
              <w:t>my</w:t>
            </w:r>
            <w:r w:rsidRPr="003F0C86">
              <w:rPr>
                <w:rFonts w:ascii="Arial" w:eastAsia="Arial" w:hAnsi="Arial" w:cs="Arial"/>
                <w:b w:val="0"/>
                <w:bCs w:val="0"/>
                <w:color w:val="414042" w:themeColor="text1"/>
                <w:spacing w:val="-3"/>
                <w:sz w:val="22"/>
                <w:lang w:val="en-US"/>
              </w:rPr>
              <w:t xml:space="preserve"> </w:t>
            </w:r>
            <w:r w:rsidRPr="003F0C86">
              <w:rPr>
                <w:rFonts w:ascii="Arial" w:eastAsia="Arial" w:hAnsi="Arial" w:cs="Arial"/>
                <w:b w:val="0"/>
                <w:bCs w:val="0"/>
                <w:color w:val="414042" w:themeColor="text1"/>
                <w:sz w:val="22"/>
                <w:lang w:val="en-US"/>
              </w:rPr>
              <w:t>opinion,</w:t>
            </w:r>
            <w:r w:rsidRPr="003F0C86">
              <w:rPr>
                <w:rFonts w:ascii="Arial" w:eastAsia="Arial" w:hAnsi="Arial" w:cs="Arial"/>
                <w:b w:val="0"/>
                <w:bCs w:val="0"/>
                <w:color w:val="414042" w:themeColor="text1"/>
                <w:spacing w:val="-5"/>
                <w:sz w:val="22"/>
                <w:lang w:val="en-US"/>
              </w:rPr>
              <w:t xml:space="preserve"> </w:t>
            </w:r>
            <w:r w:rsidRPr="003F0C86">
              <w:rPr>
                <w:rFonts w:ascii="Arial" w:eastAsia="Arial" w:hAnsi="Arial" w:cs="Arial"/>
                <w:b w:val="0"/>
                <w:bCs w:val="0"/>
                <w:color w:val="414042" w:themeColor="text1"/>
                <w:sz w:val="22"/>
                <w:lang w:val="en-US"/>
              </w:rPr>
              <w:t>the</w:t>
            </w:r>
            <w:r w:rsidRPr="003F0C86">
              <w:rPr>
                <w:rFonts w:ascii="Arial" w:eastAsia="Arial" w:hAnsi="Arial" w:cs="Arial"/>
                <w:b w:val="0"/>
                <w:bCs w:val="0"/>
                <w:color w:val="414042" w:themeColor="text1"/>
                <w:spacing w:val="-5"/>
                <w:sz w:val="22"/>
                <w:lang w:val="en-US"/>
              </w:rPr>
              <w:t xml:space="preserve"> </w:t>
            </w:r>
            <w:r w:rsidRPr="003F0C86">
              <w:rPr>
                <w:rFonts w:ascii="Arial" w:eastAsia="Arial" w:hAnsi="Arial" w:cs="Arial"/>
                <w:b w:val="0"/>
                <w:bCs w:val="0"/>
                <w:color w:val="414042" w:themeColor="text1"/>
                <w:sz w:val="22"/>
                <w:lang w:val="en-US"/>
              </w:rPr>
              <w:t>financial</w:t>
            </w:r>
            <w:r w:rsidRPr="003F0C86">
              <w:rPr>
                <w:rFonts w:ascii="Arial" w:eastAsia="Arial" w:hAnsi="Arial" w:cs="Arial"/>
                <w:b w:val="0"/>
                <w:bCs w:val="0"/>
                <w:color w:val="414042" w:themeColor="text1"/>
                <w:spacing w:val="-3"/>
                <w:sz w:val="22"/>
                <w:lang w:val="en-US"/>
              </w:rPr>
              <w:t xml:space="preserve"> </w:t>
            </w:r>
            <w:r w:rsidRPr="003F0C86">
              <w:rPr>
                <w:rFonts w:ascii="Arial" w:eastAsia="Arial" w:hAnsi="Arial" w:cs="Arial"/>
                <w:b w:val="0"/>
                <w:bCs w:val="0"/>
                <w:color w:val="414042" w:themeColor="text1"/>
                <w:spacing w:val="-2"/>
                <w:sz w:val="22"/>
                <w:lang w:val="en-US"/>
              </w:rPr>
              <w:t>report:</w:t>
            </w:r>
          </w:p>
          <w:p w14:paraId="6E458895" w14:textId="77777777" w:rsidR="003F0C86" w:rsidRPr="003F0C86" w:rsidRDefault="003F0C86" w:rsidP="003F0C86">
            <w:pPr>
              <w:widowControl w:val="0"/>
              <w:numPr>
                <w:ilvl w:val="0"/>
                <w:numId w:val="69"/>
              </w:numPr>
              <w:tabs>
                <w:tab w:val="left" w:pos="684"/>
              </w:tabs>
              <w:autoSpaceDE w:val="0"/>
              <w:autoSpaceDN w:val="0"/>
              <w:spacing w:before="145" w:after="0" w:line="266" w:lineRule="auto"/>
              <w:ind w:right="539" w:hanging="567"/>
              <w:rPr>
                <w:rFonts w:ascii="Arial" w:eastAsia="Calibri" w:hAnsi="Calibri" w:cs="Calibri"/>
                <w:b w:val="0"/>
                <w:bCs w:val="0"/>
                <w:color w:val="414042" w:themeColor="text1"/>
                <w:sz w:val="22"/>
                <w:lang w:val="en-US"/>
              </w:rPr>
            </w:pPr>
            <w:r w:rsidRPr="003F0C86">
              <w:rPr>
                <w:rFonts w:ascii="Arial" w:eastAsia="Calibri" w:hAnsi="Calibri" w:cs="Calibri"/>
                <w:b w:val="0"/>
                <w:bCs w:val="0"/>
                <w:color w:val="414042" w:themeColor="text1"/>
                <w:sz w:val="22"/>
                <w:lang w:val="en-US"/>
              </w:rPr>
              <w:t>gives</w:t>
            </w:r>
            <w:r w:rsidRPr="003F0C86">
              <w:rPr>
                <w:rFonts w:ascii="Arial" w:eastAsia="Calibri" w:hAnsi="Calibri" w:cs="Calibri"/>
                <w:b w:val="0"/>
                <w:bCs w:val="0"/>
                <w:color w:val="414042" w:themeColor="text1"/>
                <w:spacing w:val="-2"/>
                <w:sz w:val="22"/>
                <w:lang w:val="en-US"/>
              </w:rPr>
              <w:t xml:space="preserve"> </w:t>
            </w:r>
            <w:r w:rsidRPr="003F0C86">
              <w:rPr>
                <w:rFonts w:ascii="Arial" w:eastAsia="Calibri" w:hAnsi="Calibri" w:cs="Calibri"/>
                <w:b w:val="0"/>
                <w:bCs w:val="0"/>
                <w:color w:val="414042" w:themeColor="text1"/>
                <w:sz w:val="22"/>
                <w:lang w:val="en-US"/>
              </w:rPr>
              <w:t>a</w:t>
            </w:r>
            <w:r w:rsidRPr="003F0C86">
              <w:rPr>
                <w:rFonts w:ascii="Arial" w:eastAsia="Calibri" w:hAnsi="Calibri" w:cs="Calibri"/>
                <w:b w:val="0"/>
                <w:bCs w:val="0"/>
                <w:color w:val="414042" w:themeColor="text1"/>
                <w:spacing w:val="-3"/>
                <w:sz w:val="22"/>
                <w:lang w:val="en-US"/>
              </w:rPr>
              <w:t xml:space="preserve"> </w:t>
            </w:r>
            <w:r w:rsidRPr="003F0C86">
              <w:rPr>
                <w:rFonts w:ascii="Arial" w:eastAsia="Calibri" w:hAnsi="Calibri" w:cs="Calibri"/>
                <w:b w:val="0"/>
                <w:bCs w:val="0"/>
                <w:color w:val="414042" w:themeColor="text1"/>
                <w:sz w:val="22"/>
                <w:lang w:val="en-US"/>
              </w:rPr>
              <w:t>true</w:t>
            </w:r>
            <w:r w:rsidRPr="003F0C86">
              <w:rPr>
                <w:rFonts w:ascii="Arial" w:eastAsia="Calibri" w:hAnsi="Calibri" w:cs="Calibri"/>
                <w:b w:val="0"/>
                <w:bCs w:val="0"/>
                <w:color w:val="414042" w:themeColor="text1"/>
                <w:spacing w:val="-3"/>
                <w:sz w:val="22"/>
                <w:lang w:val="en-US"/>
              </w:rPr>
              <w:t xml:space="preserve"> </w:t>
            </w:r>
            <w:r w:rsidRPr="003F0C86">
              <w:rPr>
                <w:rFonts w:ascii="Arial" w:eastAsia="Calibri" w:hAnsi="Calibri" w:cs="Calibri"/>
                <w:b w:val="0"/>
                <w:bCs w:val="0"/>
                <w:color w:val="414042" w:themeColor="text1"/>
                <w:sz w:val="22"/>
                <w:lang w:val="en-US"/>
              </w:rPr>
              <w:t>and</w:t>
            </w:r>
            <w:r w:rsidRPr="003F0C86">
              <w:rPr>
                <w:rFonts w:ascii="Arial" w:eastAsia="Calibri" w:hAnsi="Calibri" w:cs="Calibri"/>
                <w:b w:val="0"/>
                <w:bCs w:val="0"/>
                <w:color w:val="414042" w:themeColor="text1"/>
                <w:spacing w:val="-3"/>
                <w:sz w:val="22"/>
                <w:lang w:val="en-US"/>
              </w:rPr>
              <w:t xml:space="preserve"> </w:t>
            </w:r>
            <w:r w:rsidRPr="003F0C86">
              <w:rPr>
                <w:rFonts w:ascii="Arial" w:eastAsia="Calibri" w:hAnsi="Calibri" w:cs="Calibri"/>
                <w:b w:val="0"/>
                <w:bCs w:val="0"/>
                <w:color w:val="414042" w:themeColor="text1"/>
                <w:sz w:val="22"/>
                <w:lang w:val="en-US"/>
              </w:rPr>
              <w:t>fair</w:t>
            </w:r>
            <w:r w:rsidRPr="003F0C86">
              <w:rPr>
                <w:rFonts w:ascii="Arial" w:eastAsia="Calibri" w:hAnsi="Calibri" w:cs="Calibri"/>
                <w:b w:val="0"/>
                <w:bCs w:val="0"/>
                <w:color w:val="414042" w:themeColor="text1"/>
                <w:spacing w:val="-2"/>
                <w:sz w:val="22"/>
                <w:lang w:val="en-US"/>
              </w:rPr>
              <w:t xml:space="preserve"> </w:t>
            </w:r>
            <w:r w:rsidRPr="003F0C86">
              <w:rPr>
                <w:rFonts w:ascii="Arial" w:eastAsia="Calibri" w:hAnsi="Calibri" w:cs="Calibri"/>
                <w:b w:val="0"/>
                <w:bCs w:val="0"/>
                <w:color w:val="414042" w:themeColor="text1"/>
                <w:sz w:val="22"/>
                <w:lang w:val="en-US"/>
              </w:rPr>
              <w:t>view</w:t>
            </w:r>
            <w:r w:rsidRPr="003F0C86">
              <w:rPr>
                <w:rFonts w:ascii="Arial" w:eastAsia="Calibri" w:hAnsi="Calibri" w:cs="Calibri"/>
                <w:b w:val="0"/>
                <w:bCs w:val="0"/>
                <w:color w:val="414042" w:themeColor="text1"/>
                <w:spacing w:val="-2"/>
                <w:sz w:val="22"/>
                <w:lang w:val="en-US"/>
              </w:rPr>
              <w:t xml:space="preserve"> </w:t>
            </w:r>
            <w:r w:rsidRPr="003F0C86">
              <w:rPr>
                <w:rFonts w:ascii="Arial" w:eastAsia="Calibri" w:hAnsi="Calibri" w:cs="Calibri"/>
                <w:b w:val="0"/>
                <w:bCs w:val="0"/>
                <w:color w:val="414042" w:themeColor="text1"/>
                <w:sz w:val="22"/>
                <w:lang w:val="en-US"/>
              </w:rPr>
              <w:t>of</w:t>
            </w:r>
            <w:r w:rsidRPr="003F0C86">
              <w:rPr>
                <w:rFonts w:ascii="Arial" w:eastAsia="Calibri" w:hAnsi="Calibri" w:cs="Calibri"/>
                <w:b w:val="0"/>
                <w:bCs w:val="0"/>
                <w:color w:val="414042" w:themeColor="text1"/>
                <w:spacing w:val="-1"/>
                <w:sz w:val="22"/>
                <w:lang w:val="en-US"/>
              </w:rPr>
              <w:t xml:space="preserve"> </w:t>
            </w:r>
            <w:r w:rsidRPr="003F0C86">
              <w:rPr>
                <w:rFonts w:ascii="Arial" w:eastAsia="Calibri" w:hAnsi="Calibri" w:cs="Calibri"/>
                <w:b w:val="0"/>
                <w:bCs w:val="0"/>
                <w:color w:val="414042" w:themeColor="text1"/>
                <w:sz w:val="22"/>
                <w:lang w:val="en-US"/>
              </w:rPr>
              <w:t>the</w:t>
            </w:r>
            <w:r w:rsidRPr="003F0C86">
              <w:rPr>
                <w:rFonts w:ascii="Arial" w:eastAsia="Calibri" w:hAnsi="Calibri" w:cs="Calibri"/>
                <w:b w:val="0"/>
                <w:bCs w:val="0"/>
                <w:color w:val="414042" w:themeColor="text1"/>
                <w:spacing w:val="-5"/>
                <w:sz w:val="22"/>
                <w:lang w:val="en-US"/>
              </w:rPr>
              <w:t xml:space="preserve"> </w:t>
            </w:r>
            <w:r w:rsidRPr="003F0C86">
              <w:rPr>
                <w:rFonts w:ascii="Arial" w:eastAsia="Calibri" w:hAnsi="Calibri" w:cs="Calibri"/>
                <w:b w:val="0"/>
                <w:bCs w:val="0"/>
                <w:color w:val="414042" w:themeColor="text1"/>
                <w:sz w:val="22"/>
                <w:lang w:val="en-US"/>
              </w:rPr>
              <w:t>entity's</w:t>
            </w:r>
            <w:r w:rsidRPr="003F0C86">
              <w:rPr>
                <w:rFonts w:ascii="Arial" w:eastAsia="Calibri" w:hAnsi="Calibri" w:cs="Calibri"/>
                <w:b w:val="0"/>
                <w:bCs w:val="0"/>
                <w:color w:val="414042" w:themeColor="text1"/>
                <w:spacing w:val="-4"/>
                <w:sz w:val="22"/>
                <w:lang w:val="en-US"/>
              </w:rPr>
              <w:t xml:space="preserve"> </w:t>
            </w:r>
            <w:r w:rsidRPr="003F0C86">
              <w:rPr>
                <w:rFonts w:ascii="Arial" w:eastAsia="Calibri" w:hAnsi="Calibri" w:cs="Calibri"/>
                <w:b w:val="0"/>
                <w:bCs w:val="0"/>
                <w:color w:val="414042" w:themeColor="text1"/>
                <w:sz w:val="22"/>
                <w:lang w:val="en-US"/>
              </w:rPr>
              <w:t>financial</w:t>
            </w:r>
            <w:r w:rsidRPr="003F0C86">
              <w:rPr>
                <w:rFonts w:ascii="Arial" w:eastAsia="Calibri" w:hAnsi="Calibri" w:cs="Calibri"/>
                <w:b w:val="0"/>
                <w:bCs w:val="0"/>
                <w:color w:val="414042" w:themeColor="text1"/>
                <w:spacing w:val="-2"/>
                <w:sz w:val="22"/>
                <w:lang w:val="en-US"/>
              </w:rPr>
              <w:t xml:space="preserve"> </w:t>
            </w:r>
            <w:r w:rsidRPr="003F0C86">
              <w:rPr>
                <w:rFonts w:ascii="Arial" w:eastAsia="Calibri" w:hAnsi="Calibri" w:cs="Calibri"/>
                <w:b w:val="0"/>
                <w:bCs w:val="0"/>
                <w:color w:val="414042" w:themeColor="text1"/>
                <w:sz w:val="22"/>
                <w:lang w:val="en-US"/>
              </w:rPr>
              <w:t>position</w:t>
            </w:r>
            <w:r w:rsidRPr="003F0C86">
              <w:rPr>
                <w:rFonts w:ascii="Arial" w:eastAsia="Calibri" w:hAnsi="Calibri" w:cs="Calibri"/>
                <w:b w:val="0"/>
                <w:bCs w:val="0"/>
                <w:color w:val="414042" w:themeColor="text1"/>
                <w:spacing w:val="-1"/>
                <w:sz w:val="22"/>
                <w:lang w:val="en-US"/>
              </w:rPr>
              <w:t xml:space="preserve"> </w:t>
            </w:r>
            <w:r w:rsidRPr="003F0C86">
              <w:rPr>
                <w:rFonts w:ascii="Arial" w:eastAsia="Calibri" w:hAnsi="Calibri" w:cs="Calibri"/>
                <w:b w:val="0"/>
                <w:bCs w:val="0"/>
                <w:color w:val="414042" w:themeColor="text1"/>
                <w:sz w:val="22"/>
                <w:lang w:val="en-US"/>
              </w:rPr>
              <w:t>as</w:t>
            </w:r>
            <w:r w:rsidRPr="003F0C86">
              <w:rPr>
                <w:rFonts w:ascii="Arial" w:eastAsia="Calibri" w:hAnsi="Calibri" w:cs="Calibri"/>
                <w:b w:val="0"/>
                <w:bCs w:val="0"/>
                <w:color w:val="414042" w:themeColor="text1"/>
                <w:spacing w:val="-2"/>
                <w:sz w:val="22"/>
                <w:lang w:val="en-US"/>
              </w:rPr>
              <w:t xml:space="preserve"> </w:t>
            </w:r>
            <w:proofErr w:type="gramStart"/>
            <w:r w:rsidRPr="003F0C86">
              <w:rPr>
                <w:rFonts w:ascii="Arial" w:eastAsia="Calibri" w:hAnsi="Calibri" w:cs="Calibri"/>
                <w:b w:val="0"/>
                <w:bCs w:val="0"/>
                <w:color w:val="414042" w:themeColor="text1"/>
                <w:sz w:val="22"/>
                <w:lang w:val="en-US"/>
              </w:rPr>
              <w:t>at</w:t>
            </w:r>
            <w:proofErr w:type="gramEnd"/>
            <w:r w:rsidRPr="003F0C86">
              <w:rPr>
                <w:rFonts w:ascii="Arial" w:eastAsia="Calibri" w:hAnsi="Calibri" w:cs="Calibri"/>
                <w:b w:val="0"/>
                <w:bCs w:val="0"/>
                <w:color w:val="414042" w:themeColor="text1"/>
                <w:sz w:val="22"/>
                <w:lang w:val="en-US"/>
              </w:rPr>
              <w:t xml:space="preserve"> 30</w:t>
            </w:r>
            <w:r w:rsidRPr="003F0C86">
              <w:rPr>
                <w:rFonts w:ascii="Arial" w:eastAsia="Calibri" w:hAnsi="Calibri" w:cs="Calibri"/>
                <w:b w:val="0"/>
                <w:bCs w:val="0"/>
                <w:color w:val="414042" w:themeColor="text1"/>
                <w:spacing w:val="-3"/>
                <w:sz w:val="22"/>
                <w:lang w:val="en-US"/>
              </w:rPr>
              <w:t xml:space="preserve"> </w:t>
            </w:r>
            <w:r w:rsidRPr="003F0C86">
              <w:rPr>
                <w:rFonts w:ascii="Arial" w:eastAsia="Calibri" w:hAnsi="Calibri" w:cs="Calibri"/>
                <w:b w:val="0"/>
                <w:bCs w:val="0"/>
                <w:color w:val="414042" w:themeColor="text1"/>
                <w:sz w:val="22"/>
                <w:lang w:val="en-US"/>
              </w:rPr>
              <w:t>June</w:t>
            </w:r>
            <w:r w:rsidRPr="003F0C86">
              <w:rPr>
                <w:rFonts w:ascii="Arial" w:eastAsia="Calibri" w:hAnsi="Calibri" w:cs="Calibri"/>
                <w:b w:val="0"/>
                <w:bCs w:val="0"/>
                <w:color w:val="414042" w:themeColor="text1"/>
                <w:spacing w:val="-5"/>
                <w:sz w:val="22"/>
                <w:lang w:val="en-US"/>
              </w:rPr>
              <w:t xml:space="preserve"> </w:t>
            </w:r>
            <w:r w:rsidRPr="003F0C86">
              <w:rPr>
                <w:rFonts w:ascii="Arial" w:eastAsia="Calibri" w:hAnsi="Calibri" w:cs="Calibri"/>
                <w:b w:val="0"/>
                <w:bCs w:val="0"/>
                <w:color w:val="414042" w:themeColor="text1"/>
                <w:sz w:val="22"/>
                <w:lang w:val="en-US"/>
              </w:rPr>
              <w:t>2023</w:t>
            </w:r>
            <w:r w:rsidRPr="003F0C86">
              <w:rPr>
                <w:rFonts w:ascii="Arial" w:eastAsia="Calibri" w:hAnsi="Calibri" w:cs="Calibri"/>
                <w:b w:val="0"/>
                <w:bCs w:val="0"/>
                <w:color w:val="414042" w:themeColor="text1"/>
                <w:spacing w:val="-1"/>
                <w:sz w:val="22"/>
                <w:lang w:val="en-US"/>
              </w:rPr>
              <w:t xml:space="preserve"> </w:t>
            </w:r>
            <w:r w:rsidRPr="003F0C86">
              <w:rPr>
                <w:rFonts w:ascii="Arial" w:eastAsia="Calibri" w:hAnsi="Calibri" w:cs="Calibri"/>
                <w:b w:val="0"/>
                <w:bCs w:val="0"/>
                <w:color w:val="414042" w:themeColor="text1"/>
                <w:sz w:val="22"/>
                <w:lang w:val="en-US"/>
              </w:rPr>
              <w:t>and</w:t>
            </w:r>
            <w:r w:rsidRPr="003F0C86">
              <w:rPr>
                <w:rFonts w:ascii="Arial" w:eastAsia="Calibri" w:hAnsi="Calibri" w:cs="Calibri"/>
                <w:b w:val="0"/>
                <w:bCs w:val="0"/>
                <w:color w:val="414042" w:themeColor="text1"/>
                <w:spacing w:val="-1"/>
                <w:sz w:val="22"/>
                <w:lang w:val="en-US"/>
              </w:rPr>
              <w:t xml:space="preserve"> </w:t>
            </w:r>
            <w:r w:rsidRPr="003F0C86">
              <w:rPr>
                <w:rFonts w:ascii="Arial" w:eastAsia="Calibri" w:hAnsi="Calibri" w:cs="Calibri"/>
                <w:b w:val="0"/>
                <w:bCs w:val="0"/>
                <w:color w:val="414042" w:themeColor="text1"/>
                <w:sz w:val="22"/>
                <w:lang w:val="en-US"/>
              </w:rPr>
              <w:t>its financial performance and cash flows for the year then ended</w:t>
            </w:r>
          </w:p>
          <w:p w14:paraId="7C95A912" w14:textId="77777777" w:rsidR="003F0C86" w:rsidRPr="003F0C86" w:rsidRDefault="003F0C86" w:rsidP="003F0C86">
            <w:pPr>
              <w:widowControl w:val="0"/>
              <w:numPr>
                <w:ilvl w:val="0"/>
                <w:numId w:val="69"/>
              </w:numPr>
              <w:tabs>
                <w:tab w:val="left" w:pos="684"/>
              </w:tabs>
              <w:autoSpaceDE w:val="0"/>
              <w:autoSpaceDN w:val="0"/>
              <w:spacing w:before="118" w:after="0" w:line="266" w:lineRule="auto"/>
              <w:ind w:right="556" w:hanging="567"/>
              <w:rPr>
                <w:rFonts w:ascii="Arial" w:eastAsia="Calibri" w:hAnsi="Calibri" w:cs="Calibri"/>
                <w:b w:val="0"/>
                <w:bCs w:val="0"/>
                <w:color w:val="414042" w:themeColor="text1"/>
                <w:sz w:val="22"/>
                <w:lang w:val="en-US"/>
              </w:rPr>
            </w:pPr>
            <w:r w:rsidRPr="003F0C86">
              <w:rPr>
                <w:rFonts w:ascii="Arial" w:eastAsia="Calibri" w:hAnsi="Calibri" w:cs="Calibri"/>
                <w:b w:val="0"/>
                <w:bCs w:val="0"/>
                <w:color w:val="414042" w:themeColor="text1"/>
                <w:sz w:val="22"/>
                <w:lang w:val="en-US"/>
              </w:rPr>
              <w:t>complies</w:t>
            </w:r>
            <w:r w:rsidRPr="003F0C86">
              <w:rPr>
                <w:rFonts w:ascii="Arial" w:eastAsia="Calibri" w:hAnsi="Calibri" w:cs="Calibri"/>
                <w:b w:val="0"/>
                <w:bCs w:val="0"/>
                <w:color w:val="414042" w:themeColor="text1"/>
                <w:spacing w:val="-3"/>
                <w:sz w:val="22"/>
                <w:lang w:val="en-US"/>
              </w:rPr>
              <w:t xml:space="preserve"> </w:t>
            </w:r>
            <w:r w:rsidRPr="003F0C86">
              <w:rPr>
                <w:rFonts w:ascii="Arial" w:eastAsia="Calibri" w:hAnsi="Calibri" w:cs="Calibri"/>
                <w:b w:val="0"/>
                <w:bCs w:val="0"/>
                <w:color w:val="414042" w:themeColor="text1"/>
                <w:sz w:val="22"/>
                <w:lang w:val="en-US"/>
              </w:rPr>
              <w:t>with</w:t>
            </w:r>
            <w:r w:rsidRPr="003F0C86">
              <w:rPr>
                <w:rFonts w:ascii="Arial" w:eastAsia="Calibri" w:hAnsi="Calibri" w:cs="Calibri"/>
                <w:b w:val="0"/>
                <w:bCs w:val="0"/>
                <w:color w:val="414042" w:themeColor="text1"/>
                <w:spacing w:val="-4"/>
                <w:sz w:val="22"/>
                <w:lang w:val="en-US"/>
              </w:rPr>
              <w:t xml:space="preserve"> </w:t>
            </w:r>
            <w:r w:rsidRPr="003F0C86">
              <w:rPr>
                <w:rFonts w:ascii="Arial" w:eastAsia="Calibri" w:hAnsi="Calibri" w:cs="Calibri"/>
                <w:b w:val="0"/>
                <w:bCs w:val="0"/>
                <w:color w:val="414042" w:themeColor="text1"/>
                <w:sz w:val="22"/>
                <w:lang w:val="en-US"/>
              </w:rPr>
              <w:t>the</w:t>
            </w:r>
            <w:r w:rsidRPr="003F0C86">
              <w:rPr>
                <w:rFonts w:ascii="Arial" w:eastAsia="Calibri" w:hAnsi="Calibri" w:cs="Calibri"/>
                <w:b w:val="0"/>
                <w:bCs w:val="0"/>
                <w:color w:val="414042" w:themeColor="text1"/>
                <w:spacing w:val="-2"/>
                <w:sz w:val="22"/>
                <w:lang w:val="en-US"/>
              </w:rPr>
              <w:t xml:space="preserve"> </w:t>
            </w:r>
            <w:r w:rsidRPr="003F0C86">
              <w:rPr>
                <w:rFonts w:ascii="Arial" w:eastAsia="Calibri" w:hAnsi="Calibri" w:cs="Calibri"/>
                <w:b w:val="0"/>
                <w:bCs w:val="0"/>
                <w:i/>
                <w:color w:val="414042" w:themeColor="text1"/>
                <w:sz w:val="22"/>
                <w:lang w:val="en-US"/>
              </w:rPr>
              <w:t>Financial</w:t>
            </w:r>
            <w:r w:rsidRPr="003F0C86">
              <w:rPr>
                <w:rFonts w:ascii="Arial" w:eastAsia="Calibri" w:hAnsi="Calibri" w:cs="Calibri"/>
                <w:b w:val="0"/>
                <w:bCs w:val="0"/>
                <w:i/>
                <w:color w:val="414042" w:themeColor="text1"/>
                <w:spacing w:val="-3"/>
                <w:sz w:val="22"/>
                <w:lang w:val="en-US"/>
              </w:rPr>
              <w:t xml:space="preserve"> </w:t>
            </w:r>
            <w:r w:rsidRPr="003F0C86">
              <w:rPr>
                <w:rFonts w:ascii="Arial" w:eastAsia="Calibri" w:hAnsi="Calibri" w:cs="Calibri"/>
                <w:b w:val="0"/>
                <w:bCs w:val="0"/>
                <w:i/>
                <w:color w:val="414042" w:themeColor="text1"/>
                <w:sz w:val="22"/>
                <w:lang w:val="en-US"/>
              </w:rPr>
              <w:t>Accountability</w:t>
            </w:r>
            <w:r w:rsidRPr="003F0C86">
              <w:rPr>
                <w:rFonts w:ascii="Arial" w:eastAsia="Calibri" w:hAnsi="Calibri" w:cs="Calibri"/>
                <w:b w:val="0"/>
                <w:bCs w:val="0"/>
                <w:i/>
                <w:color w:val="414042" w:themeColor="text1"/>
                <w:spacing w:val="-1"/>
                <w:sz w:val="22"/>
                <w:lang w:val="en-US"/>
              </w:rPr>
              <w:t xml:space="preserve"> </w:t>
            </w:r>
            <w:r w:rsidRPr="003F0C86">
              <w:rPr>
                <w:rFonts w:ascii="Arial" w:eastAsia="Calibri" w:hAnsi="Calibri" w:cs="Calibri"/>
                <w:b w:val="0"/>
                <w:bCs w:val="0"/>
                <w:i/>
                <w:color w:val="414042" w:themeColor="text1"/>
                <w:sz w:val="22"/>
                <w:lang w:val="en-US"/>
              </w:rPr>
              <w:t>Act</w:t>
            </w:r>
            <w:r w:rsidRPr="003F0C86">
              <w:rPr>
                <w:rFonts w:ascii="Arial" w:eastAsia="Calibri" w:hAnsi="Calibri" w:cs="Calibri"/>
                <w:b w:val="0"/>
                <w:bCs w:val="0"/>
                <w:i/>
                <w:color w:val="414042" w:themeColor="text1"/>
                <w:spacing w:val="-5"/>
                <w:sz w:val="22"/>
                <w:lang w:val="en-US"/>
              </w:rPr>
              <w:t xml:space="preserve"> </w:t>
            </w:r>
            <w:r w:rsidRPr="003F0C86">
              <w:rPr>
                <w:rFonts w:ascii="Arial" w:eastAsia="Calibri" w:hAnsi="Calibri" w:cs="Calibri"/>
                <w:b w:val="0"/>
                <w:bCs w:val="0"/>
                <w:i/>
                <w:color w:val="414042" w:themeColor="text1"/>
                <w:sz w:val="22"/>
                <w:lang w:val="en-US"/>
              </w:rPr>
              <w:t>2009</w:t>
            </w:r>
            <w:r w:rsidRPr="003F0C86">
              <w:rPr>
                <w:rFonts w:ascii="Arial" w:eastAsia="Calibri" w:hAnsi="Calibri" w:cs="Calibri"/>
                <w:b w:val="0"/>
                <w:bCs w:val="0"/>
                <w:color w:val="414042" w:themeColor="text1"/>
                <w:sz w:val="22"/>
                <w:lang w:val="en-US"/>
              </w:rPr>
              <w:t>,</w:t>
            </w:r>
            <w:r w:rsidRPr="003F0C86">
              <w:rPr>
                <w:rFonts w:ascii="Arial" w:eastAsia="Calibri" w:hAnsi="Calibri" w:cs="Calibri"/>
                <w:b w:val="0"/>
                <w:bCs w:val="0"/>
                <w:color w:val="414042" w:themeColor="text1"/>
                <w:spacing w:val="-5"/>
                <w:sz w:val="22"/>
                <w:lang w:val="en-US"/>
              </w:rPr>
              <w:t xml:space="preserve"> </w:t>
            </w:r>
            <w:r w:rsidRPr="003F0C86">
              <w:rPr>
                <w:rFonts w:ascii="Arial" w:eastAsia="Calibri" w:hAnsi="Calibri" w:cs="Calibri"/>
                <w:b w:val="0"/>
                <w:bCs w:val="0"/>
                <w:color w:val="414042" w:themeColor="text1"/>
                <w:sz w:val="22"/>
                <w:lang w:val="en-US"/>
              </w:rPr>
              <w:t>the</w:t>
            </w:r>
            <w:r w:rsidRPr="003F0C86">
              <w:rPr>
                <w:rFonts w:ascii="Arial" w:eastAsia="Calibri" w:hAnsi="Calibri" w:cs="Calibri"/>
                <w:b w:val="0"/>
                <w:bCs w:val="0"/>
                <w:color w:val="414042" w:themeColor="text1"/>
                <w:spacing w:val="-2"/>
                <w:sz w:val="22"/>
                <w:lang w:val="en-US"/>
              </w:rPr>
              <w:t xml:space="preserve"> </w:t>
            </w:r>
            <w:r w:rsidRPr="003F0C86">
              <w:rPr>
                <w:rFonts w:ascii="Arial" w:eastAsia="Calibri" w:hAnsi="Calibri" w:cs="Calibri"/>
                <w:b w:val="0"/>
                <w:bCs w:val="0"/>
                <w:color w:val="414042" w:themeColor="text1"/>
                <w:sz w:val="22"/>
                <w:lang w:val="en-US"/>
              </w:rPr>
              <w:t>Financial</w:t>
            </w:r>
            <w:r w:rsidRPr="003F0C86">
              <w:rPr>
                <w:rFonts w:ascii="Arial" w:eastAsia="Calibri" w:hAnsi="Calibri" w:cs="Calibri"/>
                <w:b w:val="0"/>
                <w:bCs w:val="0"/>
                <w:color w:val="414042" w:themeColor="text1"/>
                <w:spacing w:val="-3"/>
                <w:sz w:val="22"/>
                <w:lang w:val="en-US"/>
              </w:rPr>
              <w:t xml:space="preserve"> </w:t>
            </w:r>
            <w:r w:rsidRPr="003F0C86">
              <w:rPr>
                <w:rFonts w:ascii="Arial" w:eastAsia="Calibri" w:hAnsi="Calibri" w:cs="Calibri"/>
                <w:b w:val="0"/>
                <w:bCs w:val="0"/>
                <w:color w:val="414042" w:themeColor="text1"/>
                <w:sz w:val="22"/>
                <w:lang w:val="en-US"/>
              </w:rPr>
              <w:t>and</w:t>
            </w:r>
            <w:r w:rsidRPr="003F0C86">
              <w:rPr>
                <w:rFonts w:ascii="Arial" w:eastAsia="Calibri" w:hAnsi="Calibri" w:cs="Calibri"/>
                <w:b w:val="0"/>
                <w:bCs w:val="0"/>
                <w:color w:val="414042" w:themeColor="text1"/>
                <w:spacing w:val="-4"/>
                <w:sz w:val="22"/>
                <w:lang w:val="en-US"/>
              </w:rPr>
              <w:t xml:space="preserve"> </w:t>
            </w:r>
            <w:r w:rsidRPr="003F0C86">
              <w:rPr>
                <w:rFonts w:ascii="Arial" w:eastAsia="Calibri" w:hAnsi="Calibri" w:cs="Calibri"/>
                <w:b w:val="0"/>
                <w:bCs w:val="0"/>
                <w:color w:val="414042" w:themeColor="text1"/>
                <w:sz w:val="22"/>
                <w:lang w:val="en-US"/>
              </w:rPr>
              <w:t>Performance Management Standard 2019 and Australian Accounting Standards.</w:t>
            </w:r>
          </w:p>
          <w:p w14:paraId="14841BF1"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Arial" w:hAnsi="Arial" w:cs="Arial"/>
                <w:b w:val="0"/>
                <w:bCs w:val="0"/>
                <w:color w:val="414042" w:themeColor="text1"/>
                <w:sz w:val="22"/>
                <w:lang w:val="en-US"/>
              </w:rPr>
            </w:pPr>
            <w:r w:rsidRPr="003F0C86">
              <w:rPr>
                <w:rFonts w:ascii="Arial" w:eastAsia="Arial" w:hAnsi="Arial" w:cs="Arial"/>
                <w:b w:val="0"/>
                <w:bCs w:val="0"/>
                <w:color w:val="414042" w:themeColor="text1"/>
                <w:sz w:val="22"/>
                <w:lang w:val="en-US"/>
              </w:rPr>
              <w:t xml:space="preserve">The financial report comprises the statement of financial position as </w:t>
            </w:r>
            <w:proofErr w:type="gramStart"/>
            <w:r w:rsidRPr="003F0C86">
              <w:rPr>
                <w:rFonts w:ascii="Arial" w:eastAsia="Arial" w:hAnsi="Arial" w:cs="Arial"/>
                <w:b w:val="0"/>
                <w:bCs w:val="0"/>
                <w:color w:val="414042" w:themeColor="text1"/>
                <w:sz w:val="22"/>
                <w:lang w:val="en-US"/>
              </w:rPr>
              <w:t>at</w:t>
            </w:r>
            <w:proofErr w:type="gramEnd"/>
            <w:r w:rsidRPr="003F0C86">
              <w:rPr>
                <w:rFonts w:ascii="Arial" w:eastAsia="Arial" w:hAnsi="Arial" w:cs="Arial"/>
                <w:b w:val="0"/>
                <w:bCs w:val="0"/>
                <w:color w:val="414042" w:themeColor="text1"/>
                <w:sz w:val="22"/>
                <w:lang w:val="en-US"/>
              </w:rPr>
              <w:t xml:space="preserve"> 30 June 2023, the statement of comprehensive income, statement of changes in equity and statement of cash flows</w:t>
            </w:r>
            <w:r w:rsidRPr="003F0C86">
              <w:rPr>
                <w:rFonts w:ascii="Arial" w:eastAsia="Arial" w:hAnsi="Arial" w:cs="Arial"/>
                <w:b w:val="0"/>
                <w:bCs w:val="0"/>
                <w:color w:val="414042" w:themeColor="text1"/>
                <w:spacing w:val="-2"/>
                <w:sz w:val="22"/>
                <w:lang w:val="en-US"/>
              </w:rPr>
              <w:t xml:space="preserve"> </w:t>
            </w:r>
            <w:r w:rsidRPr="003F0C86">
              <w:rPr>
                <w:rFonts w:ascii="Arial" w:eastAsia="Arial" w:hAnsi="Arial" w:cs="Arial"/>
                <w:b w:val="0"/>
                <w:bCs w:val="0"/>
                <w:color w:val="414042" w:themeColor="text1"/>
                <w:sz w:val="22"/>
                <w:lang w:val="en-US"/>
              </w:rPr>
              <w:t>for</w:t>
            </w:r>
            <w:r w:rsidRPr="003F0C86">
              <w:rPr>
                <w:rFonts w:ascii="Arial" w:eastAsia="Arial" w:hAnsi="Arial" w:cs="Arial"/>
                <w:b w:val="0"/>
                <w:bCs w:val="0"/>
                <w:color w:val="414042" w:themeColor="text1"/>
                <w:spacing w:val="-2"/>
                <w:sz w:val="22"/>
                <w:lang w:val="en-US"/>
              </w:rPr>
              <w:t xml:space="preserve"> </w:t>
            </w:r>
            <w:r w:rsidRPr="003F0C86">
              <w:rPr>
                <w:rFonts w:ascii="Arial" w:eastAsia="Arial" w:hAnsi="Arial" w:cs="Arial"/>
                <w:b w:val="0"/>
                <w:bCs w:val="0"/>
                <w:color w:val="414042" w:themeColor="text1"/>
                <w:sz w:val="22"/>
                <w:lang w:val="en-US"/>
              </w:rPr>
              <w:t>the</w:t>
            </w:r>
            <w:r w:rsidRPr="003F0C86">
              <w:rPr>
                <w:rFonts w:ascii="Arial" w:eastAsia="Arial" w:hAnsi="Arial" w:cs="Arial"/>
                <w:b w:val="0"/>
                <w:bCs w:val="0"/>
                <w:color w:val="414042" w:themeColor="text1"/>
                <w:spacing w:val="-3"/>
                <w:sz w:val="22"/>
                <w:lang w:val="en-US"/>
              </w:rPr>
              <w:t xml:space="preserve"> </w:t>
            </w:r>
            <w:r w:rsidRPr="003F0C86">
              <w:rPr>
                <w:rFonts w:ascii="Arial" w:eastAsia="Arial" w:hAnsi="Arial" w:cs="Arial"/>
                <w:b w:val="0"/>
                <w:bCs w:val="0"/>
                <w:color w:val="414042" w:themeColor="text1"/>
                <w:sz w:val="22"/>
                <w:lang w:val="en-US"/>
              </w:rPr>
              <w:t>year</w:t>
            </w:r>
            <w:r w:rsidRPr="003F0C86">
              <w:rPr>
                <w:rFonts w:ascii="Arial" w:eastAsia="Arial" w:hAnsi="Arial" w:cs="Arial"/>
                <w:b w:val="0"/>
                <w:bCs w:val="0"/>
                <w:color w:val="414042" w:themeColor="text1"/>
                <w:spacing w:val="-2"/>
                <w:sz w:val="22"/>
                <w:lang w:val="en-US"/>
              </w:rPr>
              <w:t xml:space="preserve"> </w:t>
            </w:r>
            <w:r w:rsidRPr="003F0C86">
              <w:rPr>
                <w:rFonts w:ascii="Arial" w:eastAsia="Arial" w:hAnsi="Arial" w:cs="Arial"/>
                <w:b w:val="0"/>
                <w:bCs w:val="0"/>
                <w:color w:val="414042" w:themeColor="text1"/>
                <w:sz w:val="22"/>
                <w:lang w:val="en-US"/>
              </w:rPr>
              <w:t>then</w:t>
            </w:r>
            <w:r w:rsidRPr="003F0C86">
              <w:rPr>
                <w:rFonts w:ascii="Arial" w:eastAsia="Arial" w:hAnsi="Arial" w:cs="Arial"/>
                <w:b w:val="0"/>
                <w:bCs w:val="0"/>
                <w:color w:val="414042" w:themeColor="text1"/>
                <w:spacing w:val="-5"/>
                <w:sz w:val="22"/>
                <w:lang w:val="en-US"/>
              </w:rPr>
              <w:t xml:space="preserve"> </w:t>
            </w:r>
            <w:r w:rsidRPr="003F0C86">
              <w:rPr>
                <w:rFonts w:ascii="Arial" w:eastAsia="Arial" w:hAnsi="Arial" w:cs="Arial"/>
                <w:b w:val="0"/>
                <w:bCs w:val="0"/>
                <w:color w:val="414042" w:themeColor="text1"/>
                <w:sz w:val="22"/>
                <w:lang w:val="en-US"/>
              </w:rPr>
              <w:t>ended,</w:t>
            </w:r>
            <w:r w:rsidRPr="003F0C86">
              <w:rPr>
                <w:rFonts w:ascii="Arial" w:eastAsia="Arial" w:hAnsi="Arial" w:cs="Arial"/>
                <w:b w:val="0"/>
                <w:bCs w:val="0"/>
                <w:color w:val="414042" w:themeColor="text1"/>
                <w:spacing w:val="-1"/>
                <w:sz w:val="22"/>
                <w:lang w:val="en-US"/>
              </w:rPr>
              <w:t xml:space="preserve"> </w:t>
            </w:r>
            <w:r w:rsidRPr="003F0C86">
              <w:rPr>
                <w:rFonts w:ascii="Arial" w:eastAsia="Arial" w:hAnsi="Arial" w:cs="Arial"/>
                <w:b w:val="0"/>
                <w:bCs w:val="0"/>
                <w:color w:val="414042" w:themeColor="text1"/>
                <w:sz w:val="22"/>
                <w:lang w:val="en-US"/>
              </w:rPr>
              <w:t>notes</w:t>
            </w:r>
            <w:r w:rsidRPr="003F0C86">
              <w:rPr>
                <w:rFonts w:ascii="Arial" w:eastAsia="Arial" w:hAnsi="Arial" w:cs="Arial"/>
                <w:b w:val="0"/>
                <w:bCs w:val="0"/>
                <w:color w:val="414042" w:themeColor="text1"/>
                <w:spacing w:val="-4"/>
                <w:sz w:val="22"/>
                <w:lang w:val="en-US"/>
              </w:rPr>
              <w:t xml:space="preserve"> </w:t>
            </w:r>
            <w:r w:rsidRPr="003F0C86">
              <w:rPr>
                <w:rFonts w:ascii="Arial" w:eastAsia="Arial" w:hAnsi="Arial" w:cs="Arial"/>
                <w:b w:val="0"/>
                <w:bCs w:val="0"/>
                <w:color w:val="414042" w:themeColor="text1"/>
                <w:sz w:val="22"/>
                <w:lang w:val="en-US"/>
              </w:rPr>
              <w:t>to</w:t>
            </w:r>
            <w:r w:rsidRPr="003F0C86">
              <w:rPr>
                <w:rFonts w:ascii="Arial" w:eastAsia="Arial" w:hAnsi="Arial" w:cs="Arial"/>
                <w:b w:val="0"/>
                <w:bCs w:val="0"/>
                <w:color w:val="414042" w:themeColor="text1"/>
                <w:spacing w:val="-3"/>
                <w:sz w:val="22"/>
                <w:lang w:val="en-US"/>
              </w:rPr>
              <w:t xml:space="preserve"> </w:t>
            </w:r>
            <w:r w:rsidRPr="003F0C86">
              <w:rPr>
                <w:rFonts w:ascii="Arial" w:eastAsia="Arial" w:hAnsi="Arial" w:cs="Arial"/>
                <w:b w:val="0"/>
                <w:bCs w:val="0"/>
                <w:color w:val="414042" w:themeColor="text1"/>
                <w:sz w:val="22"/>
                <w:lang w:val="en-US"/>
              </w:rPr>
              <w:t>the</w:t>
            </w:r>
            <w:r w:rsidRPr="003F0C86">
              <w:rPr>
                <w:rFonts w:ascii="Arial" w:eastAsia="Arial" w:hAnsi="Arial" w:cs="Arial"/>
                <w:b w:val="0"/>
                <w:bCs w:val="0"/>
                <w:color w:val="414042" w:themeColor="text1"/>
                <w:spacing w:val="-5"/>
                <w:sz w:val="22"/>
                <w:lang w:val="en-US"/>
              </w:rPr>
              <w:t xml:space="preserve"> </w:t>
            </w:r>
            <w:r w:rsidRPr="003F0C86">
              <w:rPr>
                <w:rFonts w:ascii="Arial" w:eastAsia="Arial" w:hAnsi="Arial" w:cs="Arial"/>
                <w:b w:val="0"/>
                <w:bCs w:val="0"/>
                <w:color w:val="414042" w:themeColor="text1"/>
                <w:sz w:val="22"/>
                <w:lang w:val="en-US"/>
              </w:rPr>
              <w:t>financial</w:t>
            </w:r>
            <w:r w:rsidRPr="003F0C86">
              <w:rPr>
                <w:rFonts w:ascii="Arial" w:eastAsia="Arial" w:hAnsi="Arial" w:cs="Arial"/>
                <w:b w:val="0"/>
                <w:bCs w:val="0"/>
                <w:color w:val="414042" w:themeColor="text1"/>
                <w:spacing w:val="-2"/>
                <w:sz w:val="22"/>
                <w:lang w:val="en-US"/>
              </w:rPr>
              <w:t xml:space="preserve"> </w:t>
            </w:r>
            <w:r w:rsidRPr="003F0C86">
              <w:rPr>
                <w:rFonts w:ascii="Arial" w:eastAsia="Arial" w:hAnsi="Arial" w:cs="Arial"/>
                <w:b w:val="0"/>
                <w:bCs w:val="0"/>
                <w:color w:val="414042" w:themeColor="text1"/>
                <w:sz w:val="22"/>
                <w:lang w:val="en-US"/>
              </w:rPr>
              <w:t>statements including</w:t>
            </w:r>
            <w:r w:rsidRPr="003F0C86">
              <w:rPr>
                <w:rFonts w:ascii="Arial" w:eastAsia="Arial" w:hAnsi="Arial" w:cs="Arial"/>
                <w:b w:val="0"/>
                <w:bCs w:val="0"/>
                <w:color w:val="414042" w:themeColor="text1"/>
                <w:spacing w:val="-3"/>
                <w:sz w:val="22"/>
                <w:lang w:val="en-US"/>
              </w:rPr>
              <w:t xml:space="preserve"> </w:t>
            </w:r>
            <w:r w:rsidRPr="003F0C86">
              <w:rPr>
                <w:rFonts w:ascii="Arial" w:eastAsia="Arial" w:hAnsi="Arial" w:cs="Arial"/>
                <w:b w:val="0"/>
                <w:bCs w:val="0"/>
                <w:color w:val="414042" w:themeColor="text1"/>
                <w:sz w:val="22"/>
                <w:lang w:val="en-US"/>
              </w:rPr>
              <w:t>material</w:t>
            </w:r>
            <w:r w:rsidRPr="003F0C86">
              <w:rPr>
                <w:rFonts w:ascii="Arial" w:eastAsia="Arial" w:hAnsi="Arial" w:cs="Arial"/>
                <w:b w:val="0"/>
                <w:bCs w:val="0"/>
                <w:color w:val="414042" w:themeColor="text1"/>
                <w:spacing w:val="-2"/>
                <w:sz w:val="22"/>
                <w:lang w:val="en-US"/>
              </w:rPr>
              <w:t xml:space="preserve"> </w:t>
            </w:r>
            <w:r w:rsidRPr="003F0C86">
              <w:rPr>
                <w:rFonts w:ascii="Arial" w:eastAsia="Arial" w:hAnsi="Arial" w:cs="Arial"/>
                <w:b w:val="0"/>
                <w:bCs w:val="0"/>
                <w:color w:val="414042" w:themeColor="text1"/>
                <w:sz w:val="22"/>
                <w:lang w:val="en-US"/>
              </w:rPr>
              <w:t>accounting policy information, and the management certificate.</w:t>
            </w:r>
          </w:p>
          <w:p w14:paraId="2B309E88" w14:textId="77777777" w:rsidR="003F0C86" w:rsidRPr="003F0C86" w:rsidRDefault="003F0C86" w:rsidP="003F0C86">
            <w:pPr>
              <w:keepNext/>
              <w:widowControl w:val="0"/>
              <w:spacing w:before="120" w:after="120"/>
              <w:ind w:right="-425"/>
              <w:outlineLvl w:val="2"/>
              <w:rPr>
                <w:rFonts w:ascii="Arial" w:eastAsia="Times New Roman" w:hAnsi="Arial" w:cs="Arial"/>
                <w:noProof/>
                <w:color w:val="414042" w:themeColor="text1"/>
                <w:sz w:val="22"/>
                <w:lang w:eastAsia="en-AU"/>
              </w:rPr>
            </w:pPr>
            <w:r w:rsidRPr="003F0C86">
              <w:rPr>
                <w:rFonts w:ascii="Arial" w:eastAsia="Times New Roman" w:hAnsi="Arial" w:cs="Arial"/>
                <w:noProof/>
                <w:color w:val="414042" w:themeColor="text1"/>
                <w:sz w:val="22"/>
                <w:lang w:eastAsia="en-AU"/>
              </w:rPr>
              <w:t>Basis</w:t>
            </w:r>
            <w:r w:rsidRPr="003F0C86">
              <w:rPr>
                <w:rFonts w:ascii="Arial" w:eastAsia="Times New Roman" w:hAnsi="Arial" w:cs="Arial"/>
                <w:noProof/>
                <w:color w:val="414042" w:themeColor="text1"/>
                <w:spacing w:val="-5"/>
                <w:sz w:val="22"/>
                <w:lang w:eastAsia="en-AU"/>
              </w:rPr>
              <w:t xml:space="preserve"> </w:t>
            </w:r>
            <w:r w:rsidRPr="003F0C86">
              <w:rPr>
                <w:rFonts w:ascii="Arial" w:eastAsia="Times New Roman" w:hAnsi="Arial" w:cs="Arial"/>
                <w:noProof/>
                <w:color w:val="414042" w:themeColor="text1"/>
                <w:sz w:val="22"/>
                <w:lang w:eastAsia="en-AU"/>
              </w:rPr>
              <w:t>for opinion</w:t>
            </w:r>
          </w:p>
          <w:p w14:paraId="033E80CE"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Calibri" w:hAnsi="Arial" w:cs="Arial"/>
                <w:b w:val="0"/>
                <w:bCs w:val="0"/>
                <w:color w:val="414042" w:themeColor="text1"/>
                <w:sz w:val="22"/>
              </w:rPr>
            </w:pPr>
            <w:r w:rsidRPr="003F0C86">
              <w:rPr>
                <w:rFonts w:ascii="Arial" w:eastAsia="Calibri" w:hAnsi="Arial" w:cs="Arial"/>
                <w:b w:val="0"/>
                <w:bCs w:val="0"/>
                <w:color w:val="414042" w:themeColor="text1"/>
                <w:sz w:val="22"/>
              </w:rPr>
              <w:t xml:space="preserve">I conducted my audit in accordance with the </w:t>
            </w:r>
            <w:r w:rsidRPr="003F0C86">
              <w:rPr>
                <w:rFonts w:ascii="Arial" w:eastAsia="Calibri" w:hAnsi="Arial" w:cs="Arial"/>
                <w:b w:val="0"/>
                <w:bCs w:val="0"/>
                <w:i/>
                <w:iCs/>
                <w:color w:val="414042" w:themeColor="text1"/>
                <w:sz w:val="22"/>
              </w:rPr>
              <w:t>Auditor-General Auditing Standards</w:t>
            </w:r>
            <w:r w:rsidRPr="003F0C86">
              <w:rPr>
                <w:rFonts w:ascii="Arial" w:eastAsia="Calibri" w:hAnsi="Arial" w:cs="Arial"/>
                <w:b w:val="0"/>
                <w:bCs w:val="0"/>
                <w:color w:val="414042" w:themeColor="text1"/>
                <w:sz w:val="22"/>
              </w:rPr>
              <w:t xml:space="preserve">, which incorporate the Australian Auditing Standards. My responsibilities under those standards are further described in the </w:t>
            </w:r>
            <w:r w:rsidRPr="003F0C86">
              <w:rPr>
                <w:rFonts w:ascii="Arial" w:eastAsia="Calibri" w:hAnsi="Arial" w:cs="Arial"/>
                <w:b w:val="0"/>
                <w:bCs w:val="0"/>
                <w:i/>
                <w:iCs/>
                <w:color w:val="414042" w:themeColor="text1"/>
                <w:sz w:val="22"/>
              </w:rPr>
              <w:t>Auditor’s Responsibilities for the Audit of the Financial Report</w:t>
            </w:r>
            <w:r w:rsidRPr="003F0C86">
              <w:rPr>
                <w:rFonts w:ascii="Arial" w:eastAsia="Calibri" w:hAnsi="Arial" w:cs="Arial"/>
                <w:b w:val="0"/>
                <w:bCs w:val="0"/>
                <w:color w:val="414042" w:themeColor="text1"/>
                <w:sz w:val="22"/>
              </w:rPr>
              <w:t xml:space="preserve"> section </w:t>
            </w:r>
            <w:r w:rsidRPr="003F0C86">
              <w:rPr>
                <w:rFonts w:ascii="Arial" w:eastAsia="Calibri" w:hAnsi="Arial" w:cs="Arial"/>
                <w:b w:val="0"/>
                <w:bCs w:val="0"/>
                <w:color w:val="414042" w:themeColor="text1"/>
                <w:sz w:val="22"/>
              </w:rPr>
              <w:br/>
              <w:t>of my report.</w:t>
            </w:r>
          </w:p>
          <w:p w14:paraId="0FE0178F"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Calibri" w:hAnsi="Arial" w:cs="Arial"/>
                <w:b w:val="0"/>
                <w:bCs w:val="0"/>
                <w:color w:val="414042" w:themeColor="text1"/>
                <w:sz w:val="22"/>
              </w:rPr>
            </w:pPr>
            <w:r w:rsidRPr="003F0C86">
              <w:rPr>
                <w:rFonts w:ascii="Arial" w:eastAsia="Calibri" w:hAnsi="Arial" w:cs="Arial"/>
                <w:b w:val="0"/>
                <w:bCs w:val="0"/>
                <w:color w:val="414042" w:themeColor="text1"/>
                <w:sz w:val="22"/>
              </w:rPr>
              <w:t xml:space="preserve">I am independent of the entity in accordance with the ethical requirements of the Accounting Professional and Ethical Standards Board’s APES 110 </w:t>
            </w:r>
            <w:r w:rsidRPr="003F0C86">
              <w:rPr>
                <w:rFonts w:ascii="Arial" w:eastAsia="Calibri" w:hAnsi="Arial" w:cs="Arial"/>
                <w:b w:val="0"/>
                <w:bCs w:val="0"/>
                <w:i/>
                <w:iCs/>
                <w:color w:val="414042" w:themeColor="text1"/>
                <w:sz w:val="22"/>
              </w:rPr>
              <w:t>Code of Ethics for Professional Accountants</w:t>
            </w:r>
            <w:r w:rsidRPr="003F0C86">
              <w:rPr>
                <w:rFonts w:ascii="Arial" w:eastAsia="Calibri" w:hAnsi="Arial" w:cs="Arial"/>
                <w:b w:val="0"/>
                <w:bCs w:val="0"/>
                <w:color w:val="414042" w:themeColor="text1"/>
                <w:sz w:val="22"/>
              </w:rPr>
              <w:t xml:space="preserve"> (the Code) that are relevant to my audit of the financial report in Australia. I </w:t>
            </w:r>
            <w:r w:rsidRPr="003F0C86">
              <w:rPr>
                <w:rFonts w:ascii="Arial" w:eastAsia="Calibri" w:hAnsi="Arial" w:cs="Arial"/>
                <w:b w:val="0"/>
                <w:bCs w:val="0"/>
                <w:color w:val="414042" w:themeColor="text1"/>
                <w:sz w:val="22"/>
              </w:rPr>
              <w:br/>
              <w:t xml:space="preserve">have also fulfilled my other ethical responsibilities in accordance with the Code and the </w:t>
            </w:r>
            <w:r w:rsidRPr="003F0C86">
              <w:rPr>
                <w:rFonts w:ascii="Arial" w:eastAsia="Calibri" w:hAnsi="Arial" w:cs="Arial"/>
                <w:b w:val="0"/>
                <w:bCs w:val="0"/>
                <w:color w:val="414042" w:themeColor="text1"/>
                <w:sz w:val="22"/>
              </w:rPr>
              <w:br/>
            </w:r>
            <w:r w:rsidRPr="003F0C86">
              <w:rPr>
                <w:rFonts w:ascii="Arial" w:eastAsia="Calibri" w:hAnsi="Arial" w:cs="Arial"/>
                <w:b w:val="0"/>
                <w:bCs w:val="0"/>
                <w:i/>
                <w:iCs/>
                <w:color w:val="414042" w:themeColor="text1"/>
                <w:sz w:val="22"/>
              </w:rPr>
              <w:t>Auditor-General Auditing Standards</w:t>
            </w:r>
            <w:r w:rsidRPr="003F0C86">
              <w:rPr>
                <w:rFonts w:ascii="Arial" w:eastAsia="Calibri" w:hAnsi="Arial" w:cs="Arial"/>
                <w:b w:val="0"/>
                <w:bCs w:val="0"/>
                <w:color w:val="414042" w:themeColor="text1"/>
                <w:sz w:val="22"/>
              </w:rPr>
              <w:t>.</w:t>
            </w:r>
          </w:p>
          <w:p w14:paraId="22F48FB0"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Calibri" w:hAnsi="Arial" w:cs="Arial"/>
                <w:b w:val="0"/>
                <w:bCs w:val="0"/>
                <w:color w:val="414042" w:themeColor="text1"/>
                <w:sz w:val="22"/>
              </w:rPr>
            </w:pPr>
            <w:r w:rsidRPr="003F0C86">
              <w:rPr>
                <w:rFonts w:ascii="Arial" w:eastAsia="Calibri" w:hAnsi="Arial" w:cs="Arial"/>
                <w:b w:val="0"/>
                <w:bCs w:val="0"/>
                <w:color w:val="414042" w:themeColor="text1"/>
                <w:sz w:val="22"/>
              </w:rPr>
              <w:t xml:space="preserve">I believe that the audit evidence I have obtained is sufficient and appropriate to provide a </w:t>
            </w:r>
            <w:r w:rsidRPr="003F0C86">
              <w:rPr>
                <w:rFonts w:ascii="Arial" w:eastAsia="Calibri" w:hAnsi="Arial" w:cs="Arial"/>
                <w:b w:val="0"/>
                <w:bCs w:val="0"/>
                <w:color w:val="414042" w:themeColor="text1"/>
                <w:sz w:val="22"/>
              </w:rPr>
              <w:br/>
              <w:t>basis for my opinion.</w:t>
            </w:r>
          </w:p>
          <w:p w14:paraId="1B39090A" w14:textId="77777777" w:rsidR="003F0C86" w:rsidRPr="003F0C86" w:rsidRDefault="003F0C86" w:rsidP="003F0C86">
            <w:pPr>
              <w:keepNext/>
              <w:widowControl w:val="0"/>
              <w:spacing w:before="120" w:after="120"/>
              <w:ind w:right="-425"/>
              <w:outlineLvl w:val="2"/>
              <w:rPr>
                <w:rFonts w:ascii="Arial" w:eastAsia="Times New Roman" w:hAnsi="Arial" w:cs="Arial"/>
                <w:noProof/>
                <w:color w:val="414042" w:themeColor="text1"/>
                <w:spacing w:val="-2"/>
                <w:sz w:val="22"/>
                <w:lang w:eastAsia="en-AU"/>
              </w:rPr>
            </w:pPr>
            <w:r w:rsidRPr="003F0C86">
              <w:rPr>
                <w:rFonts w:ascii="Arial" w:eastAsia="Times New Roman" w:hAnsi="Arial" w:cs="Arial"/>
                <w:noProof/>
                <w:color w:val="414042" w:themeColor="text1"/>
                <w:sz w:val="22"/>
                <w:lang w:eastAsia="en-AU"/>
              </w:rPr>
              <w:t>Responsibilities</w:t>
            </w:r>
            <w:r w:rsidRPr="003F0C86">
              <w:rPr>
                <w:rFonts w:ascii="Arial" w:eastAsia="Times New Roman" w:hAnsi="Arial" w:cs="Arial"/>
                <w:noProof/>
                <w:color w:val="414042" w:themeColor="text1"/>
                <w:spacing w:val="-5"/>
                <w:sz w:val="22"/>
                <w:lang w:eastAsia="en-AU"/>
              </w:rPr>
              <w:t xml:space="preserve"> </w:t>
            </w:r>
            <w:r w:rsidRPr="003F0C86">
              <w:rPr>
                <w:rFonts w:ascii="Arial" w:eastAsia="Times New Roman" w:hAnsi="Arial" w:cs="Arial"/>
                <w:noProof/>
                <w:color w:val="414042" w:themeColor="text1"/>
                <w:sz w:val="22"/>
                <w:lang w:eastAsia="en-AU"/>
              </w:rPr>
              <w:t>of</w:t>
            </w:r>
            <w:r w:rsidRPr="003F0C86">
              <w:rPr>
                <w:rFonts w:ascii="Arial" w:eastAsia="Times New Roman" w:hAnsi="Arial" w:cs="Arial"/>
                <w:noProof/>
                <w:color w:val="414042" w:themeColor="text1"/>
                <w:spacing w:val="-4"/>
                <w:sz w:val="22"/>
                <w:lang w:eastAsia="en-AU"/>
              </w:rPr>
              <w:t xml:space="preserve"> </w:t>
            </w:r>
            <w:r w:rsidRPr="003F0C86">
              <w:rPr>
                <w:rFonts w:ascii="Arial" w:eastAsia="Times New Roman" w:hAnsi="Arial" w:cs="Arial"/>
                <w:noProof/>
                <w:color w:val="414042" w:themeColor="text1"/>
                <w:sz w:val="22"/>
                <w:lang w:eastAsia="en-AU"/>
              </w:rPr>
              <w:t>the</w:t>
            </w:r>
            <w:r w:rsidRPr="003F0C86">
              <w:rPr>
                <w:rFonts w:ascii="Arial" w:eastAsia="Times New Roman" w:hAnsi="Arial" w:cs="Arial"/>
                <w:noProof/>
                <w:color w:val="414042" w:themeColor="text1"/>
                <w:spacing w:val="-7"/>
                <w:sz w:val="22"/>
                <w:lang w:eastAsia="en-AU"/>
              </w:rPr>
              <w:t xml:space="preserve"> </w:t>
            </w:r>
            <w:r w:rsidRPr="003F0C86">
              <w:rPr>
                <w:rFonts w:ascii="Arial" w:eastAsia="Times New Roman" w:hAnsi="Arial" w:cs="Arial"/>
                <w:noProof/>
                <w:color w:val="414042" w:themeColor="text1"/>
                <w:sz w:val="22"/>
                <w:lang w:eastAsia="en-AU"/>
              </w:rPr>
              <w:t>entity</w:t>
            </w:r>
            <w:r w:rsidRPr="003F0C86">
              <w:rPr>
                <w:rFonts w:ascii="Arial" w:eastAsia="Times New Roman" w:hAnsi="Arial" w:cs="Arial"/>
                <w:noProof/>
                <w:color w:val="414042" w:themeColor="text1"/>
                <w:spacing w:val="-6"/>
                <w:sz w:val="22"/>
                <w:lang w:eastAsia="en-AU"/>
              </w:rPr>
              <w:t xml:space="preserve"> </w:t>
            </w:r>
            <w:r w:rsidRPr="003F0C86">
              <w:rPr>
                <w:rFonts w:ascii="Arial" w:eastAsia="Times New Roman" w:hAnsi="Arial" w:cs="Arial"/>
                <w:noProof/>
                <w:color w:val="414042" w:themeColor="text1"/>
                <w:sz w:val="22"/>
                <w:lang w:eastAsia="en-AU"/>
              </w:rPr>
              <w:t>for</w:t>
            </w:r>
            <w:r w:rsidRPr="003F0C86">
              <w:rPr>
                <w:rFonts w:ascii="Arial" w:eastAsia="Times New Roman" w:hAnsi="Arial" w:cs="Arial"/>
                <w:noProof/>
                <w:color w:val="414042" w:themeColor="text1"/>
                <w:spacing w:val="-4"/>
                <w:sz w:val="22"/>
                <w:lang w:eastAsia="en-AU"/>
              </w:rPr>
              <w:t xml:space="preserve"> </w:t>
            </w:r>
            <w:r w:rsidRPr="003F0C86">
              <w:rPr>
                <w:rFonts w:ascii="Arial" w:eastAsia="Times New Roman" w:hAnsi="Arial" w:cs="Arial"/>
                <w:noProof/>
                <w:color w:val="414042" w:themeColor="text1"/>
                <w:sz w:val="22"/>
                <w:lang w:eastAsia="en-AU"/>
              </w:rPr>
              <w:t>the</w:t>
            </w:r>
            <w:r w:rsidRPr="003F0C86">
              <w:rPr>
                <w:rFonts w:ascii="Arial" w:eastAsia="Times New Roman" w:hAnsi="Arial" w:cs="Arial"/>
                <w:noProof/>
                <w:color w:val="414042" w:themeColor="text1"/>
                <w:spacing w:val="-5"/>
                <w:sz w:val="22"/>
                <w:lang w:eastAsia="en-AU"/>
              </w:rPr>
              <w:t xml:space="preserve"> </w:t>
            </w:r>
            <w:r w:rsidRPr="003F0C86">
              <w:rPr>
                <w:rFonts w:ascii="Arial" w:eastAsia="Times New Roman" w:hAnsi="Arial" w:cs="Arial"/>
                <w:noProof/>
                <w:color w:val="414042" w:themeColor="text1"/>
                <w:sz w:val="22"/>
                <w:lang w:eastAsia="en-AU"/>
              </w:rPr>
              <w:t>financial</w:t>
            </w:r>
            <w:r w:rsidRPr="003F0C86">
              <w:rPr>
                <w:rFonts w:ascii="Arial" w:eastAsia="Times New Roman" w:hAnsi="Arial" w:cs="Arial"/>
                <w:noProof/>
                <w:color w:val="414042" w:themeColor="text1"/>
                <w:spacing w:val="-3"/>
                <w:sz w:val="22"/>
                <w:lang w:eastAsia="en-AU"/>
              </w:rPr>
              <w:t xml:space="preserve"> </w:t>
            </w:r>
            <w:r w:rsidRPr="003F0C86">
              <w:rPr>
                <w:rFonts w:ascii="Arial" w:eastAsia="Times New Roman" w:hAnsi="Arial" w:cs="Arial"/>
                <w:noProof/>
                <w:color w:val="414042" w:themeColor="text1"/>
                <w:spacing w:val="-2"/>
                <w:sz w:val="22"/>
                <w:lang w:eastAsia="en-AU"/>
              </w:rPr>
              <w:t>report</w:t>
            </w:r>
          </w:p>
          <w:p w14:paraId="761C7DA6" w14:textId="77777777" w:rsidR="003F0C86" w:rsidRPr="003F0C86" w:rsidRDefault="003F0C86" w:rsidP="003F0C86">
            <w:pPr>
              <w:widowControl w:val="0"/>
              <w:kinsoku w:val="0"/>
              <w:overflowPunct w:val="0"/>
              <w:autoSpaceDE w:val="0"/>
              <w:autoSpaceDN w:val="0"/>
              <w:adjustRightInd w:val="0"/>
              <w:spacing w:before="147" w:after="0" w:line="266" w:lineRule="auto"/>
              <w:rPr>
                <w:rFonts w:ascii="Arial" w:eastAsia="Calibri" w:hAnsi="Arial" w:cs="Arial"/>
                <w:b w:val="0"/>
                <w:bCs w:val="0"/>
                <w:color w:val="414042" w:themeColor="text1"/>
                <w:sz w:val="22"/>
              </w:rPr>
            </w:pPr>
            <w:r w:rsidRPr="003F0C86">
              <w:rPr>
                <w:rFonts w:ascii="Arial" w:eastAsia="Calibri" w:hAnsi="Arial" w:cs="Arial"/>
                <w:b w:val="0"/>
                <w:bCs w:val="0"/>
                <w:color w:val="414042" w:themeColor="text1"/>
                <w:sz w:val="22"/>
              </w:rPr>
              <w:t xml:space="preserve">The </w:t>
            </w:r>
            <w:r w:rsidRPr="003F0C86">
              <w:rPr>
                <w:rFonts w:ascii="Arial" w:eastAsia="Times New Roman" w:hAnsi="Arial" w:cs="Arial"/>
                <w:b w:val="0"/>
                <w:bCs w:val="0"/>
                <w:color w:val="414042" w:themeColor="text1"/>
                <w:sz w:val="22"/>
                <w:lang w:eastAsia="en-AU"/>
              </w:rPr>
              <w:t>Commission</w:t>
            </w:r>
            <w:r w:rsidRPr="003F0C86">
              <w:rPr>
                <w:rFonts w:ascii="Arial" w:eastAsia="Calibri" w:hAnsi="Arial" w:cs="Arial"/>
                <w:b w:val="0"/>
                <w:bCs w:val="0"/>
                <w:color w:val="414042" w:themeColor="text1"/>
                <w:sz w:val="22"/>
              </w:rPr>
              <w:t xml:space="preserve"> is responsible for the preparation of the financial report that gives a true </w:t>
            </w:r>
            <w:r w:rsidRPr="003F0C86">
              <w:rPr>
                <w:rFonts w:ascii="Arial" w:eastAsia="Calibri" w:hAnsi="Arial" w:cs="Arial"/>
                <w:b w:val="0"/>
                <w:bCs w:val="0"/>
                <w:color w:val="414042" w:themeColor="text1"/>
                <w:sz w:val="22"/>
              </w:rPr>
              <w:br/>
              <w:t xml:space="preserve">and fair view in accordance with the </w:t>
            </w:r>
            <w:r w:rsidRPr="003F0C86">
              <w:rPr>
                <w:rFonts w:ascii="Arial" w:eastAsia="Calibri" w:hAnsi="Arial" w:cs="Arial"/>
                <w:b w:val="0"/>
                <w:bCs w:val="0"/>
                <w:i/>
                <w:color w:val="414042" w:themeColor="text1"/>
                <w:sz w:val="22"/>
              </w:rPr>
              <w:t>Financial Accountability Act 2009</w:t>
            </w:r>
            <w:r w:rsidRPr="003F0C86">
              <w:rPr>
                <w:rFonts w:ascii="Arial" w:eastAsia="Calibri" w:hAnsi="Arial" w:cs="Arial"/>
                <w:b w:val="0"/>
                <w:bCs w:val="0"/>
                <w:color w:val="414042" w:themeColor="text1"/>
                <w:sz w:val="22"/>
              </w:rPr>
              <w:t>, the Financial and Performance Management Standard 2019 and Australian Accounting Standards, and for</w:t>
            </w:r>
            <w:r w:rsidRPr="003F0C86">
              <w:rPr>
                <w:rFonts w:ascii="Arial" w:eastAsia="Calibri" w:hAnsi="Arial" w:cs="Arial"/>
                <w:b w:val="0"/>
                <w:bCs w:val="0"/>
                <w:color w:val="414042" w:themeColor="text1"/>
                <w:sz w:val="22"/>
              </w:rPr>
              <w:br/>
              <w:t>such</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internal</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control</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as</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the</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Commission</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determines</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is</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necessary</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to</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enable</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the</w:t>
            </w:r>
            <w:r w:rsidRPr="003F0C86">
              <w:rPr>
                <w:rFonts w:ascii="Arial" w:eastAsia="Calibri" w:hAnsi="Arial" w:cs="Arial"/>
                <w:b w:val="0"/>
                <w:bCs w:val="0"/>
                <w:color w:val="414042" w:themeColor="text1"/>
                <w:spacing w:val="-5"/>
                <w:sz w:val="22"/>
              </w:rPr>
              <w:t xml:space="preserve"> </w:t>
            </w:r>
            <w:r w:rsidRPr="003F0C86">
              <w:rPr>
                <w:rFonts w:ascii="Arial" w:eastAsia="Calibri" w:hAnsi="Arial" w:cs="Arial"/>
                <w:b w:val="0"/>
                <w:bCs w:val="0"/>
                <w:color w:val="414042" w:themeColor="text1"/>
                <w:sz w:val="22"/>
              </w:rPr>
              <w:t xml:space="preserve">preparation </w:t>
            </w:r>
            <w:r w:rsidRPr="003F0C86">
              <w:rPr>
                <w:rFonts w:ascii="Arial" w:eastAsia="Calibri" w:hAnsi="Arial" w:cs="Arial"/>
                <w:b w:val="0"/>
                <w:bCs w:val="0"/>
                <w:color w:val="414042" w:themeColor="text1"/>
                <w:sz w:val="22"/>
              </w:rPr>
              <w:br/>
              <w:t>of</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the</w:t>
            </w:r>
            <w:r w:rsidRPr="003F0C86">
              <w:rPr>
                <w:rFonts w:ascii="Arial" w:eastAsia="Calibri" w:hAnsi="Arial" w:cs="Arial"/>
                <w:b w:val="0"/>
                <w:bCs w:val="0"/>
                <w:color w:val="414042" w:themeColor="text1"/>
                <w:spacing w:val="-6"/>
                <w:sz w:val="22"/>
              </w:rPr>
              <w:t xml:space="preserve"> </w:t>
            </w:r>
            <w:r w:rsidRPr="003F0C86">
              <w:rPr>
                <w:rFonts w:ascii="Arial" w:eastAsia="Calibri" w:hAnsi="Arial" w:cs="Arial"/>
                <w:b w:val="0"/>
                <w:bCs w:val="0"/>
                <w:color w:val="414042" w:themeColor="text1"/>
                <w:sz w:val="22"/>
              </w:rPr>
              <w:t>financial</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report</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that</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is</w:t>
            </w:r>
            <w:r w:rsidRPr="003F0C86">
              <w:rPr>
                <w:rFonts w:ascii="Arial" w:eastAsia="Calibri" w:hAnsi="Arial" w:cs="Arial"/>
                <w:b w:val="0"/>
                <w:bCs w:val="0"/>
                <w:color w:val="414042" w:themeColor="text1"/>
                <w:spacing w:val="-6"/>
                <w:sz w:val="22"/>
              </w:rPr>
              <w:t xml:space="preserve"> </w:t>
            </w:r>
            <w:r w:rsidRPr="003F0C86">
              <w:rPr>
                <w:rFonts w:ascii="Arial" w:eastAsia="Calibri" w:hAnsi="Arial" w:cs="Arial"/>
                <w:b w:val="0"/>
                <w:bCs w:val="0"/>
                <w:color w:val="414042" w:themeColor="text1"/>
                <w:sz w:val="22"/>
              </w:rPr>
              <w:t>free</w:t>
            </w:r>
            <w:r w:rsidRPr="003F0C86">
              <w:rPr>
                <w:rFonts w:ascii="Arial" w:eastAsia="Calibri" w:hAnsi="Arial" w:cs="Arial"/>
                <w:b w:val="0"/>
                <w:bCs w:val="0"/>
                <w:color w:val="414042" w:themeColor="text1"/>
                <w:spacing w:val="-10"/>
                <w:sz w:val="22"/>
              </w:rPr>
              <w:t xml:space="preserve"> </w:t>
            </w:r>
            <w:r w:rsidRPr="003F0C86">
              <w:rPr>
                <w:rFonts w:ascii="Arial" w:eastAsia="Calibri" w:hAnsi="Arial" w:cs="Arial"/>
                <w:b w:val="0"/>
                <w:bCs w:val="0"/>
                <w:color w:val="414042" w:themeColor="text1"/>
                <w:sz w:val="22"/>
              </w:rPr>
              <w:t>from</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material</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misstatement,</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whether</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due</w:t>
            </w:r>
            <w:r w:rsidRPr="003F0C86">
              <w:rPr>
                <w:rFonts w:ascii="Arial" w:eastAsia="Calibri" w:hAnsi="Arial" w:cs="Arial"/>
                <w:b w:val="0"/>
                <w:bCs w:val="0"/>
                <w:color w:val="414042" w:themeColor="text1"/>
                <w:spacing w:val="-6"/>
                <w:sz w:val="22"/>
              </w:rPr>
              <w:t xml:space="preserve"> </w:t>
            </w:r>
            <w:r w:rsidRPr="003F0C86">
              <w:rPr>
                <w:rFonts w:ascii="Arial" w:eastAsia="Calibri" w:hAnsi="Arial" w:cs="Arial"/>
                <w:b w:val="0"/>
                <w:bCs w:val="0"/>
                <w:color w:val="414042" w:themeColor="text1"/>
                <w:sz w:val="22"/>
              </w:rPr>
              <w:t>to</w:t>
            </w:r>
            <w:r w:rsidRPr="003F0C86">
              <w:rPr>
                <w:rFonts w:ascii="Arial" w:eastAsia="Calibri" w:hAnsi="Arial" w:cs="Arial"/>
                <w:b w:val="0"/>
                <w:bCs w:val="0"/>
                <w:color w:val="414042" w:themeColor="text1"/>
                <w:spacing w:val="-5"/>
                <w:sz w:val="22"/>
              </w:rPr>
              <w:t xml:space="preserve"> </w:t>
            </w:r>
            <w:r w:rsidRPr="003F0C86">
              <w:rPr>
                <w:rFonts w:ascii="Arial" w:eastAsia="Calibri" w:hAnsi="Arial" w:cs="Arial"/>
                <w:b w:val="0"/>
                <w:bCs w:val="0"/>
                <w:color w:val="414042" w:themeColor="text1"/>
                <w:sz w:val="22"/>
              </w:rPr>
              <w:t>fraud</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or</w:t>
            </w:r>
            <w:r w:rsidRPr="003F0C86">
              <w:rPr>
                <w:rFonts w:ascii="Arial" w:eastAsia="Calibri" w:hAnsi="Arial" w:cs="Arial"/>
                <w:b w:val="0"/>
                <w:bCs w:val="0"/>
                <w:color w:val="414042" w:themeColor="text1"/>
                <w:spacing w:val="-2"/>
                <w:sz w:val="22"/>
              </w:rPr>
              <w:t xml:space="preserve"> error.</w:t>
            </w:r>
          </w:p>
          <w:p w14:paraId="563E02AE" w14:textId="3E0D5246" w:rsidR="003F0C86" w:rsidRPr="003F0C86" w:rsidRDefault="003F0C86" w:rsidP="003F0C86">
            <w:pPr>
              <w:widowControl w:val="0"/>
              <w:kinsoku w:val="0"/>
              <w:overflowPunct w:val="0"/>
              <w:autoSpaceDE w:val="0"/>
              <w:autoSpaceDN w:val="0"/>
              <w:adjustRightInd w:val="0"/>
              <w:spacing w:before="147" w:after="0" w:line="266" w:lineRule="auto"/>
              <w:rPr>
                <w:rFonts w:ascii="Arial" w:eastAsia="Arial" w:hAnsi="Arial" w:cs="Arial"/>
                <w:b w:val="0"/>
                <w:bCs w:val="0"/>
                <w:color w:val="414042" w:themeColor="text1"/>
                <w:sz w:val="22"/>
                <w:lang w:val="en-US"/>
              </w:rPr>
            </w:pPr>
            <w:r w:rsidRPr="003F0C86">
              <w:rPr>
                <w:rFonts w:ascii="Arial" w:eastAsia="Times New Roman" w:hAnsi="Arial" w:cs="Arial"/>
                <w:b w:val="0"/>
                <w:bCs w:val="0"/>
                <w:color w:val="414042" w:themeColor="text1"/>
                <w:sz w:val="22"/>
                <w:lang w:eastAsia="en-AU"/>
              </w:rPr>
              <w:t>The</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Commission</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is</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also</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responsible</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for assessing</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the entity’s</w:t>
            </w:r>
            <w:r w:rsidRPr="003F0C86">
              <w:rPr>
                <w:rFonts w:ascii="Arial" w:eastAsia="Calibri" w:hAnsi="Arial" w:cs="Arial"/>
                <w:b w:val="0"/>
                <w:bCs w:val="0"/>
                <w:color w:val="414042" w:themeColor="text1"/>
                <w:spacing w:val="7"/>
                <w:sz w:val="22"/>
              </w:rPr>
              <w:t xml:space="preserve"> </w:t>
            </w:r>
            <w:r w:rsidRPr="003F0C86">
              <w:rPr>
                <w:rFonts w:ascii="Arial" w:eastAsia="Calibri" w:hAnsi="Arial" w:cs="Arial"/>
                <w:b w:val="0"/>
                <w:bCs w:val="0"/>
                <w:color w:val="414042" w:themeColor="text1"/>
                <w:sz w:val="22"/>
              </w:rPr>
              <w:t>ability</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to</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continue</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as a</w:t>
            </w:r>
            <w:r w:rsidRPr="003F0C86">
              <w:rPr>
                <w:rFonts w:ascii="Arial" w:eastAsia="Calibri" w:hAnsi="Arial" w:cs="Arial"/>
                <w:b w:val="0"/>
                <w:bCs w:val="0"/>
                <w:color w:val="414042" w:themeColor="text1"/>
                <w:spacing w:val="-5"/>
                <w:sz w:val="22"/>
              </w:rPr>
              <w:t xml:space="preserve"> </w:t>
            </w:r>
            <w:r w:rsidRPr="003F0C86">
              <w:rPr>
                <w:rFonts w:ascii="Arial" w:eastAsia="Calibri" w:hAnsi="Arial" w:cs="Arial"/>
                <w:b w:val="0"/>
                <w:bCs w:val="0"/>
                <w:color w:val="414042" w:themeColor="text1"/>
                <w:sz w:val="22"/>
              </w:rPr>
              <w:t>going concern, disclosing, as applicable, matters relating to going concern and using the going concern</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basis of</w:t>
            </w:r>
            <w:r w:rsidRPr="003F0C86">
              <w:rPr>
                <w:rFonts w:ascii="Arial" w:eastAsia="Calibri" w:hAnsi="Arial" w:cs="Arial"/>
                <w:b w:val="0"/>
                <w:bCs w:val="0"/>
                <w:color w:val="414042" w:themeColor="text1"/>
                <w:spacing w:val="-4"/>
                <w:sz w:val="22"/>
              </w:rPr>
              <w:t xml:space="preserve"> </w:t>
            </w:r>
            <w:r w:rsidRPr="003F0C86">
              <w:rPr>
                <w:rFonts w:ascii="Arial" w:eastAsia="Calibri" w:hAnsi="Arial" w:cs="Arial"/>
                <w:b w:val="0"/>
                <w:bCs w:val="0"/>
                <w:color w:val="414042" w:themeColor="text1"/>
                <w:sz w:val="22"/>
              </w:rPr>
              <w:t>accounting</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unless</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it is</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intended</w:t>
            </w:r>
            <w:r w:rsidRPr="003F0C86">
              <w:rPr>
                <w:rFonts w:ascii="Arial" w:eastAsia="Calibri" w:hAnsi="Arial" w:cs="Arial"/>
                <w:b w:val="0"/>
                <w:bCs w:val="0"/>
                <w:color w:val="414042" w:themeColor="text1"/>
                <w:spacing w:val="-5"/>
                <w:sz w:val="22"/>
              </w:rPr>
              <w:t xml:space="preserve"> </w:t>
            </w:r>
            <w:r w:rsidRPr="003F0C86">
              <w:rPr>
                <w:rFonts w:ascii="Arial" w:eastAsia="Calibri" w:hAnsi="Arial" w:cs="Arial"/>
                <w:b w:val="0"/>
                <w:bCs w:val="0"/>
                <w:color w:val="414042" w:themeColor="text1"/>
                <w:sz w:val="22"/>
              </w:rPr>
              <w:t>to</w:t>
            </w:r>
            <w:r w:rsidRPr="003F0C86">
              <w:rPr>
                <w:rFonts w:ascii="Arial" w:eastAsia="Calibri" w:hAnsi="Arial" w:cs="Arial"/>
                <w:b w:val="0"/>
                <w:bCs w:val="0"/>
                <w:color w:val="414042" w:themeColor="text1"/>
                <w:spacing w:val="-5"/>
                <w:sz w:val="22"/>
              </w:rPr>
              <w:t xml:space="preserve"> </w:t>
            </w:r>
            <w:r w:rsidRPr="003F0C86">
              <w:rPr>
                <w:rFonts w:ascii="Arial" w:eastAsia="Calibri" w:hAnsi="Arial" w:cs="Arial"/>
                <w:b w:val="0"/>
                <w:bCs w:val="0"/>
                <w:color w:val="414042" w:themeColor="text1"/>
                <w:sz w:val="22"/>
              </w:rPr>
              <w:t>abolish the</w:t>
            </w:r>
            <w:r w:rsidRPr="003F0C86">
              <w:rPr>
                <w:rFonts w:ascii="Arial" w:eastAsia="Calibri" w:hAnsi="Arial" w:cs="Arial"/>
                <w:b w:val="0"/>
                <w:bCs w:val="0"/>
                <w:color w:val="414042" w:themeColor="text1"/>
                <w:spacing w:val="-3"/>
                <w:sz w:val="22"/>
              </w:rPr>
              <w:t xml:space="preserve"> </w:t>
            </w:r>
            <w:r w:rsidRPr="003F0C86">
              <w:rPr>
                <w:rFonts w:ascii="Arial" w:eastAsia="Calibri" w:hAnsi="Arial" w:cs="Arial"/>
                <w:b w:val="0"/>
                <w:bCs w:val="0"/>
                <w:color w:val="414042" w:themeColor="text1"/>
                <w:sz w:val="22"/>
              </w:rPr>
              <w:t>entity</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or</w:t>
            </w:r>
            <w:r w:rsidRPr="003F0C86">
              <w:rPr>
                <w:rFonts w:ascii="Arial" w:eastAsia="Calibri" w:hAnsi="Arial" w:cs="Arial"/>
                <w:b w:val="0"/>
                <w:bCs w:val="0"/>
                <w:color w:val="414042" w:themeColor="text1"/>
                <w:spacing w:val="-2"/>
                <w:sz w:val="22"/>
              </w:rPr>
              <w:t xml:space="preserve"> </w:t>
            </w:r>
            <w:r w:rsidRPr="003F0C86">
              <w:rPr>
                <w:rFonts w:ascii="Arial" w:eastAsia="Calibri" w:hAnsi="Arial" w:cs="Arial"/>
                <w:b w:val="0"/>
                <w:bCs w:val="0"/>
                <w:color w:val="414042" w:themeColor="text1"/>
                <w:sz w:val="22"/>
              </w:rPr>
              <w:t>to</w:t>
            </w:r>
            <w:r w:rsidRPr="003F0C86">
              <w:rPr>
                <w:rFonts w:ascii="Arial" w:eastAsia="Calibri" w:hAnsi="Arial" w:cs="Arial"/>
                <w:b w:val="0"/>
                <w:bCs w:val="0"/>
                <w:color w:val="414042" w:themeColor="text1"/>
                <w:spacing w:val="-5"/>
                <w:sz w:val="22"/>
              </w:rPr>
              <w:t xml:space="preserve"> </w:t>
            </w:r>
            <w:r w:rsidRPr="003F0C86">
              <w:rPr>
                <w:rFonts w:ascii="Arial" w:eastAsia="Calibri" w:hAnsi="Arial" w:cs="Arial"/>
                <w:b w:val="0"/>
                <w:bCs w:val="0"/>
                <w:color w:val="414042" w:themeColor="text1"/>
                <w:sz w:val="22"/>
              </w:rPr>
              <w:t>otherwise</w:t>
            </w:r>
            <w:r w:rsidRPr="003F0C86">
              <w:rPr>
                <w:rFonts w:ascii="Arial" w:eastAsia="Calibri" w:hAnsi="Arial" w:cs="Arial"/>
                <w:b w:val="0"/>
                <w:bCs w:val="0"/>
                <w:color w:val="414042" w:themeColor="text1"/>
                <w:spacing w:val="-1"/>
                <w:sz w:val="22"/>
              </w:rPr>
              <w:t xml:space="preserve"> </w:t>
            </w:r>
            <w:r w:rsidRPr="003F0C86">
              <w:rPr>
                <w:rFonts w:ascii="Arial" w:eastAsia="Calibri" w:hAnsi="Arial" w:cs="Arial"/>
                <w:b w:val="0"/>
                <w:bCs w:val="0"/>
                <w:color w:val="414042" w:themeColor="text1"/>
                <w:sz w:val="22"/>
              </w:rPr>
              <w:t xml:space="preserve">cease </w:t>
            </w:r>
            <w:r w:rsidRPr="003F0C86">
              <w:rPr>
                <w:rFonts w:ascii="Arial" w:eastAsia="Calibri" w:hAnsi="Arial" w:cs="Arial"/>
                <w:b w:val="0"/>
                <w:bCs w:val="0"/>
                <w:color w:val="414042" w:themeColor="text1"/>
                <w:spacing w:val="-2"/>
                <w:sz w:val="22"/>
              </w:rPr>
              <w:t>operations.</w:t>
            </w:r>
          </w:p>
        </w:tc>
      </w:tr>
    </w:tbl>
    <w:p w14:paraId="4B0D670B" w14:textId="77777777" w:rsidR="008E121E" w:rsidRPr="00DF3006" w:rsidRDefault="008E121E" w:rsidP="008E121E">
      <w:pPr>
        <w:widowControl w:val="0"/>
        <w:kinsoku w:val="0"/>
        <w:overflowPunct w:val="0"/>
        <w:autoSpaceDE w:val="0"/>
        <w:autoSpaceDN w:val="0"/>
        <w:adjustRightInd w:val="0"/>
        <w:spacing w:before="147" w:after="0" w:line="266" w:lineRule="auto"/>
        <w:rPr>
          <w:rFonts w:ascii="Arial" w:eastAsia="Times New Roman" w:hAnsi="Arial" w:cs="Arial"/>
          <w:color w:val="414042" w:themeColor="text1"/>
          <w:spacing w:val="-2"/>
          <w:sz w:val="22"/>
          <w:lang w:eastAsia="en-AU"/>
        </w:rPr>
      </w:pPr>
      <w:r w:rsidRPr="00DF3006">
        <w:rPr>
          <w:rFonts w:ascii="Arial" w:eastAsia="Times New Roman" w:hAnsi="Arial" w:cs="Arial"/>
          <w:color w:val="414042" w:themeColor="text1"/>
          <w:spacing w:val="-2"/>
          <w:sz w:val="22"/>
          <w:lang w:eastAsia="en-AU"/>
        </w:rPr>
        <w:br w:type="page"/>
      </w:r>
    </w:p>
    <w:tbl>
      <w:tblPr>
        <w:tblStyle w:val="GridTable1Light-Accent61"/>
        <w:tblW w:w="4929"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501"/>
      </w:tblGrid>
      <w:tr w:rsidR="003F0C86" w14:paraId="7789DBEE" w14:textId="77777777" w:rsidTr="003F0C86">
        <w:tc>
          <w:tcPr>
            <w:tcW w:w="5000" w:type="pct"/>
          </w:tcPr>
          <w:p w14:paraId="28200252" w14:textId="77777777" w:rsidR="003F0C86" w:rsidRPr="00DF3006" w:rsidRDefault="003F0C86" w:rsidP="003F0C86">
            <w:pPr>
              <w:keepNext/>
              <w:widowControl w:val="0"/>
              <w:spacing w:before="120" w:after="120"/>
              <w:ind w:right="-425"/>
              <w:outlineLvl w:val="2"/>
              <w:rPr>
                <w:rFonts w:ascii="Arial" w:eastAsia="Times New Roman" w:hAnsi="Arial" w:cs="Arial"/>
                <w:b/>
                <w:bCs/>
                <w:noProof/>
                <w:color w:val="414042" w:themeColor="text1"/>
                <w:spacing w:val="-2"/>
                <w:sz w:val="22"/>
                <w:lang w:eastAsia="en-AU"/>
              </w:rPr>
            </w:pPr>
            <w:r w:rsidRPr="00DF3006">
              <w:rPr>
                <w:rFonts w:ascii="Arial" w:eastAsia="Times New Roman" w:hAnsi="Arial" w:cs="Arial"/>
                <w:b/>
                <w:bCs/>
                <w:noProof/>
                <w:color w:val="414042" w:themeColor="text1"/>
                <w:sz w:val="22"/>
                <w:lang w:eastAsia="en-AU"/>
              </w:rPr>
              <w:t>Auditor’s</w:t>
            </w:r>
            <w:r w:rsidRPr="00DF3006">
              <w:rPr>
                <w:rFonts w:ascii="Arial" w:eastAsia="Times New Roman" w:hAnsi="Arial" w:cs="Arial"/>
                <w:b/>
                <w:bCs/>
                <w:noProof/>
                <w:color w:val="414042" w:themeColor="text1"/>
                <w:spacing w:val="-9"/>
                <w:sz w:val="22"/>
                <w:lang w:eastAsia="en-AU"/>
              </w:rPr>
              <w:t xml:space="preserve"> </w:t>
            </w:r>
            <w:r w:rsidRPr="00DF3006">
              <w:rPr>
                <w:rFonts w:ascii="Arial" w:eastAsia="Times New Roman" w:hAnsi="Arial" w:cs="Arial"/>
                <w:b/>
                <w:bCs/>
                <w:noProof/>
                <w:color w:val="414042" w:themeColor="text1"/>
                <w:sz w:val="22"/>
                <w:lang w:eastAsia="en-AU"/>
              </w:rPr>
              <w:t>responsibilities</w:t>
            </w:r>
            <w:r w:rsidRPr="00DF3006">
              <w:rPr>
                <w:rFonts w:ascii="Arial" w:eastAsia="Times New Roman" w:hAnsi="Arial" w:cs="Arial"/>
                <w:b/>
                <w:bCs/>
                <w:noProof/>
                <w:color w:val="414042" w:themeColor="text1"/>
                <w:spacing w:val="-3"/>
                <w:sz w:val="22"/>
                <w:lang w:eastAsia="en-AU"/>
              </w:rPr>
              <w:t xml:space="preserve"> </w:t>
            </w:r>
            <w:r w:rsidRPr="00DF3006">
              <w:rPr>
                <w:rFonts w:ascii="Arial" w:eastAsia="Times New Roman" w:hAnsi="Arial" w:cs="Arial"/>
                <w:b/>
                <w:bCs/>
                <w:noProof/>
                <w:color w:val="414042" w:themeColor="text1"/>
                <w:sz w:val="22"/>
                <w:lang w:eastAsia="en-AU"/>
              </w:rPr>
              <w:t>for</w:t>
            </w:r>
            <w:r w:rsidRPr="00DF3006">
              <w:rPr>
                <w:rFonts w:ascii="Arial" w:eastAsia="Times New Roman" w:hAnsi="Arial" w:cs="Arial"/>
                <w:b/>
                <w:bCs/>
                <w:noProof/>
                <w:color w:val="414042" w:themeColor="text1"/>
                <w:spacing w:val="-6"/>
                <w:sz w:val="22"/>
                <w:lang w:eastAsia="en-AU"/>
              </w:rPr>
              <w:t xml:space="preserve"> </w:t>
            </w:r>
            <w:r w:rsidRPr="00DF3006">
              <w:rPr>
                <w:rFonts w:ascii="Arial" w:eastAsia="Times New Roman" w:hAnsi="Arial" w:cs="Arial"/>
                <w:b/>
                <w:bCs/>
                <w:noProof/>
                <w:color w:val="414042" w:themeColor="text1"/>
                <w:sz w:val="22"/>
                <w:lang w:eastAsia="en-AU"/>
              </w:rPr>
              <w:t>the</w:t>
            </w:r>
            <w:r w:rsidRPr="00DF3006">
              <w:rPr>
                <w:rFonts w:ascii="Arial" w:eastAsia="Times New Roman" w:hAnsi="Arial" w:cs="Arial"/>
                <w:b/>
                <w:bCs/>
                <w:noProof/>
                <w:color w:val="414042" w:themeColor="text1"/>
                <w:spacing w:val="-7"/>
                <w:sz w:val="22"/>
                <w:lang w:eastAsia="en-AU"/>
              </w:rPr>
              <w:t xml:space="preserve"> </w:t>
            </w:r>
            <w:r w:rsidRPr="00DF3006">
              <w:rPr>
                <w:rFonts w:ascii="Arial" w:eastAsia="Times New Roman" w:hAnsi="Arial" w:cs="Arial"/>
                <w:b/>
                <w:bCs/>
                <w:noProof/>
                <w:color w:val="414042" w:themeColor="text1"/>
                <w:sz w:val="22"/>
                <w:lang w:eastAsia="en-AU"/>
              </w:rPr>
              <w:t>audit</w:t>
            </w:r>
            <w:r w:rsidRPr="00DF3006">
              <w:rPr>
                <w:rFonts w:ascii="Arial" w:eastAsia="Times New Roman" w:hAnsi="Arial" w:cs="Arial"/>
                <w:b/>
                <w:bCs/>
                <w:noProof/>
                <w:color w:val="414042" w:themeColor="text1"/>
                <w:spacing w:val="-4"/>
                <w:sz w:val="22"/>
                <w:lang w:eastAsia="en-AU"/>
              </w:rPr>
              <w:t xml:space="preserve"> </w:t>
            </w:r>
            <w:r w:rsidRPr="00DF3006">
              <w:rPr>
                <w:rFonts w:ascii="Arial" w:eastAsia="Times New Roman" w:hAnsi="Arial" w:cs="Arial"/>
                <w:b/>
                <w:bCs/>
                <w:noProof/>
                <w:color w:val="414042" w:themeColor="text1"/>
                <w:sz w:val="22"/>
                <w:lang w:eastAsia="en-AU"/>
              </w:rPr>
              <w:t>of</w:t>
            </w:r>
            <w:r w:rsidRPr="00DF3006">
              <w:rPr>
                <w:rFonts w:ascii="Arial" w:eastAsia="Times New Roman" w:hAnsi="Arial" w:cs="Arial"/>
                <w:b/>
                <w:bCs/>
                <w:noProof/>
                <w:color w:val="414042" w:themeColor="text1"/>
                <w:spacing w:val="-5"/>
                <w:sz w:val="22"/>
                <w:lang w:eastAsia="en-AU"/>
              </w:rPr>
              <w:t xml:space="preserve"> </w:t>
            </w:r>
            <w:r w:rsidRPr="00DF3006">
              <w:rPr>
                <w:rFonts w:ascii="Arial" w:eastAsia="Times New Roman" w:hAnsi="Arial" w:cs="Arial"/>
                <w:b/>
                <w:bCs/>
                <w:noProof/>
                <w:color w:val="414042" w:themeColor="text1"/>
                <w:sz w:val="22"/>
                <w:lang w:eastAsia="en-AU"/>
              </w:rPr>
              <w:t>the</w:t>
            </w:r>
            <w:r w:rsidRPr="00DF3006">
              <w:rPr>
                <w:rFonts w:ascii="Arial" w:eastAsia="Times New Roman" w:hAnsi="Arial" w:cs="Arial"/>
                <w:b/>
                <w:bCs/>
                <w:noProof/>
                <w:color w:val="414042" w:themeColor="text1"/>
                <w:spacing w:val="-6"/>
                <w:sz w:val="22"/>
                <w:lang w:eastAsia="en-AU"/>
              </w:rPr>
              <w:t xml:space="preserve"> </w:t>
            </w:r>
            <w:r w:rsidRPr="00DF3006">
              <w:rPr>
                <w:rFonts w:ascii="Arial" w:eastAsia="Times New Roman" w:hAnsi="Arial" w:cs="Arial"/>
                <w:b/>
                <w:bCs/>
                <w:noProof/>
                <w:color w:val="414042" w:themeColor="text1"/>
                <w:sz w:val="22"/>
                <w:lang w:eastAsia="en-AU"/>
              </w:rPr>
              <w:t>financial</w:t>
            </w:r>
            <w:r w:rsidRPr="00DF3006">
              <w:rPr>
                <w:rFonts w:ascii="Arial" w:eastAsia="Times New Roman" w:hAnsi="Arial" w:cs="Arial"/>
                <w:b/>
                <w:bCs/>
                <w:noProof/>
                <w:color w:val="414042" w:themeColor="text1"/>
                <w:spacing w:val="-5"/>
                <w:sz w:val="22"/>
                <w:lang w:eastAsia="en-AU"/>
              </w:rPr>
              <w:t xml:space="preserve"> </w:t>
            </w:r>
            <w:r w:rsidRPr="00DF3006">
              <w:rPr>
                <w:rFonts w:ascii="Arial" w:eastAsia="Times New Roman" w:hAnsi="Arial" w:cs="Arial"/>
                <w:b/>
                <w:bCs/>
                <w:noProof/>
                <w:color w:val="414042" w:themeColor="text1"/>
                <w:spacing w:val="-2"/>
                <w:sz w:val="22"/>
                <w:lang w:eastAsia="en-AU"/>
              </w:rPr>
              <w:t>report</w:t>
            </w:r>
          </w:p>
          <w:p w14:paraId="6F05D72F" w14:textId="77777777" w:rsidR="003F0C86" w:rsidRPr="00DF3006" w:rsidRDefault="003F0C86" w:rsidP="003F0C86">
            <w:pPr>
              <w:widowControl w:val="0"/>
              <w:kinsoku w:val="0"/>
              <w:overflowPunct w:val="0"/>
              <w:autoSpaceDE w:val="0"/>
              <w:autoSpaceDN w:val="0"/>
              <w:adjustRightInd w:val="0"/>
              <w:spacing w:before="147" w:after="0" w:line="266" w:lineRule="auto"/>
              <w:rPr>
                <w:rFonts w:ascii="Arial" w:eastAsia="Arial" w:hAnsi="Arial" w:cs="Arial"/>
                <w:color w:val="414042" w:themeColor="text1"/>
                <w:sz w:val="22"/>
                <w:lang w:val="en-US"/>
              </w:rPr>
            </w:pPr>
            <w:r w:rsidRPr="00DF3006">
              <w:rPr>
                <w:rFonts w:ascii="Arial" w:eastAsia="Arial" w:hAnsi="Arial" w:cs="Arial"/>
                <w:color w:val="414042" w:themeColor="text1"/>
                <w:sz w:val="22"/>
                <w:lang w:val="en-US"/>
              </w:rPr>
              <w:t>My</w:t>
            </w:r>
            <w:r w:rsidRPr="00DF3006">
              <w:rPr>
                <w:rFonts w:ascii="Arial" w:eastAsia="Arial" w:hAnsi="Arial" w:cs="Arial"/>
                <w:color w:val="414042" w:themeColor="text1"/>
                <w:spacing w:val="-2"/>
                <w:sz w:val="22"/>
                <w:lang w:val="en-US"/>
              </w:rPr>
              <w:t xml:space="preserve"> </w:t>
            </w:r>
            <w:r w:rsidRPr="00DF3006">
              <w:rPr>
                <w:rFonts w:ascii="Arial" w:eastAsia="Arial" w:hAnsi="Arial" w:cs="Arial"/>
                <w:color w:val="414042" w:themeColor="text1"/>
                <w:sz w:val="22"/>
                <w:lang w:val="en-US"/>
              </w:rPr>
              <w:t>objectives</w:t>
            </w:r>
            <w:r w:rsidRPr="00DF3006">
              <w:rPr>
                <w:rFonts w:ascii="Arial" w:eastAsia="Arial" w:hAnsi="Arial" w:cs="Arial"/>
                <w:color w:val="414042" w:themeColor="text1"/>
                <w:spacing w:val="-2"/>
                <w:sz w:val="22"/>
                <w:lang w:val="en-US"/>
              </w:rPr>
              <w:t xml:space="preserve"> </w:t>
            </w:r>
            <w:r w:rsidRPr="00DF3006">
              <w:rPr>
                <w:rFonts w:ascii="Arial" w:eastAsia="Arial" w:hAnsi="Arial" w:cs="Arial"/>
                <w:color w:val="414042" w:themeColor="text1"/>
                <w:sz w:val="22"/>
                <w:lang w:val="en-US"/>
              </w:rPr>
              <w:t>are</w:t>
            </w:r>
            <w:r w:rsidRPr="00DF3006">
              <w:rPr>
                <w:rFonts w:ascii="Arial" w:eastAsia="Arial" w:hAnsi="Arial" w:cs="Arial"/>
                <w:color w:val="414042" w:themeColor="text1"/>
                <w:spacing w:val="-5"/>
                <w:sz w:val="22"/>
                <w:lang w:val="en-US"/>
              </w:rPr>
              <w:t xml:space="preserve"> </w:t>
            </w:r>
            <w:r w:rsidRPr="00DF3006">
              <w:rPr>
                <w:rFonts w:ascii="Arial" w:eastAsia="Arial" w:hAnsi="Arial" w:cs="Arial"/>
                <w:color w:val="414042" w:themeColor="text1"/>
                <w:sz w:val="22"/>
                <w:lang w:val="en-US"/>
              </w:rPr>
              <w:t>to</w:t>
            </w:r>
            <w:r w:rsidRPr="00DF3006">
              <w:rPr>
                <w:rFonts w:ascii="Arial" w:eastAsia="Arial" w:hAnsi="Arial" w:cs="Arial"/>
                <w:color w:val="414042" w:themeColor="text1"/>
                <w:spacing w:val="-1"/>
                <w:sz w:val="22"/>
                <w:lang w:val="en-US"/>
              </w:rPr>
              <w:t xml:space="preserve"> </w:t>
            </w:r>
            <w:r w:rsidRPr="00DF3006">
              <w:rPr>
                <w:rFonts w:ascii="Arial" w:eastAsia="Arial" w:hAnsi="Arial" w:cs="Arial"/>
                <w:color w:val="414042" w:themeColor="text1"/>
                <w:sz w:val="22"/>
                <w:lang w:val="en-US"/>
              </w:rPr>
              <w:t>obtain</w:t>
            </w:r>
            <w:r w:rsidRPr="00DF3006">
              <w:rPr>
                <w:rFonts w:ascii="Arial" w:eastAsia="Arial" w:hAnsi="Arial" w:cs="Arial"/>
                <w:color w:val="414042" w:themeColor="text1"/>
                <w:spacing w:val="-1"/>
                <w:sz w:val="22"/>
                <w:lang w:val="en-US"/>
              </w:rPr>
              <w:t xml:space="preserve"> </w:t>
            </w:r>
            <w:r w:rsidRPr="00DF3006">
              <w:rPr>
                <w:rFonts w:ascii="Arial" w:eastAsia="Arial" w:hAnsi="Arial" w:cs="Arial"/>
                <w:color w:val="414042" w:themeColor="text1"/>
                <w:sz w:val="22"/>
                <w:lang w:val="en-US"/>
              </w:rPr>
              <w:t>reasonable</w:t>
            </w:r>
            <w:r w:rsidRPr="00DF3006">
              <w:rPr>
                <w:rFonts w:ascii="Arial" w:eastAsia="Arial" w:hAnsi="Arial" w:cs="Arial"/>
                <w:color w:val="414042" w:themeColor="text1"/>
                <w:spacing w:val="-1"/>
                <w:sz w:val="22"/>
                <w:lang w:val="en-US"/>
              </w:rPr>
              <w:t xml:space="preserve"> </w:t>
            </w:r>
            <w:r w:rsidRPr="00DF3006">
              <w:rPr>
                <w:rFonts w:ascii="Arial" w:eastAsia="Arial" w:hAnsi="Arial" w:cs="Arial"/>
                <w:color w:val="414042" w:themeColor="text1"/>
                <w:sz w:val="22"/>
                <w:lang w:val="en-US"/>
              </w:rPr>
              <w:t>assurance</w:t>
            </w:r>
            <w:r w:rsidRPr="00DF3006">
              <w:rPr>
                <w:rFonts w:ascii="Arial" w:eastAsia="Arial" w:hAnsi="Arial" w:cs="Arial"/>
                <w:color w:val="414042" w:themeColor="text1"/>
                <w:spacing w:val="-3"/>
                <w:sz w:val="22"/>
                <w:lang w:val="en-US"/>
              </w:rPr>
              <w:t xml:space="preserve"> </w:t>
            </w:r>
            <w:r w:rsidRPr="00DF3006">
              <w:rPr>
                <w:rFonts w:ascii="Arial" w:eastAsia="Arial" w:hAnsi="Arial" w:cs="Arial"/>
                <w:color w:val="414042" w:themeColor="text1"/>
                <w:sz w:val="22"/>
                <w:lang w:val="en-US"/>
              </w:rPr>
              <w:t>about</w:t>
            </w:r>
            <w:r w:rsidRPr="00DF3006">
              <w:rPr>
                <w:rFonts w:ascii="Arial" w:eastAsia="Arial" w:hAnsi="Arial" w:cs="Arial"/>
                <w:color w:val="414042" w:themeColor="text1"/>
                <w:spacing w:val="-1"/>
                <w:sz w:val="22"/>
                <w:lang w:val="en-US"/>
              </w:rPr>
              <w:t xml:space="preserve"> </w:t>
            </w:r>
            <w:r w:rsidRPr="00DF3006">
              <w:rPr>
                <w:rFonts w:ascii="Arial" w:eastAsia="Arial" w:hAnsi="Arial" w:cs="Arial"/>
                <w:color w:val="414042" w:themeColor="text1"/>
                <w:sz w:val="22"/>
                <w:lang w:val="en-US"/>
              </w:rPr>
              <w:t>whether</w:t>
            </w:r>
            <w:r w:rsidRPr="00DF3006">
              <w:rPr>
                <w:rFonts w:ascii="Arial" w:eastAsia="Arial" w:hAnsi="Arial" w:cs="Arial"/>
                <w:color w:val="414042" w:themeColor="text1"/>
                <w:spacing w:val="-5"/>
                <w:sz w:val="22"/>
                <w:lang w:val="en-US"/>
              </w:rPr>
              <w:t xml:space="preserve"> </w:t>
            </w:r>
            <w:r w:rsidRPr="00DF3006">
              <w:rPr>
                <w:rFonts w:ascii="Arial" w:eastAsia="Arial" w:hAnsi="Arial" w:cs="Arial"/>
                <w:color w:val="414042" w:themeColor="text1"/>
                <w:sz w:val="22"/>
                <w:lang w:val="en-US"/>
              </w:rPr>
              <w:t>the</w:t>
            </w:r>
            <w:r w:rsidRPr="00DF3006">
              <w:rPr>
                <w:rFonts w:ascii="Arial" w:eastAsia="Arial" w:hAnsi="Arial" w:cs="Arial"/>
                <w:color w:val="414042" w:themeColor="text1"/>
                <w:spacing w:val="-3"/>
                <w:sz w:val="22"/>
                <w:lang w:val="en-US"/>
              </w:rPr>
              <w:t xml:space="preserve"> </w:t>
            </w:r>
            <w:r w:rsidRPr="00DF3006">
              <w:rPr>
                <w:rFonts w:ascii="Arial" w:eastAsia="Arial" w:hAnsi="Arial" w:cs="Arial"/>
                <w:color w:val="414042" w:themeColor="text1"/>
                <w:sz w:val="22"/>
                <w:lang w:val="en-US"/>
              </w:rPr>
              <w:t>financial</w:t>
            </w:r>
            <w:r w:rsidRPr="00DF3006">
              <w:rPr>
                <w:rFonts w:ascii="Arial" w:eastAsia="Arial" w:hAnsi="Arial" w:cs="Arial"/>
                <w:color w:val="414042" w:themeColor="text1"/>
                <w:spacing w:val="-2"/>
                <w:sz w:val="22"/>
                <w:lang w:val="en-US"/>
              </w:rPr>
              <w:t xml:space="preserve"> </w:t>
            </w:r>
            <w:r w:rsidRPr="00DF3006">
              <w:rPr>
                <w:rFonts w:ascii="Arial" w:eastAsia="Arial" w:hAnsi="Arial" w:cs="Arial"/>
                <w:color w:val="414042" w:themeColor="text1"/>
                <w:sz w:val="22"/>
                <w:lang w:val="en-US"/>
              </w:rPr>
              <w:t>report</w:t>
            </w:r>
            <w:r w:rsidRPr="00DF3006">
              <w:rPr>
                <w:rFonts w:ascii="Arial" w:eastAsia="Arial" w:hAnsi="Arial" w:cs="Arial"/>
                <w:color w:val="414042" w:themeColor="text1"/>
                <w:spacing w:val="-4"/>
                <w:sz w:val="22"/>
                <w:lang w:val="en-US"/>
              </w:rPr>
              <w:t xml:space="preserve"> </w:t>
            </w:r>
            <w:r w:rsidRPr="00DF3006">
              <w:rPr>
                <w:rFonts w:ascii="Arial" w:eastAsia="Arial" w:hAnsi="Arial" w:cs="Arial"/>
                <w:color w:val="414042" w:themeColor="text1"/>
                <w:sz w:val="22"/>
                <w:lang w:val="en-US"/>
              </w:rPr>
              <w:t>as</w:t>
            </w:r>
            <w:r w:rsidRPr="00DF3006">
              <w:rPr>
                <w:rFonts w:ascii="Arial" w:eastAsia="Arial" w:hAnsi="Arial" w:cs="Arial"/>
                <w:color w:val="414042" w:themeColor="text1"/>
                <w:spacing w:val="-4"/>
                <w:sz w:val="22"/>
                <w:lang w:val="en-US"/>
              </w:rPr>
              <w:t xml:space="preserve"> </w:t>
            </w:r>
            <w:r w:rsidRPr="00DF3006">
              <w:rPr>
                <w:rFonts w:ascii="Arial" w:eastAsia="Arial" w:hAnsi="Arial" w:cs="Arial"/>
                <w:color w:val="414042" w:themeColor="text1"/>
                <w:sz w:val="22"/>
                <w:lang w:val="en-US"/>
              </w:rPr>
              <w:t xml:space="preserve">a </w:t>
            </w:r>
            <w:r w:rsidRPr="00DF3006">
              <w:rPr>
                <w:rFonts w:ascii="Arial" w:eastAsia="Arial" w:hAnsi="Arial" w:cs="Arial"/>
                <w:color w:val="414042" w:themeColor="text1"/>
                <w:sz w:val="22"/>
                <w:lang w:val="en-US"/>
              </w:rPr>
              <w:br/>
              <w:t>whole is free from material misstatement, whether due to fraud or error, and to issue an auditor’s report that includes my opinion. Reasonable assurance is a high level</w:t>
            </w:r>
            <w:r w:rsidRPr="00DF3006">
              <w:rPr>
                <w:rFonts w:ascii="Arial" w:eastAsia="Arial" w:hAnsi="Arial" w:cs="Arial"/>
                <w:color w:val="414042" w:themeColor="text1"/>
                <w:spacing w:val="-8"/>
                <w:sz w:val="22"/>
                <w:lang w:val="en-US"/>
              </w:rPr>
              <w:t xml:space="preserve"> </w:t>
            </w:r>
            <w:r w:rsidRPr="00DF3006">
              <w:rPr>
                <w:rFonts w:ascii="Arial" w:eastAsia="Arial" w:hAnsi="Arial" w:cs="Arial"/>
                <w:color w:val="414042" w:themeColor="text1"/>
                <w:sz w:val="22"/>
                <w:lang w:val="en-US"/>
              </w:rPr>
              <w:t>of</w:t>
            </w:r>
            <w:r w:rsidRPr="00DF3006">
              <w:rPr>
                <w:rFonts w:ascii="Arial" w:eastAsia="Arial" w:hAnsi="Arial" w:cs="Arial"/>
                <w:color w:val="414042" w:themeColor="text1"/>
                <w:spacing w:val="-6"/>
                <w:sz w:val="22"/>
                <w:lang w:val="en-US"/>
              </w:rPr>
              <w:t xml:space="preserve"> </w:t>
            </w:r>
            <w:proofErr w:type="gramStart"/>
            <w:r w:rsidRPr="00DF3006">
              <w:rPr>
                <w:rFonts w:ascii="Arial" w:eastAsia="Arial" w:hAnsi="Arial" w:cs="Arial"/>
                <w:color w:val="414042" w:themeColor="text1"/>
                <w:sz w:val="22"/>
                <w:lang w:val="en-US"/>
              </w:rPr>
              <w:t>assurance, but</w:t>
            </w:r>
            <w:proofErr w:type="gramEnd"/>
            <w:r w:rsidRPr="00DF3006">
              <w:rPr>
                <w:rFonts w:ascii="Arial" w:eastAsia="Arial" w:hAnsi="Arial" w:cs="Arial"/>
                <w:color w:val="414042" w:themeColor="text1"/>
                <w:sz w:val="22"/>
                <w:lang w:val="en-US"/>
              </w:rPr>
              <w:t xml:space="preserve"> is not a guarantee that an audit conducted in accordance with the Australian Auditing Standards</w:t>
            </w:r>
            <w:r w:rsidRPr="00DF3006">
              <w:rPr>
                <w:rFonts w:ascii="Arial" w:eastAsia="Arial" w:hAnsi="Arial" w:cs="Arial"/>
                <w:color w:val="414042" w:themeColor="text1"/>
                <w:spacing w:val="-2"/>
                <w:sz w:val="22"/>
                <w:lang w:val="en-US"/>
              </w:rPr>
              <w:t xml:space="preserve"> </w:t>
            </w:r>
            <w:r w:rsidRPr="00DF3006">
              <w:rPr>
                <w:rFonts w:ascii="Arial" w:eastAsia="Arial" w:hAnsi="Arial" w:cs="Arial"/>
                <w:color w:val="414042" w:themeColor="text1"/>
                <w:sz w:val="22"/>
                <w:lang w:val="en-US"/>
              </w:rPr>
              <w:t>will</w:t>
            </w:r>
            <w:r w:rsidRPr="00DF3006">
              <w:rPr>
                <w:rFonts w:ascii="Arial" w:eastAsia="Arial" w:hAnsi="Arial" w:cs="Arial"/>
                <w:color w:val="414042" w:themeColor="text1"/>
                <w:spacing w:val="-2"/>
                <w:sz w:val="22"/>
                <w:lang w:val="en-US"/>
              </w:rPr>
              <w:t xml:space="preserve"> </w:t>
            </w:r>
            <w:r w:rsidRPr="00DF3006">
              <w:rPr>
                <w:rFonts w:ascii="Arial" w:eastAsia="Arial" w:hAnsi="Arial" w:cs="Arial"/>
                <w:color w:val="414042" w:themeColor="text1"/>
                <w:sz w:val="22"/>
                <w:lang w:val="en-US"/>
              </w:rPr>
              <w:t>always</w:t>
            </w:r>
            <w:r w:rsidRPr="00DF3006">
              <w:rPr>
                <w:rFonts w:ascii="Arial" w:eastAsia="Arial" w:hAnsi="Arial" w:cs="Arial"/>
                <w:color w:val="414042" w:themeColor="text1"/>
                <w:spacing w:val="-4"/>
                <w:sz w:val="22"/>
                <w:lang w:val="en-US"/>
              </w:rPr>
              <w:t xml:space="preserve"> </w:t>
            </w:r>
            <w:r w:rsidRPr="00DF3006">
              <w:rPr>
                <w:rFonts w:ascii="Arial" w:eastAsia="Arial" w:hAnsi="Arial" w:cs="Arial"/>
                <w:color w:val="414042" w:themeColor="text1"/>
                <w:sz w:val="22"/>
                <w:lang w:val="en-US"/>
              </w:rPr>
              <w:t>detect</w:t>
            </w:r>
            <w:r w:rsidRPr="00DF3006">
              <w:rPr>
                <w:rFonts w:ascii="Arial" w:eastAsia="Arial" w:hAnsi="Arial" w:cs="Arial"/>
                <w:color w:val="414042" w:themeColor="text1"/>
                <w:spacing w:val="-6"/>
                <w:sz w:val="22"/>
                <w:lang w:val="en-US"/>
              </w:rPr>
              <w:t xml:space="preserve"> </w:t>
            </w:r>
            <w:r w:rsidRPr="00DF3006">
              <w:rPr>
                <w:rFonts w:ascii="Arial" w:eastAsia="Arial" w:hAnsi="Arial" w:cs="Arial"/>
                <w:color w:val="414042" w:themeColor="text1"/>
                <w:sz w:val="22"/>
                <w:lang w:val="en-US"/>
              </w:rPr>
              <w:t>a</w:t>
            </w:r>
            <w:r w:rsidRPr="00DF3006">
              <w:rPr>
                <w:rFonts w:ascii="Arial" w:eastAsia="Arial" w:hAnsi="Arial" w:cs="Arial"/>
                <w:color w:val="414042" w:themeColor="text1"/>
                <w:spacing w:val="-3"/>
                <w:sz w:val="22"/>
                <w:lang w:val="en-US"/>
              </w:rPr>
              <w:t xml:space="preserve"> </w:t>
            </w:r>
            <w:r w:rsidRPr="00DF3006">
              <w:rPr>
                <w:rFonts w:ascii="Arial" w:eastAsia="Arial" w:hAnsi="Arial" w:cs="Arial"/>
                <w:color w:val="414042" w:themeColor="text1"/>
                <w:sz w:val="22"/>
                <w:lang w:val="en-US"/>
              </w:rPr>
              <w:t>material</w:t>
            </w:r>
            <w:r w:rsidRPr="00DF3006">
              <w:rPr>
                <w:rFonts w:ascii="Arial" w:eastAsia="Arial" w:hAnsi="Arial" w:cs="Arial"/>
                <w:color w:val="414042" w:themeColor="text1"/>
                <w:spacing w:val="-2"/>
                <w:sz w:val="22"/>
                <w:lang w:val="en-US"/>
              </w:rPr>
              <w:t xml:space="preserve"> </w:t>
            </w:r>
            <w:r w:rsidRPr="00DF3006">
              <w:rPr>
                <w:rFonts w:ascii="Arial" w:eastAsia="Arial" w:hAnsi="Arial" w:cs="Arial"/>
                <w:color w:val="414042" w:themeColor="text1"/>
                <w:sz w:val="22"/>
                <w:lang w:val="en-US"/>
              </w:rPr>
              <w:t>misstatement</w:t>
            </w:r>
            <w:r w:rsidRPr="00DF3006">
              <w:rPr>
                <w:rFonts w:ascii="Arial" w:eastAsia="Arial" w:hAnsi="Arial" w:cs="Arial"/>
                <w:color w:val="414042" w:themeColor="text1"/>
                <w:spacing w:val="-1"/>
                <w:sz w:val="22"/>
                <w:lang w:val="en-US"/>
              </w:rPr>
              <w:t xml:space="preserve"> </w:t>
            </w:r>
            <w:r w:rsidRPr="00DF3006">
              <w:rPr>
                <w:rFonts w:ascii="Arial" w:eastAsia="Arial" w:hAnsi="Arial" w:cs="Arial"/>
                <w:color w:val="414042" w:themeColor="text1"/>
                <w:sz w:val="22"/>
                <w:lang w:val="en-US"/>
              </w:rPr>
              <w:t>when</w:t>
            </w:r>
            <w:r w:rsidRPr="00DF3006">
              <w:rPr>
                <w:rFonts w:ascii="Arial" w:eastAsia="Arial" w:hAnsi="Arial" w:cs="Arial"/>
                <w:color w:val="414042" w:themeColor="text1"/>
                <w:spacing w:val="-1"/>
                <w:sz w:val="22"/>
                <w:lang w:val="en-US"/>
              </w:rPr>
              <w:t xml:space="preserve"> </w:t>
            </w:r>
            <w:r w:rsidRPr="00DF3006">
              <w:rPr>
                <w:rFonts w:ascii="Arial" w:eastAsia="Arial" w:hAnsi="Arial" w:cs="Arial"/>
                <w:color w:val="414042" w:themeColor="text1"/>
                <w:sz w:val="22"/>
                <w:lang w:val="en-US"/>
              </w:rPr>
              <w:t>it exists.</w:t>
            </w:r>
            <w:r w:rsidRPr="00DF3006">
              <w:rPr>
                <w:rFonts w:ascii="Arial" w:eastAsia="Arial" w:hAnsi="Arial" w:cs="Arial"/>
                <w:color w:val="414042" w:themeColor="text1"/>
                <w:spacing w:val="-6"/>
                <w:sz w:val="22"/>
                <w:lang w:val="en-US"/>
              </w:rPr>
              <w:t xml:space="preserve"> </w:t>
            </w:r>
            <w:r w:rsidRPr="00DF3006">
              <w:rPr>
                <w:rFonts w:ascii="Arial" w:eastAsia="Arial" w:hAnsi="Arial" w:cs="Arial"/>
                <w:color w:val="414042" w:themeColor="text1"/>
                <w:sz w:val="22"/>
                <w:lang w:val="en-US"/>
              </w:rPr>
              <w:t>Misstatements</w:t>
            </w:r>
            <w:r w:rsidRPr="00DF3006">
              <w:rPr>
                <w:rFonts w:ascii="Arial" w:eastAsia="Arial" w:hAnsi="Arial" w:cs="Arial"/>
                <w:color w:val="414042" w:themeColor="text1"/>
                <w:spacing w:val="-4"/>
                <w:sz w:val="22"/>
                <w:lang w:val="en-US"/>
              </w:rPr>
              <w:t xml:space="preserve"> </w:t>
            </w:r>
            <w:r w:rsidRPr="00DF3006">
              <w:rPr>
                <w:rFonts w:ascii="Arial" w:eastAsia="Arial" w:hAnsi="Arial" w:cs="Arial"/>
                <w:color w:val="414042" w:themeColor="text1"/>
                <w:sz w:val="22"/>
                <w:lang w:val="en-US"/>
              </w:rPr>
              <w:t>can</w:t>
            </w:r>
            <w:r w:rsidRPr="00DF3006">
              <w:rPr>
                <w:rFonts w:ascii="Arial" w:eastAsia="Arial" w:hAnsi="Arial" w:cs="Arial"/>
                <w:color w:val="414042" w:themeColor="text1"/>
                <w:spacing w:val="-5"/>
                <w:sz w:val="22"/>
                <w:lang w:val="en-US"/>
              </w:rPr>
              <w:t xml:space="preserve"> </w:t>
            </w:r>
            <w:r w:rsidRPr="00DF3006">
              <w:rPr>
                <w:rFonts w:ascii="Arial" w:eastAsia="Arial" w:hAnsi="Arial" w:cs="Arial"/>
                <w:color w:val="414042" w:themeColor="text1"/>
                <w:sz w:val="22"/>
                <w:lang w:val="en-US"/>
              </w:rPr>
              <w:t xml:space="preserve">arise from fraud or error and are considered material if, individually or in aggregate, they could reasonably be expected to influence the economic decisions of users taken </w:t>
            </w:r>
            <w:proofErr w:type="gramStart"/>
            <w:r w:rsidRPr="00DF3006">
              <w:rPr>
                <w:rFonts w:ascii="Arial" w:eastAsia="Arial" w:hAnsi="Arial" w:cs="Arial"/>
                <w:color w:val="414042" w:themeColor="text1"/>
                <w:sz w:val="22"/>
                <w:lang w:val="en-US"/>
              </w:rPr>
              <w:t>on the basis of</w:t>
            </w:r>
            <w:proofErr w:type="gramEnd"/>
            <w:r w:rsidRPr="00DF3006">
              <w:rPr>
                <w:rFonts w:ascii="Arial" w:eastAsia="Arial" w:hAnsi="Arial" w:cs="Arial"/>
                <w:color w:val="414042" w:themeColor="text1"/>
                <w:sz w:val="22"/>
                <w:lang w:val="en-US"/>
              </w:rPr>
              <w:t xml:space="preserve"> </w:t>
            </w:r>
            <w:r w:rsidRPr="00DF3006">
              <w:rPr>
                <w:rFonts w:ascii="Arial" w:eastAsia="Arial" w:hAnsi="Arial" w:cs="Arial"/>
                <w:color w:val="414042" w:themeColor="text1"/>
                <w:sz w:val="22"/>
                <w:lang w:val="en-US"/>
              </w:rPr>
              <w:br/>
              <w:t>this financial report.</w:t>
            </w:r>
          </w:p>
          <w:p w14:paraId="4E1D0648" w14:textId="77777777" w:rsidR="003F0C86" w:rsidRPr="00DF3006" w:rsidRDefault="003F0C86" w:rsidP="003F0C86">
            <w:pPr>
              <w:widowControl w:val="0"/>
              <w:kinsoku w:val="0"/>
              <w:overflowPunct w:val="0"/>
              <w:autoSpaceDE w:val="0"/>
              <w:autoSpaceDN w:val="0"/>
              <w:adjustRightInd w:val="0"/>
              <w:spacing w:before="147" w:after="0" w:line="266" w:lineRule="auto"/>
              <w:rPr>
                <w:rFonts w:ascii="Arial" w:eastAsia="Times New Roman" w:hAnsi="Arial" w:cs="Arial"/>
                <w:color w:val="414042" w:themeColor="text1"/>
                <w:sz w:val="22"/>
                <w:lang w:eastAsia="en-AU"/>
              </w:rPr>
            </w:pPr>
            <w:r w:rsidRPr="00DF3006">
              <w:rPr>
                <w:rFonts w:ascii="Arial" w:eastAsia="Times New Roman" w:hAnsi="Arial" w:cs="Arial"/>
                <w:color w:val="414042" w:themeColor="text1"/>
                <w:sz w:val="22"/>
                <w:lang w:eastAsia="en-AU"/>
              </w:rPr>
              <w:t xml:space="preserve">As </w:t>
            </w:r>
            <w:r w:rsidRPr="00DF3006">
              <w:rPr>
                <w:rFonts w:ascii="Arial" w:eastAsia="Times New Roman" w:hAnsi="Arial" w:cs="Arial"/>
                <w:color w:val="414042" w:themeColor="text1"/>
                <w:spacing w:val="-8"/>
                <w:sz w:val="22"/>
                <w:lang w:eastAsia="en-AU"/>
              </w:rPr>
              <w:t>part</w:t>
            </w:r>
            <w:r w:rsidRPr="00DF3006">
              <w:rPr>
                <w:rFonts w:ascii="Arial" w:eastAsia="Times New Roman" w:hAnsi="Arial" w:cs="Arial"/>
                <w:color w:val="414042" w:themeColor="text1"/>
                <w:sz w:val="22"/>
                <w:lang w:eastAsia="en-AU"/>
              </w:rPr>
              <w:t xml:space="preserve"> of an audit in accordance with the Australian Auditing Standards, I exercise </w:t>
            </w:r>
            <w:r w:rsidRPr="00DF3006">
              <w:rPr>
                <w:rFonts w:ascii="Arial" w:eastAsia="Times New Roman" w:hAnsi="Arial" w:cs="Arial"/>
                <w:color w:val="414042" w:themeColor="text1"/>
                <w:sz w:val="22"/>
                <w:lang w:eastAsia="en-AU"/>
              </w:rPr>
              <w:br/>
              <w:t>professional</w:t>
            </w:r>
            <w:r w:rsidRPr="00DF3006">
              <w:rPr>
                <w:rFonts w:ascii="Arial" w:eastAsia="Times New Roman" w:hAnsi="Arial" w:cs="Arial"/>
                <w:color w:val="414042" w:themeColor="text1"/>
                <w:spacing w:val="-6"/>
                <w:sz w:val="22"/>
                <w:lang w:eastAsia="en-AU"/>
              </w:rPr>
              <w:t xml:space="preserve"> </w:t>
            </w:r>
            <w:r w:rsidRPr="00DF3006">
              <w:rPr>
                <w:rFonts w:ascii="Arial" w:eastAsia="Times New Roman" w:hAnsi="Arial" w:cs="Arial"/>
                <w:color w:val="414042" w:themeColor="text1"/>
                <w:sz w:val="22"/>
                <w:lang w:eastAsia="en-AU"/>
              </w:rPr>
              <w:t>judgement</w:t>
            </w:r>
            <w:r w:rsidRPr="00DF3006">
              <w:rPr>
                <w:rFonts w:ascii="Arial" w:eastAsia="Times New Roman" w:hAnsi="Arial" w:cs="Arial"/>
                <w:color w:val="414042" w:themeColor="text1"/>
                <w:spacing w:val="-6"/>
                <w:sz w:val="22"/>
                <w:lang w:eastAsia="en-AU"/>
              </w:rPr>
              <w:t xml:space="preserve"> </w:t>
            </w:r>
            <w:r w:rsidRPr="00DF3006">
              <w:rPr>
                <w:rFonts w:ascii="Arial" w:eastAsia="Times New Roman" w:hAnsi="Arial" w:cs="Arial"/>
                <w:color w:val="414042" w:themeColor="text1"/>
                <w:sz w:val="22"/>
                <w:lang w:eastAsia="en-AU"/>
              </w:rPr>
              <w:t>and</w:t>
            </w:r>
            <w:r w:rsidRPr="00DF3006">
              <w:rPr>
                <w:rFonts w:ascii="Arial" w:eastAsia="Times New Roman" w:hAnsi="Arial" w:cs="Arial"/>
                <w:color w:val="414042" w:themeColor="text1"/>
                <w:spacing w:val="-3"/>
                <w:sz w:val="22"/>
                <w:lang w:eastAsia="en-AU"/>
              </w:rPr>
              <w:t xml:space="preserve"> </w:t>
            </w:r>
            <w:r w:rsidRPr="00DF3006">
              <w:rPr>
                <w:rFonts w:ascii="Arial" w:eastAsia="Times New Roman" w:hAnsi="Arial" w:cs="Arial"/>
                <w:color w:val="414042" w:themeColor="text1"/>
                <w:sz w:val="22"/>
                <w:lang w:eastAsia="en-AU"/>
              </w:rPr>
              <w:t>maintain</w:t>
            </w:r>
            <w:r w:rsidRPr="00DF3006">
              <w:rPr>
                <w:rFonts w:ascii="Arial" w:eastAsia="Times New Roman" w:hAnsi="Arial" w:cs="Arial"/>
                <w:color w:val="414042" w:themeColor="text1"/>
                <w:spacing w:val="-5"/>
                <w:sz w:val="22"/>
                <w:lang w:eastAsia="en-AU"/>
              </w:rPr>
              <w:t xml:space="preserve"> </w:t>
            </w:r>
            <w:r w:rsidRPr="00DF3006">
              <w:rPr>
                <w:rFonts w:ascii="Arial" w:eastAsia="Times New Roman" w:hAnsi="Arial" w:cs="Arial"/>
                <w:color w:val="414042" w:themeColor="text1"/>
                <w:sz w:val="22"/>
                <w:lang w:eastAsia="en-AU"/>
              </w:rPr>
              <w:t>professional</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scepticism</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throughout</w:t>
            </w:r>
            <w:r w:rsidRPr="00DF3006">
              <w:rPr>
                <w:rFonts w:ascii="Arial" w:eastAsia="Times New Roman" w:hAnsi="Arial" w:cs="Arial"/>
                <w:color w:val="414042" w:themeColor="text1"/>
                <w:spacing w:val="-6"/>
                <w:sz w:val="22"/>
                <w:lang w:eastAsia="en-AU"/>
              </w:rPr>
              <w:t xml:space="preserve"> </w:t>
            </w:r>
            <w:r w:rsidRPr="00DF3006">
              <w:rPr>
                <w:rFonts w:ascii="Arial" w:eastAsia="Times New Roman" w:hAnsi="Arial" w:cs="Arial"/>
                <w:color w:val="414042" w:themeColor="text1"/>
                <w:sz w:val="22"/>
                <w:lang w:eastAsia="en-AU"/>
              </w:rPr>
              <w:t>the</w:t>
            </w:r>
            <w:r w:rsidRPr="00DF3006">
              <w:rPr>
                <w:rFonts w:ascii="Arial" w:eastAsia="Times New Roman" w:hAnsi="Arial" w:cs="Arial"/>
                <w:color w:val="414042" w:themeColor="text1"/>
                <w:spacing w:val="-3"/>
                <w:sz w:val="22"/>
                <w:lang w:eastAsia="en-AU"/>
              </w:rPr>
              <w:t xml:space="preserve"> </w:t>
            </w:r>
            <w:r w:rsidRPr="00DF3006">
              <w:rPr>
                <w:rFonts w:ascii="Arial" w:eastAsia="Times New Roman" w:hAnsi="Arial" w:cs="Arial"/>
                <w:color w:val="414042" w:themeColor="text1"/>
                <w:sz w:val="22"/>
                <w:lang w:eastAsia="en-AU"/>
              </w:rPr>
              <w:t>audit.</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I</w:t>
            </w:r>
            <w:r w:rsidRPr="00DF3006">
              <w:rPr>
                <w:rFonts w:ascii="Arial" w:eastAsia="Times New Roman" w:hAnsi="Arial" w:cs="Arial"/>
                <w:color w:val="414042" w:themeColor="text1"/>
                <w:spacing w:val="-1"/>
                <w:sz w:val="22"/>
                <w:lang w:eastAsia="en-AU"/>
              </w:rPr>
              <w:t xml:space="preserve"> </w:t>
            </w:r>
            <w:r w:rsidRPr="00DF3006">
              <w:rPr>
                <w:rFonts w:ascii="Arial" w:eastAsia="Times New Roman" w:hAnsi="Arial" w:cs="Arial"/>
                <w:color w:val="414042" w:themeColor="text1"/>
                <w:sz w:val="22"/>
                <w:lang w:eastAsia="en-AU"/>
              </w:rPr>
              <w:t>also:</w:t>
            </w:r>
          </w:p>
          <w:p w14:paraId="4A86DAB0" w14:textId="77777777" w:rsidR="003F0C86" w:rsidRPr="00DF3006" w:rsidRDefault="003F0C86" w:rsidP="003F0C86">
            <w:pPr>
              <w:numPr>
                <w:ilvl w:val="0"/>
                <w:numId w:val="67"/>
              </w:numPr>
              <w:kinsoku w:val="0"/>
              <w:overflowPunct w:val="0"/>
              <w:autoSpaceDE w:val="0"/>
              <w:autoSpaceDN w:val="0"/>
              <w:adjustRightInd w:val="0"/>
              <w:spacing w:before="110" w:after="60" w:line="266" w:lineRule="auto"/>
              <w:ind w:left="697" w:right="142" w:hanging="357"/>
              <w:rPr>
                <w:rFonts w:ascii="Arial" w:eastAsia="Calibri" w:hAnsi="Arial" w:cs="Arial"/>
                <w:color w:val="414042" w:themeColor="text1"/>
                <w:sz w:val="22"/>
              </w:rPr>
            </w:pPr>
            <w:r w:rsidRPr="00DF3006">
              <w:rPr>
                <w:rFonts w:ascii="Arial" w:eastAsia="Calibri" w:hAnsi="Arial" w:cs="Arial"/>
                <w:color w:val="414042" w:themeColor="text1"/>
                <w:sz w:val="22"/>
              </w:rPr>
              <w:t>Identify</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and</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assess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risks of</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material misstatement</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of</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financial</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report, whether due to</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fraud or error,</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design and</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perform audit procedures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responsive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to</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those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risks, and obtain audit evidence that is sufficient and</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appropriate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to</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provide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a basis for</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my opinion. The risk</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of not detecting</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a</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material misstatement</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resulting</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from</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fraud is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higher than</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for one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resulting</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from error,</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as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fraud</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may</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involve collusion, forgery, intentional omissions, misrepresentations, or the</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override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of</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internal control.</w:t>
            </w:r>
          </w:p>
          <w:p w14:paraId="3280664F" w14:textId="77777777" w:rsidR="003F0C86" w:rsidRPr="00DF3006" w:rsidRDefault="003F0C86" w:rsidP="003F0C86">
            <w:pPr>
              <w:numPr>
                <w:ilvl w:val="0"/>
                <w:numId w:val="67"/>
              </w:numPr>
              <w:kinsoku w:val="0"/>
              <w:overflowPunct w:val="0"/>
              <w:autoSpaceDE w:val="0"/>
              <w:autoSpaceDN w:val="0"/>
              <w:adjustRightInd w:val="0"/>
              <w:spacing w:before="110" w:after="60" w:line="266" w:lineRule="auto"/>
              <w:ind w:left="697" w:right="142" w:hanging="357"/>
              <w:rPr>
                <w:rFonts w:ascii="Arial" w:eastAsia="Calibri" w:hAnsi="Arial" w:cs="Arial"/>
                <w:color w:val="414042" w:themeColor="text1"/>
                <w:sz w:val="22"/>
              </w:rPr>
            </w:pPr>
            <w:r w:rsidRPr="00DF3006">
              <w:rPr>
                <w:rFonts w:ascii="Arial" w:eastAsia="Calibri" w:hAnsi="Arial" w:cs="Arial"/>
                <w:color w:val="414042" w:themeColor="text1"/>
                <w:sz w:val="22"/>
              </w:rPr>
              <w:t>Obtain an understanding</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of</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internal</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control relevant</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to</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the audit</w:t>
            </w:r>
            <w:r w:rsidRPr="00DF3006">
              <w:rPr>
                <w:rFonts w:ascii="Arial" w:eastAsia="Calibri" w:hAnsi="Arial" w:cs="Arial"/>
                <w:color w:val="414042" w:themeColor="text1"/>
                <w:spacing w:val="-1"/>
                <w:sz w:val="22"/>
              </w:rPr>
              <w:t xml:space="preserve"> </w:t>
            </w:r>
            <w:proofErr w:type="gramStart"/>
            <w:r w:rsidRPr="00DF3006">
              <w:rPr>
                <w:rFonts w:ascii="Arial" w:eastAsia="Calibri" w:hAnsi="Arial" w:cs="Arial"/>
                <w:color w:val="414042" w:themeColor="text1"/>
                <w:sz w:val="22"/>
              </w:rPr>
              <w:t>in order to</w:t>
            </w:r>
            <w:proofErr w:type="gramEnd"/>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design audit procedures</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that are</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appropriate in</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circumstances.</w:t>
            </w:r>
            <w:r w:rsidRPr="00DF3006">
              <w:rPr>
                <w:rFonts w:ascii="Arial" w:eastAsia="Calibri" w:hAnsi="Arial" w:cs="Arial"/>
                <w:color w:val="414042" w:themeColor="text1"/>
                <w:spacing w:val="8"/>
                <w:sz w:val="22"/>
              </w:rPr>
              <w:t xml:space="preserve"> </w:t>
            </w:r>
            <w:r w:rsidRPr="00DF3006">
              <w:rPr>
                <w:rFonts w:ascii="Arial" w:eastAsia="Calibri" w:hAnsi="Arial" w:cs="Arial"/>
                <w:color w:val="414042" w:themeColor="text1"/>
                <w:sz w:val="22"/>
              </w:rPr>
              <w:t>This</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is not done for the</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purpose of forming an opinion on the effectiveness</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of</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 xml:space="preserve">the entity’s internal </w:t>
            </w:r>
            <w:proofErr w:type="gramStart"/>
            <w:r w:rsidRPr="00DF3006">
              <w:rPr>
                <w:rFonts w:ascii="Arial" w:eastAsia="Calibri" w:hAnsi="Arial" w:cs="Arial"/>
                <w:color w:val="414042" w:themeColor="text1"/>
                <w:sz w:val="22"/>
              </w:rPr>
              <w:t>controls, but</w:t>
            </w:r>
            <w:proofErr w:type="gramEnd"/>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 xml:space="preserve">allows </w:t>
            </w:r>
            <w:r w:rsidRPr="00DF3006">
              <w:rPr>
                <w:rFonts w:ascii="Arial" w:eastAsia="Calibri" w:hAnsi="Arial" w:cs="Arial"/>
                <w:color w:val="414042" w:themeColor="text1"/>
                <w:sz w:val="22"/>
              </w:rPr>
              <w:br/>
              <w:t>me</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to</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form an</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opinion on</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compliance with</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prescribed requirements.</w:t>
            </w:r>
          </w:p>
          <w:p w14:paraId="02E1AC69" w14:textId="77777777" w:rsidR="003F0C86" w:rsidRPr="00DF3006" w:rsidRDefault="003F0C86" w:rsidP="003F0C86">
            <w:pPr>
              <w:numPr>
                <w:ilvl w:val="0"/>
                <w:numId w:val="67"/>
              </w:numPr>
              <w:kinsoku w:val="0"/>
              <w:overflowPunct w:val="0"/>
              <w:autoSpaceDE w:val="0"/>
              <w:autoSpaceDN w:val="0"/>
              <w:adjustRightInd w:val="0"/>
              <w:spacing w:before="110" w:after="60" w:line="266" w:lineRule="auto"/>
              <w:ind w:left="697" w:right="142" w:hanging="357"/>
              <w:rPr>
                <w:rFonts w:ascii="Arial" w:eastAsia="Calibri" w:hAnsi="Arial" w:cs="Arial"/>
                <w:color w:val="414042" w:themeColor="text1"/>
                <w:sz w:val="22"/>
              </w:rPr>
            </w:pPr>
            <w:r w:rsidRPr="00DF3006">
              <w:rPr>
                <w:rFonts w:ascii="Arial" w:eastAsia="Calibri" w:hAnsi="Arial" w:cs="Arial"/>
                <w:color w:val="414042" w:themeColor="text1"/>
                <w:sz w:val="22"/>
              </w:rPr>
              <w:t>Evaluate the appropriateness of material accounting policy information used and the reasonableness of accounting estimates and related disclosures made by the entity.</w:t>
            </w:r>
          </w:p>
          <w:p w14:paraId="269FE51A" w14:textId="77777777" w:rsidR="003F0C86" w:rsidRPr="00DF3006" w:rsidRDefault="003F0C86" w:rsidP="003F0C86">
            <w:pPr>
              <w:numPr>
                <w:ilvl w:val="0"/>
                <w:numId w:val="67"/>
              </w:numPr>
              <w:kinsoku w:val="0"/>
              <w:overflowPunct w:val="0"/>
              <w:autoSpaceDE w:val="0"/>
              <w:autoSpaceDN w:val="0"/>
              <w:adjustRightInd w:val="0"/>
              <w:spacing w:before="110" w:after="60" w:line="266" w:lineRule="auto"/>
              <w:ind w:left="697" w:right="142" w:hanging="357"/>
              <w:rPr>
                <w:rFonts w:ascii="Arial" w:eastAsia="Calibri" w:hAnsi="Arial" w:cs="Arial"/>
                <w:color w:val="414042" w:themeColor="text1"/>
                <w:sz w:val="22"/>
              </w:rPr>
            </w:pPr>
            <w:r w:rsidRPr="00DF3006">
              <w:rPr>
                <w:rFonts w:ascii="Arial" w:eastAsia="Calibri" w:hAnsi="Arial" w:cs="Arial"/>
                <w:color w:val="414042" w:themeColor="text1"/>
                <w:sz w:val="22"/>
              </w:rPr>
              <w:t>Conclude on the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appropriateness of</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the entity's use of the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going concern</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basis of accounting and, based</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on</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audit evidence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obtained, whether a</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material uncertainty exists related</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to</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events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or conditions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that may</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cast significant</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doubt on</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the entity's ability to</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continue</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as</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a</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going concern. If</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I conclude that a</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material uncertainty exists, I am required to draw attention in my auditor’s report to the related disclosures in the financial report or, if such disclosures are inadequate, to modify my opinion. I base my conclusions on the audit evidence obtained up to the date of my auditor’s report.</w:t>
            </w:r>
            <w:r w:rsidRPr="00DF3006">
              <w:rPr>
                <w:rFonts w:ascii="Arial" w:eastAsia="Calibri" w:hAnsi="Arial" w:cs="Arial"/>
                <w:color w:val="414042" w:themeColor="text1"/>
                <w:sz w:val="22"/>
              </w:rPr>
              <w:br/>
              <w:t>However, future events or conditions may cause the entity to cease to continue as a going concern.</w:t>
            </w:r>
          </w:p>
          <w:p w14:paraId="5F24EFB0" w14:textId="77777777" w:rsidR="003F0C86" w:rsidRPr="00DF3006" w:rsidRDefault="003F0C86" w:rsidP="003F0C86">
            <w:pPr>
              <w:numPr>
                <w:ilvl w:val="0"/>
                <w:numId w:val="67"/>
              </w:numPr>
              <w:kinsoku w:val="0"/>
              <w:overflowPunct w:val="0"/>
              <w:autoSpaceDE w:val="0"/>
              <w:autoSpaceDN w:val="0"/>
              <w:adjustRightInd w:val="0"/>
              <w:spacing w:before="110" w:after="60" w:line="266" w:lineRule="auto"/>
              <w:ind w:left="697" w:right="142" w:hanging="357"/>
              <w:rPr>
                <w:rFonts w:ascii="Arial" w:eastAsia="Calibri" w:hAnsi="Arial" w:cs="Arial"/>
                <w:color w:val="414042" w:themeColor="text1"/>
                <w:sz w:val="22"/>
              </w:rPr>
            </w:pPr>
            <w:r w:rsidRPr="00DF3006">
              <w:rPr>
                <w:rFonts w:ascii="Arial" w:eastAsia="Calibri" w:hAnsi="Arial" w:cs="Arial"/>
                <w:color w:val="414042" w:themeColor="text1"/>
                <w:sz w:val="22"/>
              </w:rPr>
              <w:t xml:space="preserve">Evaluate the overall presentation, </w:t>
            </w:r>
            <w:proofErr w:type="gramStart"/>
            <w:r w:rsidRPr="00DF3006">
              <w:rPr>
                <w:rFonts w:ascii="Arial" w:eastAsia="Calibri" w:hAnsi="Arial" w:cs="Arial"/>
                <w:color w:val="414042" w:themeColor="text1"/>
                <w:sz w:val="22"/>
              </w:rPr>
              <w:t>structure</w:t>
            </w:r>
            <w:proofErr w:type="gramEnd"/>
            <w:r w:rsidRPr="00DF3006">
              <w:rPr>
                <w:rFonts w:ascii="Arial" w:eastAsia="Calibri" w:hAnsi="Arial" w:cs="Arial"/>
                <w:color w:val="414042" w:themeColor="text1"/>
                <w:sz w:val="22"/>
              </w:rPr>
              <w:t xml:space="preserve"> and content of</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the financial report, including the disclosures, and whether the financial report represents the underlying transactions and events in a manner that achieves fair presentation.</w:t>
            </w:r>
          </w:p>
          <w:p w14:paraId="3A8E135E" w14:textId="13F1445D" w:rsidR="003F0C86" w:rsidRPr="003F0C86" w:rsidRDefault="003F0C86" w:rsidP="003F0C86">
            <w:pPr>
              <w:widowControl w:val="0"/>
              <w:kinsoku w:val="0"/>
              <w:overflowPunct w:val="0"/>
              <w:autoSpaceDE w:val="0"/>
              <w:autoSpaceDN w:val="0"/>
              <w:adjustRightInd w:val="0"/>
              <w:spacing w:before="147" w:after="0" w:line="266" w:lineRule="auto"/>
              <w:rPr>
                <w:rFonts w:ascii="Arial" w:eastAsia="Times New Roman" w:hAnsi="Arial" w:cs="Arial"/>
                <w:color w:val="414042" w:themeColor="text1"/>
                <w:sz w:val="22"/>
                <w:lang w:eastAsia="en-AU"/>
              </w:rPr>
            </w:pPr>
            <w:r w:rsidRPr="00DF3006">
              <w:rPr>
                <w:rFonts w:ascii="Arial" w:eastAsia="Times New Roman" w:hAnsi="Arial" w:cs="Arial"/>
                <w:color w:val="414042" w:themeColor="text1"/>
                <w:sz w:val="22"/>
                <w:lang w:eastAsia="en-AU"/>
              </w:rPr>
              <w:t>I</w:t>
            </w:r>
            <w:r w:rsidRPr="00DF3006">
              <w:rPr>
                <w:rFonts w:ascii="Arial" w:eastAsia="Times New Roman" w:hAnsi="Arial" w:cs="Arial"/>
                <w:color w:val="414042" w:themeColor="text1"/>
                <w:spacing w:val="-1"/>
                <w:sz w:val="22"/>
                <w:lang w:eastAsia="en-AU"/>
              </w:rPr>
              <w:t xml:space="preserve"> </w:t>
            </w:r>
            <w:r w:rsidRPr="00DF3006">
              <w:rPr>
                <w:rFonts w:ascii="Arial" w:eastAsia="Times New Roman" w:hAnsi="Arial" w:cs="Arial"/>
                <w:color w:val="414042" w:themeColor="text1"/>
                <w:spacing w:val="-8"/>
                <w:sz w:val="22"/>
                <w:lang w:eastAsia="en-AU"/>
              </w:rPr>
              <w:t>communicate</w:t>
            </w:r>
            <w:r w:rsidRPr="00DF3006">
              <w:rPr>
                <w:rFonts w:ascii="Arial" w:eastAsia="Times New Roman" w:hAnsi="Arial" w:cs="Arial"/>
                <w:color w:val="414042" w:themeColor="text1"/>
                <w:spacing w:val="-2"/>
                <w:sz w:val="22"/>
                <w:lang w:eastAsia="en-AU"/>
              </w:rPr>
              <w:t xml:space="preserve"> </w:t>
            </w:r>
            <w:r w:rsidRPr="00DF3006">
              <w:rPr>
                <w:rFonts w:ascii="Arial" w:eastAsia="Times New Roman" w:hAnsi="Arial" w:cs="Arial"/>
                <w:color w:val="414042" w:themeColor="text1"/>
                <w:sz w:val="22"/>
                <w:lang w:eastAsia="en-AU"/>
              </w:rPr>
              <w:t>with</w:t>
            </w:r>
            <w:r w:rsidRPr="00DF3006">
              <w:rPr>
                <w:rFonts w:ascii="Arial" w:eastAsia="Times New Roman" w:hAnsi="Arial" w:cs="Arial"/>
                <w:color w:val="414042" w:themeColor="text1"/>
                <w:spacing w:val="-3"/>
                <w:sz w:val="22"/>
                <w:lang w:eastAsia="en-AU"/>
              </w:rPr>
              <w:t xml:space="preserve"> </w:t>
            </w:r>
            <w:r w:rsidRPr="00DF3006">
              <w:rPr>
                <w:rFonts w:ascii="Arial" w:eastAsia="Times New Roman" w:hAnsi="Arial" w:cs="Arial"/>
                <w:color w:val="414042" w:themeColor="text1"/>
                <w:sz w:val="22"/>
                <w:lang w:eastAsia="en-AU"/>
              </w:rPr>
              <w:t>the</w:t>
            </w:r>
            <w:r w:rsidRPr="00DF3006">
              <w:rPr>
                <w:rFonts w:ascii="Arial" w:eastAsia="Times New Roman" w:hAnsi="Arial" w:cs="Arial"/>
                <w:color w:val="414042" w:themeColor="text1"/>
                <w:spacing w:val="-7"/>
                <w:sz w:val="22"/>
                <w:lang w:eastAsia="en-AU"/>
              </w:rPr>
              <w:t xml:space="preserve"> </w:t>
            </w:r>
            <w:r w:rsidRPr="00DF3006">
              <w:rPr>
                <w:rFonts w:ascii="Arial" w:eastAsia="Times New Roman" w:hAnsi="Arial" w:cs="Arial"/>
                <w:color w:val="414042" w:themeColor="text1"/>
                <w:sz w:val="22"/>
                <w:lang w:eastAsia="en-AU"/>
              </w:rPr>
              <w:t>Commission</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regarding,</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among</w:t>
            </w:r>
            <w:r w:rsidRPr="00DF3006">
              <w:rPr>
                <w:rFonts w:ascii="Arial" w:eastAsia="Times New Roman" w:hAnsi="Arial" w:cs="Arial"/>
                <w:color w:val="414042" w:themeColor="text1"/>
                <w:spacing w:val="-1"/>
                <w:sz w:val="22"/>
                <w:lang w:eastAsia="en-AU"/>
              </w:rPr>
              <w:t xml:space="preserve"> </w:t>
            </w:r>
            <w:r w:rsidRPr="00DF3006">
              <w:rPr>
                <w:rFonts w:ascii="Arial" w:eastAsia="Times New Roman" w:hAnsi="Arial" w:cs="Arial"/>
                <w:color w:val="414042" w:themeColor="text1"/>
                <w:sz w:val="22"/>
                <w:lang w:eastAsia="en-AU"/>
              </w:rPr>
              <w:t>other</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matters,</w:t>
            </w:r>
            <w:r w:rsidRPr="00DF3006">
              <w:rPr>
                <w:rFonts w:ascii="Arial" w:eastAsia="Times New Roman" w:hAnsi="Arial" w:cs="Arial"/>
                <w:color w:val="414042" w:themeColor="text1"/>
                <w:spacing w:val="-4"/>
                <w:sz w:val="22"/>
                <w:lang w:eastAsia="en-AU"/>
              </w:rPr>
              <w:t xml:space="preserve"> </w:t>
            </w:r>
            <w:r w:rsidRPr="00DF3006">
              <w:rPr>
                <w:rFonts w:ascii="Arial" w:eastAsia="Times New Roman" w:hAnsi="Arial" w:cs="Arial"/>
                <w:color w:val="414042" w:themeColor="text1"/>
                <w:sz w:val="22"/>
                <w:lang w:eastAsia="en-AU"/>
              </w:rPr>
              <w:t>the</w:t>
            </w:r>
            <w:r w:rsidRPr="00DF3006">
              <w:rPr>
                <w:rFonts w:ascii="Arial" w:eastAsia="Times New Roman" w:hAnsi="Arial" w:cs="Arial"/>
                <w:color w:val="414042" w:themeColor="text1"/>
                <w:spacing w:val="-5"/>
                <w:sz w:val="22"/>
                <w:lang w:eastAsia="en-AU"/>
              </w:rPr>
              <w:t xml:space="preserve"> </w:t>
            </w:r>
            <w:r w:rsidRPr="00DF3006">
              <w:rPr>
                <w:rFonts w:ascii="Arial" w:eastAsia="Times New Roman" w:hAnsi="Arial" w:cs="Arial"/>
                <w:color w:val="414042" w:themeColor="text1"/>
                <w:sz w:val="22"/>
                <w:lang w:eastAsia="en-AU"/>
              </w:rPr>
              <w:t>planned</w:t>
            </w:r>
            <w:r w:rsidRPr="00DF3006">
              <w:rPr>
                <w:rFonts w:ascii="Arial" w:eastAsia="Times New Roman" w:hAnsi="Arial" w:cs="Arial"/>
                <w:color w:val="414042" w:themeColor="text1"/>
                <w:spacing w:val="-3"/>
                <w:sz w:val="22"/>
                <w:lang w:eastAsia="en-AU"/>
              </w:rPr>
              <w:t xml:space="preserve"> </w:t>
            </w:r>
            <w:r w:rsidRPr="00DF3006">
              <w:rPr>
                <w:rFonts w:ascii="Arial" w:eastAsia="Times New Roman" w:hAnsi="Arial" w:cs="Arial"/>
                <w:color w:val="414042" w:themeColor="text1"/>
                <w:sz w:val="22"/>
                <w:lang w:eastAsia="en-AU"/>
              </w:rPr>
              <w:t>scope</w:t>
            </w:r>
            <w:r w:rsidRPr="00DF3006">
              <w:rPr>
                <w:rFonts w:ascii="Arial" w:eastAsia="Times New Roman" w:hAnsi="Arial" w:cs="Arial"/>
                <w:color w:val="414042" w:themeColor="text1"/>
                <w:spacing w:val="-3"/>
                <w:sz w:val="22"/>
                <w:lang w:eastAsia="en-AU"/>
              </w:rPr>
              <w:t xml:space="preserve"> </w:t>
            </w:r>
            <w:r w:rsidRPr="00DF3006">
              <w:rPr>
                <w:rFonts w:ascii="Arial" w:eastAsia="Times New Roman" w:hAnsi="Arial" w:cs="Arial"/>
                <w:color w:val="414042" w:themeColor="text1"/>
                <w:sz w:val="22"/>
                <w:lang w:eastAsia="en-AU"/>
              </w:rPr>
              <w:t>and timing of the audit and significant audit findings, including any significant deficiencies in internal control that I identify during my audit.</w:t>
            </w:r>
          </w:p>
        </w:tc>
      </w:tr>
    </w:tbl>
    <w:p w14:paraId="03DA6596" w14:textId="013F3A7B" w:rsidR="008E121E" w:rsidRPr="00DF3006" w:rsidRDefault="008E121E" w:rsidP="008E121E">
      <w:pPr>
        <w:widowControl w:val="0"/>
        <w:kinsoku w:val="0"/>
        <w:overflowPunct w:val="0"/>
        <w:autoSpaceDE w:val="0"/>
        <w:autoSpaceDN w:val="0"/>
        <w:adjustRightInd w:val="0"/>
        <w:spacing w:after="0"/>
        <w:rPr>
          <w:rFonts w:ascii="Arial" w:eastAsia="Times New Roman" w:hAnsi="Arial" w:cs="Arial"/>
          <w:color w:val="414042" w:themeColor="text1"/>
          <w:sz w:val="22"/>
          <w:lang w:eastAsia="en-AU"/>
        </w:rPr>
      </w:pPr>
      <w:r w:rsidRPr="00DF3006">
        <w:rPr>
          <w:rFonts w:ascii="Arial" w:eastAsia="Times New Roman" w:hAnsi="Arial" w:cs="Arial"/>
          <w:color w:val="414042" w:themeColor="text1"/>
          <w:sz w:val="22"/>
          <w:lang w:eastAsia="en-AU"/>
        </w:rPr>
        <w:br w:type="page"/>
      </w:r>
    </w:p>
    <w:p w14:paraId="6C77EB2E" w14:textId="79B65B58" w:rsidR="008E121E" w:rsidRPr="00DF3006" w:rsidRDefault="008E121E" w:rsidP="008E121E">
      <w:pPr>
        <w:rPr>
          <w:rFonts w:eastAsia="Calibri" w:cs="Arial"/>
          <w:color w:val="414042" w:themeColor="text1"/>
        </w:rPr>
      </w:pP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638"/>
      </w:tblGrid>
      <w:tr w:rsidR="003F0C86" w14:paraId="48D98A9A" w14:textId="77777777" w:rsidTr="003F0C86">
        <w:tc>
          <w:tcPr>
            <w:tcW w:w="9638" w:type="dxa"/>
          </w:tcPr>
          <w:p w14:paraId="54F5B7B2" w14:textId="77777777" w:rsidR="003F0C86" w:rsidRPr="00DF3006" w:rsidRDefault="003F0C86" w:rsidP="003F0C86">
            <w:pPr>
              <w:keepNext/>
              <w:widowControl w:val="0"/>
              <w:spacing w:before="120" w:after="120"/>
              <w:ind w:right="-425"/>
              <w:outlineLvl w:val="2"/>
              <w:rPr>
                <w:rFonts w:ascii="Arial" w:eastAsia="Times New Roman" w:hAnsi="Arial" w:cs="Arial"/>
                <w:b/>
                <w:bCs/>
                <w:noProof/>
                <w:color w:val="414042" w:themeColor="text1"/>
                <w:sz w:val="22"/>
                <w:lang w:eastAsia="en-AU"/>
              </w:rPr>
            </w:pPr>
            <w:r w:rsidRPr="00DF3006">
              <w:rPr>
                <w:rFonts w:ascii="Arial" w:eastAsia="Times New Roman" w:hAnsi="Arial" w:cs="Arial"/>
                <w:b/>
                <w:bCs/>
                <w:noProof/>
                <w:color w:val="414042" w:themeColor="text1"/>
                <w:sz w:val="22"/>
                <w:lang w:eastAsia="en-AU"/>
              </w:rPr>
              <w:t>Statement</w:t>
            </w:r>
          </w:p>
          <w:p w14:paraId="719514AF" w14:textId="77777777" w:rsidR="003F0C86" w:rsidRPr="00DF3006" w:rsidRDefault="003F0C86" w:rsidP="003F0C86">
            <w:pPr>
              <w:spacing w:before="148"/>
              <w:ind w:left="118"/>
              <w:rPr>
                <w:rFonts w:ascii="Arial" w:eastAsia="Calibri" w:hAnsi="Arial" w:cs="Arial"/>
                <w:color w:val="414042" w:themeColor="text1"/>
              </w:rPr>
            </w:pPr>
            <w:r w:rsidRPr="00DF3006">
              <w:rPr>
                <w:rFonts w:ascii="Arial" w:eastAsia="Calibri" w:hAnsi="Arial" w:cs="Arial"/>
                <w:color w:val="414042" w:themeColor="text1"/>
                <w:sz w:val="22"/>
              </w:rPr>
              <w:t>In</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accordance</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with</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s.40</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of</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4"/>
                <w:sz w:val="22"/>
              </w:rPr>
              <w:t xml:space="preserve"> </w:t>
            </w:r>
            <w:r w:rsidRPr="00DF3006">
              <w:rPr>
                <w:rFonts w:ascii="Arial" w:eastAsia="Calibri" w:hAnsi="Arial" w:cs="Arial"/>
                <w:i/>
                <w:color w:val="414042" w:themeColor="text1"/>
                <w:sz w:val="22"/>
              </w:rPr>
              <w:t>Auditor-General</w:t>
            </w:r>
            <w:r w:rsidRPr="00DF3006">
              <w:rPr>
                <w:rFonts w:ascii="Arial" w:eastAsia="Calibri" w:hAnsi="Arial" w:cs="Arial"/>
                <w:i/>
                <w:color w:val="414042" w:themeColor="text1"/>
                <w:spacing w:val="-7"/>
                <w:sz w:val="22"/>
              </w:rPr>
              <w:t xml:space="preserve"> </w:t>
            </w:r>
            <w:r w:rsidRPr="00DF3006">
              <w:rPr>
                <w:rFonts w:ascii="Arial" w:eastAsia="Calibri" w:hAnsi="Arial" w:cs="Arial"/>
                <w:i/>
                <w:color w:val="414042" w:themeColor="text1"/>
                <w:sz w:val="22"/>
              </w:rPr>
              <w:t>Act</w:t>
            </w:r>
            <w:r w:rsidRPr="00DF3006">
              <w:rPr>
                <w:rFonts w:ascii="Arial" w:eastAsia="Calibri" w:hAnsi="Arial" w:cs="Arial"/>
                <w:i/>
                <w:color w:val="414042" w:themeColor="text1"/>
                <w:spacing w:val="-2"/>
                <w:sz w:val="22"/>
              </w:rPr>
              <w:t xml:space="preserve"> </w:t>
            </w:r>
            <w:r w:rsidRPr="00DF3006">
              <w:rPr>
                <w:rFonts w:ascii="Arial" w:eastAsia="Calibri" w:hAnsi="Arial" w:cs="Arial"/>
                <w:i/>
                <w:color w:val="414042" w:themeColor="text1"/>
                <w:sz w:val="22"/>
              </w:rPr>
              <w:t>2009</w:t>
            </w:r>
            <w:r w:rsidRPr="00DF3006">
              <w:rPr>
                <w:rFonts w:ascii="Arial" w:eastAsia="Calibri" w:hAnsi="Arial" w:cs="Arial"/>
                <w:color w:val="414042" w:themeColor="text1"/>
                <w:sz w:val="22"/>
              </w:rPr>
              <w:t>,</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for</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year</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ended</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30</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June</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pacing w:val="-2"/>
                <w:sz w:val="22"/>
              </w:rPr>
              <w:t>2023:</w:t>
            </w:r>
          </w:p>
          <w:p w14:paraId="7F47626D" w14:textId="77777777" w:rsidR="003F0C86" w:rsidRPr="00DF3006" w:rsidRDefault="003F0C86" w:rsidP="003F0C86">
            <w:pPr>
              <w:widowControl w:val="0"/>
              <w:numPr>
                <w:ilvl w:val="0"/>
                <w:numId w:val="68"/>
              </w:numPr>
              <w:tabs>
                <w:tab w:val="left" w:pos="685"/>
              </w:tabs>
              <w:autoSpaceDE w:val="0"/>
              <w:autoSpaceDN w:val="0"/>
              <w:spacing w:before="148" w:after="0"/>
              <w:ind w:hanging="567"/>
              <w:rPr>
                <w:rFonts w:ascii="Arial" w:eastAsia="Calibri" w:hAnsi="Arial" w:cs="Arial"/>
                <w:color w:val="414042" w:themeColor="text1"/>
              </w:rPr>
            </w:pPr>
            <w:r w:rsidRPr="00DF3006">
              <w:rPr>
                <w:rFonts w:ascii="Arial" w:eastAsia="Calibri" w:hAnsi="Arial" w:cs="Arial"/>
                <w:color w:val="414042" w:themeColor="text1"/>
                <w:sz w:val="22"/>
              </w:rPr>
              <w:t>I</w:t>
            </w:r>
            <w:r w:rsidRPr="00DF3006">
              <w:rPr>
                <w:rFonts w:ascii="Arial" w:eastAsia="Calibri" w:hAnsi="Arial" w:cs="Arial"/>
                <w:color w:val="414042" w:themeColor="text1"/>
                <w:spacing w:val="-7"/>
                <w:sz w:val="22"/>
              </w:rPr>
              <w:t xml:space="preserve"> </w:t>
            </w:r>
            <w:r w:rsidRPr="00DF3006">
              <w:rPr>
                <w:rFonts w:ascii="Arial" w:eastAsia="Calibri" w:hAnsi="Arial" w:cs="Arial"/>
                <w:color w:val="414042" w:themeColor="text1"/>
                <w:sz w:val="22"/>
              </w:rPr>
              <w:t>received</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all</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information</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and</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explanations</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I</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pacing w:val="-2"/>
                <w:sz w:val="22"/>
              </w:rPr>
              <w:t>required.</w:t>
            </w:r>
          </w:p>
          <w:p w14:paraId="7097DC51" w14:textId="77777777" w:rsidR="003F0C86" w:rsidRPr="00DF3006" w:rsidRDefault="003F0C86" w:rsidP="003F0C86">
            <w:pPr>
              <w:widowControl w:val="0"/>
              <w:numPr>
                <w:ilvl w:val="0"/>
                <w:numId w:val="68"/>
              </w:numPr>
              <w:tabs>
                <w:tab w:val="left" w:pos="684"/>
              </w:tabs>
              <w:autoSpaceDE w:val="0"/>
              <w:autoSpaceDN w:val="0"/>
              <w:spacing w:before="146" w:after="0" w:line="266" w:lineRule="auto"/>
              <w:ind w:left="684" w:right="942" w:hanging="567"/>
              <w:rPr>
                <w:rFonts w:ascii="Arial" w:eastAsia="Calibri" w:hAnsi="Arial" w:cs="Arial"/>
                <w:color w:val="414042" w:themeColor="text1"/>
              </w:rPr>
            </w:pPr>
            <w:r w:rsidRPr="00DF3006">
              <w:rPr>
                <w:rFonts w:ascii="Arial" w:eastAsia="Calibri" w:hAnsi="Arial" w:cs="Arial"/>
                <w:color w:val="414042" w:themeColor="text1"/>
                <w:sz w:val="22"/>
              </w:rPr>
              <w:t>I</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consider</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that,</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prescribed</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requirements</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in</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relation</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to</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establishment and keeping of accounts were complied with in all material respects.</w:t>
            </w:r>
          </w:p>
          <w:p w14:paraId="0CEBFED9" w14:textId="77777777" w:rsidR="003F0C86" w:rsidRPr="00DF3006" w:rsidRDefault="003F0C86" w:rsidP="003F0C86">
            <w:pPr>
              <w:suppressAutoHyphens/>
              <w:autoSpaceDE w:val="0"/>
              <w:autoSpaceDN w:val="0"/>
              <w:adjustRightInd w:val="0"/>
              <w:spacing w:before="120" w:after="120"/>
              <w:textAlignment w:val="center"/>
              <w:outlineLvl w:val="3"/>
              <w:rPr>
                <w:rFonts w:ascii="Arial" w:eastAsia="Calibri" w:hAnsi="Arial" w:cs="Arial"/>
                <w:b/>
                <w:bCs/>
                <w:color w:val="414042" w:themeColor="text1"/>
                <w:sz w:val="22"/>
                <w:szCs w:val="20"/>
              </w:rPr>
            </w:pPr>
            <w:r w:rsidRPr="00DF3006">
              <w:rPr>
                <w:rFonts w:ascii="Arial" w:eastAsia="Calibri" w:hAnsi="Arial" w:cs="Arial"/>
                <w:b/>
                <w:bCs/>
                <w:color w:val="414042" w:themeColor="text1"/>
                <w:sz w:val="22"/>
                <w:szCs w:val="20"/>
              </w:rPr>
              <w:t>Prescribed</w:t>
            </w:r>
            <w:r w:rsidRPr="00DF3006">
              <w:rPr>
                <w:rFonts w:ascii="Arial" w:eastAsia="Calibri" w:hAnsi="Arial" w:cs="Arial"/>
                <w:b/>
                <w:bCs/>
                <w:color w:val="414042" w:themeColor="text1"/>
                <w:spacing w:val="-11"/>
                <w:sz w:val="22"/>
                <w:szCs w:val="20"/>
              </w:rPr>
              <w:t xml:space="preserve"> </w:t>
            </w:r>
            <w:r w:rsidRPr="00DF3006">
              <w:rPr>
                <w:rFonts w:ascii="Arial" w:eastAsia="Calibri" w:hAnsi="Arial" w:cs="Arial"/>
                <w:b/>
                <w:bCs/>
                <w:color w:val="414042" w:themeColor="text1"/>
                <w:sz w:val="22"/>
                <w:szCs w:val="20"/>
              </w:rPr>
              <w:t>requirements</w:t>
            </w:r>
            <w:r w:rsidRPr="00DF3006">
              <w:rPr>
                <w:rFonts w:ascii="Arial" w:eastAsia="Calibri" w:hAnsi="Arial" w:cs="Arial"/>
                <w:b/>
                <w:bCs/>
                <w:color w:val="414042" w:themeColor="text1"/>
                <w:spacing w:val="-11"/>
                <w:sz w:val="22"/>
                <w:szCs w:val="20"/>
              </w:rPr>
              <w:t xml:space="preserve"> </w:t>
            </w:r>
            <w:r w:rsidRPr="00DF3006">
              <w:rPr>
                <w:rFonts w:ascii="Arial" w:eastAsia="Calibri" w:hAnsi="Arial" w:cs="Arial"/>
                <w:b/>
                <w:bCs/>
                <w:color w:val="414042" w:themeColor="text1"/>
                <w:sz w:val="22"/>
                <w:szCs w:val="20"/>
              </w:rPr>
              <w:t>scope</w:t>
            </w:r>
          </w:p>
          <w:p w14:paraId="549C8234" w14:textId="77777777" w:rsidR="003F0C86" w:rsidRPr="00DF3006" w:rsidRDefault="003F0C86" w:rsidP="003F0C86">
            <w:pPr>
              <w:widowControl w:val="0"/>
              <w:kinsoku w:val="0"/>
              <w:overflowPunct w:val="0"/>
              <w:autoSpaceDE w:val="0"/>
              <w:autoSpaceDN w:val="0"/>
              <w:adjustRightInd w:val="0"/>
              <w:spacing w:before="147" w:after="0" w:line="266" w:lineRule="auto"/>
              <w:rPr>
                <w:rFonts w:ascii="Arial" w:eastAsia="Calibri" w:hAnsi="Arial" w:cs="Arial"/>
                <w:color w:val="414042" w:themeColor="text1"/>
                <w:sz w:val="22"/>
              </w:rPr>
            </w:pPr>
            <w:r w:rsidRPr="00DF3006">
              <w:rPr>
                <w:rFonts w:ascii="Arial" w:eastAsia="Times New Roman" w:hAnsi="Arial" w:cs="Arial"/>
                <w:color w:val="414042" w:themeColor="text1"/>
                <w:spacing w:val="-8"/>
                <w:sz w:val="22"/>
                <w:lang w:eastAsia="en-AU"/>
              </w:rPr>
              <w:t>The</w:t>
            </w:r>
            <w:r w:rsidRPr="00DF3006">
              <w:rPr>
                <w:rFonts w:ascii="Arial" w:eastAsia="Calibri" w:hAnsi="Arial" w:cs="Arial"/>
                <w:color w:val="414042" w:themeColor="text1"/>
                <w:sz w:val="22"/>
              </w:rPr>
              <w:t xml:space="preserve"> prescribed requirements for the establishment and keeping of accounts are contained in </w:t>
            </w:r>
            <w:r w:rsidRPr="00DF3006">
              <w:rPr>
                <w:rFonts w:ascii="Arial" w:eastAsia="Calibri" w:hAnsi="Arial" w:cs="Arial"/>
                <w:color w:val="414042" w:themeColor="text1"/>
                <w:sz w:val="22"/>
              </w:rPr>
              <w:br/>
              <w:t xml:space="preserve">the </w:t>
            </w:r>
            <w:r w:rsidRPr="00DF3006">
              <w:rPr>
                <w:rFonts w:ascii="Arial" w:eastAsia="Calibri" w:hAnsi="Arial" w:cs="Arial"/>
                <w:i/>
                <w:color w:val="414042" w:themeColor="text1"/>
                <w:sz w:val="22"/>
              </w:rPr>
              <w:t>Financial Accountability Act 2009</w:t>
            </w:r>
            <w:r w:rsidRPr="00DF3006">
              <w:rPr>
                <w:rFonts w:ascii="Arial" w:eastAsia="Calibri" w:hAnsi="Arial" w:cs="Arial"/>
                <w:color w:val="414042" w:themeColor="text1"/>
                <w:sz w:val="22"/>
              </w:rPr>
              <w:t>, any other Act and the Financial and Performance Management Standard</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2019. The</w:t>
            </w:r>
            <w:r w:rsidRPr="00DF3006">
              <w:rPr>
                <w:rFonts w:ascii="Arial" w:eastAsia="Calibri" w:hAnsi="Arial" w:cs="Arial"/>
                <w:color w:val="414042" w:themeColor="text1"/>
                <w:spacing w:val="-9"/>
                <w:sz w:val="22"/>
              </w:rPr>
              <w:t xml:space="preserve"> </w:t>
            </w:r>
            <w:r w:rsidRPr="00DF3006">
              <w:rPr>
                <w:rFonts w:ascii="Arial" w:eastAsia="Calibri" w:hAnsi="Arial" w:cs="Arial"/>
                <w:color w:val="414042" w:themeColor="text1"/>
                <w:sz w:val="22"/>
              </w:rPr>
              <w:t>applicable</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requirements</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include</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those</w:t>
            </w:r>
            <w:r w:rsidRPr="00DF3006">
              <w:rPr>
                <w:rFonts w:ascii="Arial" w:eastAsia="Calibri" w:hAnsi="Arial" w:cs="Arial"/>
                <w:color w:val="414042" w:themeColor="text1"/>
                <w:spacing w:val="-6"/>
                <w:sz w:val="22"/>
              </w:rPr>
              <w:t xml:space="preserve"> </w:t>
            </w:r>
            <w:r w:rsidRPr="00DF3006">
              <w:rPr>
                <w:rFonts w:ascii="Arial" w:eastAsia="Calibri" w:hAnsi="Arial" w:cs="Arial"/>
                <w:color w:val="414042" w:themeColor="text1"/>
                <w:sz w:val="22"/>
              </w:rPr>
              <w:t>for</w:t>
            </w:r>
            <w:r w:rsidRPr="00DF3006">
              <w:rPr>
                <w:rFonts w:ascii="Arial" w:eastAsia="Calibri" w:hAnsi="Arial" w:cs="Arial"/>
                <w:color w:val="414042" w:themeColor="text1"/>
                <w:spacing w:val="-1"/>
                <w:sz w:val="22"/>
              </w:rPr>
              <w:t xml:space="preserve"> </w:t>
            </w:r>
            <w:r w:rsidRPr="00DF3006">
              <w:rPr>
                <w:rFonts w:ascii="Arial" w:eastAsia="Calibri" w:hAnsi="Arial" w:cs="Arial"/>
                <w:color w:val="414042" w:themeColor="text1"/>
                <w:sz w:val="22"/>
              </w:rPr>
              <w:t>keeping</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financial records that correctly record and explain the entity’s transactions and account balances to enable</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the</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preparation</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of</w:t>
            </w:r>
            <w:r w:rsidRPr="00DF3006">
              <w:rPr>
                <w:rFonts w:ascii="Arial" w:eastAsia="Calibri" w:hAnsi="Arial" w:cs="Arial"/>
                <w:color w:val="414042" w:themeColor="text1"/>
                <w:spacing w:val="-2"/>
                <w:sz w:val="22"/>
              </w:rPr>
              <w:t xml:space="preserve"> </w:t>
            </w:r>
            <w:r w:rsidRPr="00DF3006">
              <w:rPr>
                <w:rFonts w:ascii="Arial" w:eastAsia="Calibri" w:hAnsi="Arial" w:cs="Arial"/>
                <w:color w:val="414042" w:themeColor="text1"/>
                <w:sz w:val="22"/>
              </w:rPr>
              <w:t>a</w:t>
            </w:r>
            <w:r w:rsidRPr="00DF3006">
              <w:rPr>
                <w:rFonts w:ascii="Arial" w:eastAsia="Calibri" w:hAnsi="Arial" w:cs="Arial"/>
                <w:color w:val="414042" w:themeColor="text1"/>
                <w:spacing w:val="-4"/>
                <w:sz w:val="22"/>
              </w:rPr>
              <w:t xml:space="preserve"> </w:t>
            </w:r>
            <w:r w:rsidRPr="00DF3006">
              <w:rPr>
                <w:rFonts w:ascii="Arial" w:eastAsia="Calibri" w:hAnsi="Arial" w:cs="Arial"/>
                <w:color w:val="414042" w:themeColor="text1"/>
                <w:sz w:val="22"/>
              </w:rPr>
              <w:t>true</w:t>
            </w:r>
            <w:r w:rsidRPr="00DF3006">
              <w:rPr>
                <w:rFonts w:ascii="Arial" w:eastAsia="Calibri" w:hAnsi="Arial" w:cs="Arial"/>
                <w:color w:val="414042" w:themeColor="text1"/>
                <w:spacing w:val="-9"/>
                <w:sz w:val="22"/>
              </w:rPr>
              <w:t xml:space="preserve"> </w:t>
            </w:r>
            <w:r w:rsidRPr="00DF3006">
              <w:rPr>
                <w:rFonts w:ascii="Arial" w:eastAsia="Calibri" w:hAnsi="Arial" w:cs="Arial"/>
                <w:color w:val="414042" w:themeColor="text1"/>
                <w:sz w:val="22"/>
              </w:rPr>
              <w:t>and</w:t>
            </w:r>
            <w:r w:rsidRPr="00DF3006">
              <w:rPr>
                <w:rFonts w:ascii="Arial" w:eastAsia="Calibri" w:hAnsi="Arial" w:cs="Arial"/>
                <w:color w:val="414042" w:themeColor="text1"/>
                <w:spacing w:val="-5"/>
                <w:sz w:val="22"/>
              </w:rPr>
              <w:t xml:space="preserve"> </w:t>
            </w:r>
            <w:r w:rsidRPr="00DF3006">
              <w:rPr>
                <w:rFonts w:ascii="Arial" w:eastAsia="Calibri" w:hAnsi="Arial" w:cs="Arial"/>
                <w:color w:val="414042" w:themeColor="text1"/>
                <w:sz w:val="22"/>
              </w:rPr>
              <w:t>fair</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z w:val="22"/>
              </w:rPr>
              <w:t>financial</w:t>
            </w:r>
            <w:r w:rsidRPr="00DF3006">
              <w:rPr>
                <w:rFonts w:ascii="Arial" w:eastAsia="Calibri" w:hAnsi="Arial" w:cs="Arial"/>
                <w:color w:val="414042" w:themeColor="text1"/>
                <w:spacing w:val="-3"/>
                <w:sz w:val="22"/>
              </w:rPr>
              <w:t xml:space="preserve"> </w:t>
            </w:r>
            <w:r w:rsidRPr="00DF3006">
              <w:rPr>
                <w:rFonts w:ascii="Arial" w:eastAsia="Calibri" w:hAnsi="Arial" w:cs="Arial"/>
                <w:color w:val="414042" w:themeColor="text1"/>
                <w:spacing w:val="-2"/>
                <w:sz w:val="22"/>
              </w:rPr>
              <w:t>report.</w:t>
            </w:r>
          </w:p>
          <w:p w14:paraId="133BE7A6" w14:textId="77777777" w:rsidR="003F0C86" w:rsidRPr="00DF3006" w:rsidRDefault="003F0C86" w:rsidP="003F0C86">
            <w:pPr>
              <w:widowControl w:val="0"/>
              <w:autoSpaceDE w:val="0"/>
              <w:autoSpaceDN w:val="0"/>
              <w:spacing w:after="0"/>
              <w:rPr>
                <w:rFonts w:ascii="Arial" w:eastAsia="Arial" w:hAnsi="Arial" w:cs="Arial"/>
                <w:color w:val="414042" w:themeColor="text1"/>
                <w:sz w:val="21"/>
                <w:szCs w:val="21"/>
                <w:highlight w:val="red"/>
                <w:lang w:val="en-US"/>
              </w:rPr>
            </w:pPr>
          </w:p>
          <w:p w14:paraId="7C328E36" w14:textId="77777777" w:rsidR="003F0C86" w:rsidRPr="00DF3006" w:rsidRDefault="003F0C86" w:rsidP="003F0C86">
            <w:pPr>
              <w:widowControl w:val="0"/>
              <w:tabs>
                <w:tab w:val="left" w:pos="7649"/>
              </w:tabs>
              <w:autoSpaceDE w:val="0"/>
              <w:autoSpaceDN w:val="0"/>
              <w:spacing w:before="174" w:after="0"/>
              <w:ind w:left="212"/>
              <w:rPr>
                <w:rFonts w:ascii="Arial" w:eastAsia="Arial" w:hAnsi="Arial" w:cs="Arial"/>
                <w:color w:val="414042" w:themeColor="text1"/>
                <w:sz w:val="22"/>
                <w:lang w:val="en-US"/>
              </w:rPr>
            </w:pPr>
            <w:r w:rsidRPr="00DF3006">
              <w:rPr>
                <w:rFonts w:ascii="Arial" w:eastAsia="Arial" w:hAnsi="Arial" w:cs="Arial"/>
                <w:noProof/>
                <w:color w:val="414042" w:themeColor="text1"/>
                <w:position w:val="-23"/>
                <w:sz w:val="22"/>
                <w:lang w:val="en-US"/>
              </w:rPr>
              <w:drawing>
                <wp:inline distT="0" distB="0" distL="0" distR="0" wp14:anchorId="3C767F47" wp14:editId="28FD95FE">
                  <wp:extent cx="1027175" cy="341375"/>
                  <wp:effectExtent l="0" t="0" r="1905" b="1905"/>
                  <wp:docPr id="2465" name="Picture 2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8" cstate="print">
                            <a:grayscl/>
                          </a:blip>
                          <a:stretch>
                            <a:fillRect/>
                          </a:stretch>
                        </pic:blipFill>
                        <pic:spPr>
                          <a:xfrm>
                            <a:off x="0" y="0"/>
                            <a:ext cx="1027175" cy="341375"/>
                          </a:xfrm>
                          <a:prstGeom prst="rect">
                            <a:avLst/>
                          </a:prstGeom>
                        </pic:spPr>
                      </pic:pic>
                    </a:graphicData>
                  </a:graphic>
                </wp:inline>
              </w:drawing>
            </w:r>
            <w:r w:rsidRPr="00DF3006">
              <w:rPr>
                <w:rFonts w:ascii="Times New Roman" w:eastAsia="Arial" w:hAnsi="Arial" w:cs="Arial"/>
                <w:color w:val="414042" w:themeColor="text1"/>
                <w:sz w:val="22"/>
                <w:lang w:val="en-US"/>
              </w:rPr>
              <w:tab/>
            </w:r>
            <w:r w:rsidRPr="00DF3006">
              <w:rPr>
                <w:rFonts w:ascii="Times New Roman" w:eastAsia="Arial" w:hAnsi="Arial" w:cs="Arial"/>
                <w:color w:val="414042" w:themeColor="text1"/>
                <w:spacing w:val="28"/>
                <w:sz w:val="22"/>
                <w:lang w:val="en-US"/>
              </w:rPr>
              <w:t xml:space="preserve"> </w:t>
            </w:r>
            <w:r w:rsidRPr="00DF3006">
              <w:rPr>
                <w:rFonts w:ascii="Arial" w:eastAsia="Arial" w:hAnsi="Arial" w:cs="Arial"/>
                <w:color w:val="414042" w:themeColor="text1"/>
                <w:sz w:val="22"/>
                <w:lang w:val="en-US"/>
              </w:rPr>
              <w:t>28 August 2023</w:t>
            </w:r>
          </w:p>
          <w:p w14:paraId="3A86B5B0" w14:textId="77777777" w:rsidR="003F0C86" w:rsidRPr="00DF3006" w:rsidRDefault="003F0C86" w:rsidP="003F0C86">
            <w:pPr>
              <w:widowControl w:val="0"/>
              <w:tabs>
                <w:tab w:val="left" w:pos="6885"/>
              </w:tabs>
              <w:autoSpaceDE w:val="0"/>
              <w:autoSpaceDN w:val="0"/>
              <w:spacing w:before="332" w:after="0" w:line="252" w:lineRule="exact"/>
              <w:ind w:left="226"/>
              <w:rPr>
                <w:rFonts w:ascii="Arial" w:eastAsia="Arial" w:hAnsi="Arial" w:cs="Arial"/>
                <w:color w:val="414042" w:themeColor="text1"/>
                <w:sz w:val="22"/>
                <w:lang w:val="en-US"/>
              </w:rPr>
            </w:pPr>
            <w:r w:rsidRPr="00DF3006">
              <w:rPr>
                <w:rFonts w:ascii="Arial" w:eastAsia="Arial" w:hAnsi="Arial" w:cs="Arial"/>
                <w:color w:val="414042" w:themeColor="text1"/>
                <w:sz w:val="22"/>
                <w:lang w:val="en-US"/>
              </w:rPr>
              <w:t>Lisa</w:t>
            </w:r>
            <w:r w:rsidRPr="00DF3006">
              <w:rPr>
                <w:rFonts w:ascii="Arial" w:eastAsia="Arial" w:hAnsi="Arial" w:cs="Arial"/>
                <w:color w:val="414042" w:themeColor="text1"/>
                <w:spacing w:val="-2"/>
                <w:sz w:val="22"/>
                <w:lang w:val="en-US"/>
              </w:rPr>
              <w:t xml:space="preserve"> Fraser</w:t>
            </w:r>
            <w:r w:rsidRPr="00DF3006">
              <w:rPr>
                <w:rFonts w:ascii="Arial" w:eastAsia="Arial" w:hAnsi="Arial" w:cs="Arial"/>
                <w:color w:val="414042" w:themeColor="text1"/>
                <w:sz w:val="22"/>
                <w:lang w:val="en-US"/>
              </w:rPr>
              <w:tab/>
            </w:r>
            <w:r w:rsidRPr="00DF3006">
              <w:rPr>
                <w:rFonts w:ascii="Arial" w:eastAsia="Arial" w:hAnsi="Arial" w:cs="Arial"/>
                <w:color w:val="414042" w:themeColor="text1"/>
                <w:spacing w:val="-2"/>
                <w:sz w:val="22"/>
                <w:lang w:val="en-US"/>
              </w:rPr>
              <w:t>Queensland</w:t>
            </w:r>
            <w:r w:rsidRPr="00DF3006">
              <w:rPr>
                <w:rFonts w:ascii="Arial" w:eastAsia="Arial" w:hAnsi="Arial" w:cs="Arial"/>
                <w:color w:val="414042" w:themeColor="text1"/>
                <w:spacing w:val="-9"/>
                <w:sz w:val="22"/>
                <w:lang w:val="en-US"/>
              </w:rPr>
              <w:t xml:space="preserve"> </w:t>
            </w:r>
            <w:r w:rsidRPr="00DF3006">
              <w:rPr>
                <w:rFonts w:ascii="Arial" w:eastAsia="Arial" w:hAnsi="Arial" w:cs="Arial"/>
                <w:color w:val="414042" w:themeColor="text1"/>
                <w:spacing w:val="-2"/>
                <w:sz w:val="22"/>
                <w:lang w:val="en-US"/>
              </w:rPr>
              <w:t>Audit</w:t>
            </w:r>
            <w:r w:rsidRPr="00DF3006">
              <w:rPr>
                <w:rFonts w:ascii="Arial" w:eastAsia="Arial" w:hAnsi="Arial" w:cs="Arial"/>
                <w:color w:val="414042" w:themeColor="text1"/>
                <w:spacing w:val="-7"/>
                <w:sz w:val="22"/>
                <w:lang w:val="en-US"/>
              </w:rPr>
              <w:t xml:space="preserve"> </w:t>
            </w:r>
            <w:r w:rsidRPr="00DF3006">
              <w:rPr>
                <w:rFonts w:ascii="Arial" w:eastAsia="Arial" w:hAnsi="Arial" w:cs="Arial"/>
                <w:color w:val="414042" w:themeColor="text1"/>
                <w:spacing w:val="-2"/>
                <w:sz w:val="22"/>
                <w:lang w:val="en-US"/>
              </w:rPr>
              <w:t>Office</w:t>
            </w:r>
          </w:p>
          <w:p w14:paraId="5CF4F561" w14:textId="77777777" w:rsidR="003F0C86" w:rsidRPr="00DF3006" w:rsidRDefault="003F0C86" w:rsidP="003F0C86">
            <w:pPr>
              <w:widowControl w:val="0"/>
              <w:tabs>
                <w:tab w:val="left" w:pos="8373"/>
              </w:tabs>
              <w:autoSpaceDE w:val="0"/>
              <w:autoSpaceDN w:val="0"/>
              <w:spacing w:after="0" w:line="252" w:lineRule="exact"/>
              <w:ind w:left="226"/>
              <w:rPr>
                <w:rFonts w:ascii="Arial" w:eastAsia="Arial" w:hAnsi="Arial" w:cs="Arial"/>
                <w:color w:val="414042" w:themeColor="text1"/>
                <w:sz w:val="22"/>
                <w:lang w:val="en-US"/>
              </w:rPr>
            </w:pPr>
            <w:r w:rsidRPr="00DF3006">
              <w:rPr>
                <w:rFonts w:ascii="Arial" w:eastAsia="Arial" w:hAnsi="Arial" w:cs="Arial"/>
                <w:color w:val="414042" w:themeColor="text1"/>
                <w:spacing w:val="-2"/>
                <w:sz w:val="22"/>
                <w:lang w:val="en-US"/>
              </w:rPr>
              <w:t>as</w:t>
            </w:r>
            <w:r w:rsidRPr="00DF3006">
              <w:rPr>
                <w:rFonts w:ascii="Arial" w:eastAsia="Arial" w:hAnsi="Arial" w:cs="Arial"/>
                <w:color w:val="414042" w:themeColor="text1"/>
                <w:spacing w:val="-6"/>
                <w:sz w:val="22"/>
                <w:lang w:val="en-US"/>
              </w:rPr>
              <w:t xml:space="preserve"> </w:t>
            </w:r>
            <w:r w:rsidRPr="00DF3006">
              <w:rPr>
                <w:rFonts w:ascii="Arial" w:eastAsia="Arial" w:hAnsi="Arial" w:cs="Arial"/>
                <w:color w:val="414042" w:themeColor="text1"/>
                <w:spacing w:val="-2"/>
                <w:sz w:val="22"/>
                <w:lang w:val="en-US"/>
              </w:rPr>
              <w:t>delegate</w:t>
            </w:r>
            <w:r w:rsidRPr="00DF3006">
              <w:rPr>
                <w:rFonts w:ascii="Arial" w:eastAsia="Arial" w:hAnsi="Arial" w:cs="Arial"/>
                <w:color w:val="414042" w:themeColor="text1"/>
                <w:spacing w:val="-7"/>
                <w:sz w:val="22"/>
                <w:lang w:val="en-US"/>
              </w:rPr>
              <w:t xml:space="preserve"> </w:t>
            </w:r>
            <w:r w:rsidRPr="00DF3006">
              <w:rPr>
                <w:rFonts w:ascii="Arial" w:eastAsia="Arial" w:hAnsi="Arial" w:cs="Arial"/>
                <w:color w:val="414042" w:themeColor="text1"/>
                <w:spacing w:val="-2"/>
                <w:sz w:val="22"/>
                <w:lang w:val="en-US"/>
              </w:rPr>
              <w:t>of</w:t>
            </w:r>
            <w:r w:rsidRPr="00DF3006">
              <w:rPr>
                <w:rFonts w:ascii="Arial" w:eastAsia="Arial" w:hAnsi="Arial" w:cs="Arial"/>
                <w:color w:val="414042" w:themeColor="text1"/>
                <w:spacing w:val="-6"/>
                <w:sz w:val="22"/>
                <w:lang w:val="en-US"/>
              </w:rPr>
              <w:t xml:space="preserve"> </w:t>
            </w:r>
            <w:r w:rsidRPr="00DF3006">
              <w:rPr>
                <w:rFonts w:ascii="Arial" w:eastAsia="Arial" w:hAnsi="Arial" w:cs="Arial"/>
                <w:color w:val="414042" w:themeColor="text1"/>
                <w:spacing w:val="-2"/>
                <w:sz w:val="22"/>
                <w:lang w:val="en-US"/>
              </w:rPr>
              <w:t>the</w:t>
            </w:r>
            <w:r w:rsidRPr="00DF3006">
              <w:rPr>
                <w:rFonts w:ascii="Arial" w:eastAsia="Arial" w:hAnsi="Arial" w:cs="Arial"/>
                <w:color w:val="414042" w:themeColor="text1"/>
                <w:spacing w:val="-7"/>
                <w:sz w:val="22"/>
                <w:lang w:val="en-US"/>
              </w:rPr>
              <w:t xml:space="preserve"> </w:t>
            </w:r>
            <w:r w:rsidRPr="00DF3006">
              <w:rPr>
                <w:rFonts w:ascii="Arial" w:eastAsia="Arial" w:hAnsi="Arial" w:cs="Arial"/>
                <w:color w:val="414042" w:themeColor="text1"/>
                <w:spacing w:val="-2"/>
                <w:sz w:val="22"/>
                <w:lang w:val="en-US"/>
              </w:rPr>
              <w:t>Auditor-General</w:t>
            </w:r>
            <w:r w:rsidRPr="00DF3006">
              <w:rPr>
                <w:rFonts w:ascii="Arial" w:eastAsia="Arial" w:hAnsi="Arial" w:cs="Arial"/>
                <w:color w:val="414042" w:themeColor="text1"/>
                <w:spacing w:val="-2"/>
                <w:sz w:val="22"/>
                <w:lang w:val="en-US"/>
              </w:rPr>
              <w:tab/>
              <w:t>Brisbane</w:t>
            </w:r>
          </w:p>
          <w:p w14:paraId="65A6BE25" w14:textId="77777777" w:rsidR="003F0C86" w:rsidRDefault="003F0C86" w:rsidP="008E121E">
            <w:pPr>
              <w:keepNext/>
              <w:widowControl w:val="0"/>
              <w:spacing w:before="120" w:after="120"/>
              <w:ind w:right="-425"/>
              <w:outlineLvl w:val="2"/>
              <w:rPr>
                <w:rFonts w:ascii="Arial" w:eastAsia="Times New Roman" w:hAnsi="Arial" w:cs="Arial"/>
                <w:b/>
                <w:bCs/>
                <w:noProof/>
                <w:color w:val="414042" w:themeColor="text1"/>
                <w:sz w:val="22"/>
                <w:lang w:eastAsia="en-AU"/>
              </w:rPr>
            </w:pPr>
          </w:p>
        </w:tc>
      </w:tr>
    </w:tbl>
    <w:p w14:paraId="09AD9D66" w14:textId="77777777" w:rsidR="00A532DA" w:rsidRPr="00DF3006" w:rsidRDefault="00A532DA" w:rsidP="00860F16">
      <w:pPr>
        <w:tabs>
          <w:tab w:val="left" w:pos="462"/>
          <w:tab w:val="left" w:pos="1134"/>
          <w:tab w:val="left" w:pos="7132"/>
        </w:tabs>
        <w:spacing w:line="360" w:lineRule="auto"/>
        <w:rPr>
          <w:b/>
          <w:bCs/>
          <w:color w:val="414042" w:themeColor="text1"/>
          <w:szCs w:val="20"/>
        </w:rPr>
      </w:pPr>
    </w:p>
    <w:p w14:paraId="2E5772AC" w14:textId="67FDAB9D" w:rsidR="008E121E" w:rsidRPr="00DF3006" w:rsidRDefault="008E121E" w:rsidP="00860F16">
      <w:pPr>
        <w:tabs>
          <w:tab w:val="left" w:pos="462"/>
          <w:tab w:val="left" w:pos="1134"/>
          <w:tab w:val="left" w:pos="7132"/>
        </w:tabs>
        <w:spacing w:line="360" w:lineRule="auto"/>
        <w:rPr>
          <w:b/>
          <w:bCs/>
          <w:color w:val="414042" w:themeColor="text1"/>
          <w:szCs w:val="20"/>
        </w:rPr>
        <w:sectPr w:rsidR="008E121E" w:rsidRPr="00DF3006" w:rsidSect="00C77834">
          <w:headerReference w:type="even" r:id="rId349"/>
          <w:headerReference w:type="default" r:id="rId350"/>
          <w:headerReference w:type="first" r:id="rId351"/>
          <w:pgSz w:w="11906" w:h="16838"/>
          <w:pgMar w:top="2155" w:right="1134" w:bottom="964" w:left="1134" w:header="720" w:footer="283" w:gutter="0"/>
          <w:cols w:space="708"/>
          <w:docGrid w:linePitch="360"/>
        </w:sectPr>
      </w:pPr>
    </w:p>
    <w:p w14:paraId="6E1EA592" w14:textId="33C8750F" w:rsidR="00571F7A" w:rsidRPr="00DF3006" w:rsidRDefault="00387DE0" w:rsidP="00387DE0">
      <w:pPr>
        <w:pStyle w:val="Heading1"/>
      </w:pPr>
      <w:bookmarkStart w:id="1958" w:name="financialstatements"/>
      <w:bookmarkStart w:id="1959" w:name="appendicies"/>
      <w:bookmarkStart w:id="1960" w:name="_Appendices"/>
      <w:bookmarkStart w:id="1961" w:name="_Toc102038162"/>
      <w:bookmarkStart w:id="1962" w:name="_Toc102038523"/>
      <w:bookmarkStart w:id="1963" w:name="_Toc102038884"/>
      <w:bookmarkStart w:id="1964" w:name="_Toc102039236"/>
      <w:bookmarkStart w:id="1965" w:name="_Toc102039585"/>
      <w:bookmarkStart w:id="1966" w:name="_Toc102039947"/>
      <w:bookmarkStart w:id="1967" w:name="_Toc102040273"/>
      <w:bookmarkStart w:id="1968" w:name="_Toc102040601"/>
      <w:bookmarkStart w:id="1969" w:name="_Toc102040935"/>
      <w:bookmarkStart w:id="1970" w:name="_Toc102041263"/>
      <w:bookmarkStart w:id="1971" w:name="_Toc102041592"/>
      <w:bookmarkStart w:id="1972" w:name="_Toc102041924"/>
      <w:bookmarkStart w:id="1973" w:name="_Toc102042251"/>
      <w:bookmarkStart w:id="1974" w:name="_Toc102042581"/>
      <w:bookmarkStart w:id="1975" w:name="_Toc102045711"/>
      <w:bookmarkEnd w:id="1958"/>
      <w:bookmarkEnd w:id="1959"/>
      <w:bookmarkEnd w:id="1960"/>
      <w:r w:rsidRPr="00DF3006">
        <w:t>Appendices</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DF3006" w:rsidRPr="00DF3006" w14:paraId="3C3FA4C3" w14:textId="77777777" w:rsidTr="00434199">
        <w:trPr>
          <w:trHeight w:val="737"/>
        </w:trPr>
        <w:tc>
          <w:tcPr>
            <w:tcW w:w="4193" w:type="pct"/>
            <w:tcBorders>
              <w:bottom w:val="single" w:sz="12" w:space="0" w:color="FFFFFF" w:themeColor="background1"/>
            </w:tcBorders>
            <w:shd w:val="clear" w:color="auto" w:fill="auto"/>
            <w:vAlign w:val="center"/>
          </w:tcPr>
          <w:p w14:paraId="134D182A" w14:textId="038298A0" w:rsidR="005268F0" w:rsidRPr="00D2771D" w:rsidRDefault="00086D38" w:rsidP="009976FB">
            <w:pPr>
              <w:autoSpaceDE w:val="0"/>
              <w:autoSpaceDN w:val="0"/>
              <w:adjustRightInd w:val="0"/>
              <w:spacing w:before="20" w:after="20" w:line="288" w:lineRule="auto"/>
              <w:textAlignment w:val="center"/>
              <w:rPr>
                <w:color w:val="414042" w:themeColor="text1"/>
              </w:rPr>
            </w:pPr>
            <w:hyperlink w:anchor="_Appendix_A_" w:history="1">
              <w:r w:rsidR="005268F0" w:rsidRPr="00D2771D">
                <w:rPr>
                  <w:rStyle w:val="Hyperlink"/>
                  <w:rFonts w:cs="Calibri Light"/>
                  <w:szCs w:val="20"/>
                  <w:u w:val="none"/>
                </w:rPr>
                <w:t xml:space="preserve">Appendix A – </w:t>
              </w:r>
              <w:r w:rsidR="00CB70F4" w:rsidRPr="00D2771D">
                <w:rPr>
                  <w:rStyle w:val="Hyperlink"/>
                  <w:rFonts w:cs="Calibri Light"/>
                  <w:szCs w:val="20"/>
                  <w:u w:val="none"/>
                </w:rPr>
                <w:t>List of recommendations arising from external inquiries and reviews for which the CCC has direct responsibility</w:t>
              </w:r>
            </w:hyperlink>
          </w:p>
        </w:tc>
        <w:tc>
          <w:tcPr>
            <w:tcW w:w="807" w:type="pct"/>
            <w:tcBorders>
              <w:bottom w:val="single" w:sz="12" w:space="0" w:color="FFFFFF" w:themeColor="background1"/>
            </w:tcBorders>
            <w:shd w:val="clear" w:color="auto" w:fill="auto"/>
            <w:vAlign w:val="center"/>
          </w:tcPr>
          <w:p w14:paraId="0FA4B1A4" w14:textId="217D610A" w:rsidR="005268F0" w:rsidRPr="00DF3006" w:rsidRDefault="0087356A" w:rsidP="00EC0923">
            <w:pPr>
              <w:spacing w:before="20" w:after="20"/>
              <w:jc w:val="center"/>
              <w:rPr>
                <w:color w:val="414042" w:themeColor="text1"/>
              </w:rPr>
            </w:pPr>
            <w:r w:rsidRPr="00DF3006">
              <w:rPr>
                <w:color w:val="414042" w:themeColor="text1"/>
              </w:rPr>
              <w:t>121</w:t>
            </w:r>
          </w:p>
        </w:tc>
      </w:tr>
      <w:tr w:rsidR="00DF3006" w:rsidRPr="00DF3006" w14:paraId="78815E6A" w14:textId="77777777" w:rsidTr="00434199">
        <w:trPr>
          <w:trHeight w:val="737"/>
        </w:trPr>
        <w:tc>
          <w:tcPr>
            <w:tcW w:w="4193" w:type="pct"/>
            <w:tcBorders>
              <w:bottom w:val="single" w:sz="12" w:space="0" w:color="FFFFFF" w:themeColor="background1"/>
            </w:tcBorders>
            <w:shd w:val="clear" w:color="auto" w:fill="auto"/>
            <w:vAlign w:val="center"/>
          </w:tcPr>
          <w:p w14:paraId="1E232529" w14:textId="514C5CD0" w:rsidR="00387DE0" w:rsidRPr="00D2771D" w:rsidRDefault="00086D38" w:rsidP="009976FB">
            <w:pPr>
              <w:autoSpaceDE w:val="0"/>
              <w:autoSpaceDN w:val="0"/>
              <w:adjustRightInd w:val="0"/>
              <w:spacing w:before="20" w:after="20" w:line="288" w:lineRule="auto"/>
              <w:textAlignment w:val="center"/>
              <w:rPr>
                <w:rFonts w:cs="Calibri Light"/>
                <w:color w:val="414042" w:themeColor="text1"/>
                <w:szCs w:val="20"/>
              </w:rPr>
            </w:pPr>
            <w:hyperlink w:anchor="_Appendix_B_" w:history="1">
              <w:r w:rsidR="00387DE0" w:rsidRPr="00D2771D">
                <w:rPr>
                  <w:rStyle w:val="Hyperlink"/>
                  <w:rFonts w:cs="Calibri Light"/>
                  <w:szCs w:val="20"/>
                  <w:u w:val="none"/>
                </w:rPr>
                <w:t xml:space="preserve">Appendix </w:t>
              </w:r>
              <w:r w:rsidR="005268F0" w:rsidRPr="00D2771D">
                <w:rPr>
                  <w:rStyle w:val="Hyperlink"/>
                  <w:rFonts w:cs="Calibri Light"/>
                  <w:szCs w:val="20"/>
                  <w:u w:val="none"/>
                </w:rPr>
                <w:t>B</w:t>
              </w:r>
              <w:r w:rsidR="00387DE0" w:rsidRPr="00D2771D">
                <w:rPr>
                  <w:rStyle w:val="Hyperlink"/>
                  <w:rFonts w:cs="Calibri Light"/>
                  <w:szCs w:val="20"/>
                  <w:u w:val="none"/>
                </w:rPr>
                <w:t xml:space="preserve"> – Glossary of terms</w:t>
              </w:r>
            </w:hyperlink>
          </w:p>
        </w:tc>
        <w:tc>
          <w:tcPr>
            <w:tcW w:w="807" w:type="pct"/>
            <w:tcBorders>
              <w:bottom w:val="single" w:sz="12" w:space="0" w:color="FFFFFF" w:themeColor="background1"/>
            </w:tcBorders>
            <w:shd w:val="clear" w:color="auto" w:fill="auto"/>
            <w:vAlign w:val="center"/>
          </w:tcPr>
          <w:p w14:paraId="455567F1" w14:textId="15A77FDF" w:rsidR="00387DE0" w:rsidRPr="00DF3006" w:rsidRDefault="001B30D0" w:rsidP="005268F0">
            <w:pPr>
              <w:jc w:val="center"/>
              <w:rPr>
                <w:color w:val="414042" w:themeColor="text1"/>
              </w:rPr>
            </w:pPr>
            <w:r w:rsidRPr="00DF3006">
              <w:rPr>
                <w:color w:val="414042" w:themeColor="text1"/>
              </w:rPr>
              <w:t>1</w:t>
            </w:r>
            <w:r w:rsidR="0087356A" w:rsidRPr="00DF3006">
              <w:rPr>
                <w:color w:val="414042" w:themeColor="text1"/>
              </w:rPr>
              <w:t>25</w:t>
            </w:r>
          </w:p>
        </w:tc>
      </w:tr>
      <w:tr w:rsidR="00DF3006" w:rsidRPr="00DF3006" w14:paraId="5F348CAD" w14:textId="77777777" w:rsidTr="00434199">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16100EDB" w14:textId="10E68604" w:rsidR="00387DE0" w:rsidRPr="00D2771D" w:rsidRDefault="00086D38" w:rsidP="009976FB">
            <w:pPr>
              <w:spacing w:before="20" w:after="20"/>
              <w:rPr>
                <w:color w:val="414042" w:themeColor="text1"/>
              </w:rPr>
            </w:pPr>
            <w:hyperlink w:anchor="_Appendix_C_" w:history="1">
              <w:r w:rsidR="00387DE0" w:rsidRPr="00D2771D">
                <w:rPr>
                  <w:rStyle w:val="Hyperlink"/>
                  <w:u w:val="none"/>
                </w:rPr>
                <w:t xml:space="preserve">Appendix </w:t>
              </w:r>
              <w:r w:rsidR="005268F0" w:rsidRPr="00D2771D">
                <w:rPr>
                  <w:rStyle w:val="Hyperlink"/>
                  <w:u w:val="none"/>
                </w:rPr>
                <w:t>C</w:t>
              </w:r>
              <w:r w:rsidR="00387DE0" w:rsidRPr="00D2771D">
                <w:rPr>
                  <w:rStyle w:val="Hyperlink"/>
                  <w:u w:val="none"/>
                </w:rPr>
                <w:t xml:space="preserve"> – Compliance checklist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0116B543" w14:textId="0DCD0696" w:rsidR="00387DE0" w:rsidRPr="00DF3006" w:rsidRDefault="0087356A" w:rsidP="00EC0923">
            <w:pPr>
              <w:spacing w:before="20" w:after="20"/>
              <w:jc w:val="center"/>
              <w:rPr>
                <w:bCs/>
                <w:color w:val="414042" w:themeColor="text1"/>
              </w:rPr>
            </w:pPr>
            <w:r w:rsidRPr="00DF3006">
              <w:rPr>
                <w:bCs/>
                <w:color w:val="414042" w:themeColor="text1"/>
              </w:rPr>
              <w:t>126</w:t>
            </w:r>
          </w:p>
        </w:tc>
      </w:tr>
    </w:tbl>
    <w:p w14:paraId="068B42E1" w14:textId="77777777" w:rsidR="005268F0" w:rsidRPr="00DF3006" w:rsidRDefault="005268F0" w:rsidP="009F5E9C">
      <w:pPr>
        <w:rPr>
          <w:strike/>
          <w:color w:val="414042" w:themeColor="text1"/>
        </w:rPr>
        <w:sectPr w:rsidR="005268F0" w:rsidRPr="00DF3006" w:rsidSect="00C77834">
          <w:headerReference w:type="even" r:id="rId352"/>
          <w:headerReference w:type="default" r:id="rId353"/>
          <w:footerReference w:type="even" r:id="rId354"/>
          <w:footerReference w:type="default" r:id="rId355"/>
          <w:headerReference w:type="first" r:id="rId356"/>
          <w:pgSz w:w="11906" w:h="16838" w:code="9"/>
          <w:pgMar w:top="2155" w:right="1134" w:bottom="964" w:left="1134" w:header="720" w:footer="284" w:gutter="0"/>
          <w:cols w:space="567"/>
          <w:noEndnote/>
          <w:docGrid w:linePitch="272"/>
        </w:sectPr>
      </w:pPr>
    </w:p>
    <w:p w14:paraId="11EFE91E" w14:textId="32F39CD0" w:rsidR="005268F0" w:rsidRPr="00DF3006" w:rsidRDefault="005268F0" w:rsidP="005268F0">
      <w:pPr>
        <w:pStyle w:val="Heading2"/>
        <w:rPr>
          <w:rFonts w:asciiTheme="minorHAnsi" w:hAnsiTheme="minorHAnsi" w:cstheme="minorHAnsi"/>
        </w:rPr>
      </w:pPr>
      <w:bookmarkStart w:id="1976" w:name="_Appendix_A_"/>
      <w:bookmarkEnd w:id="1976"/>
      <w:r w:rsidRPr="00DF3006">
        <w:rPr>
          <w:rFonts w:asciiTheme="minorHAnsi" w:hAnsiTheme="minorHAnsi" w:cstheme="minorHAnsi"/>
          <w:b/>
          <w:bCs/>
        </w:rPr>
        <w:t xml:space="preserve">Appendix </w:t>
      </w:r>
      <w:proofErr w:type="gramStart"/>
      <w:r w:rsidRPr="00DF3006">
        <w:rPr>
          <w:rFonts w:asciiTheme="minorHAnsi" w:hAnsiTheme="minorHAnsi" w:cstheme="minorHAnsi"/>
          <w:b/>
          <w:bCs/>
        </w:rPr>
        <w:t xml:space="preserve">A  </w:t>
      </w:r>
      <w:r w:rsidRPr="00DF3006">
        <w:rPr>
          <w:rFonts w:asciiTheme="minorHAnsi" w:hAnsiTheme="minorHAnsi" w:cstheme="minorHAnsi"/>
        </w:rPr>
        <w:t>|</w:t>
      </w:r>
      <w:proofErr w:type="gramEnd"/>
      <w:r w:rsidRPr="00DF3006">
        <w:rPr>
          <w:rFonts w:asciiTheme="minorHAnsi" w:hAnsiTheme="minorHAnsi" w:cstheme="minorHAnsi"/>
          <w:b/>
          <w:bCs/>
        </w:rPr>
        <w:t xml:space="preserve">  </w:t>
      </w:r>
      <w:r w:rsidR="00F2595B" w:rsidRPr="00DF3006">
        <w:rPr>
          <w:rFonts w:asciiTheme="minorHAnsi" w:hAnsiTheme="minorHAnsi" w:cstheme="minorHAnsi"/>
        </w:rPr>
        <w:t>List of r</w:t>
      </w:r>
      <w:r w:rsidRPr="00DF3006">
        <w:rPr>
          <w:rFonts w:asciiTheme="minorHAnsi" w:hAnsiTheme="minorHAnsi" w:cstheme="minorHAnsi"/>
        </w:rPr>
        <w:t xml:space="preserve">ecommendations </w:t>
      </w:r>
      <w:r w:rsidR="00F2595B" w:rsidRPr="00DF3006">
        <w:rPr>
          <w:rFonts w:asciiTheme="minorHAnsi" w:hAnsiTheme="minorHAnsi" w:cstheme="minorHAnsi"/>
        </w:rPr>
        <w:t>arising from external inquiries and reviews for which the CCC has direct responsibility</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F3006" w:rsidRPr="00DF3006" w14:paraId="3E6F9285" w14:textId="77777777" w:rsidTr="00BF5C92">
        <w:trPr>
          <w:trHeight w:val="20"/>
        </w:trPr>
        <w:tc>
          <w:tcPr>
            <w:tcW w:w="5000" w:type="pct"/>
            <w:shd w:val="clear" w:color="auto" w:fill="auto"/>
          </w:tcPr>
          <w:p w14:paraId="29BFCEDC" w14:textId="77777777" w:rsidR="005268F0" w:rsidRPr="00DF3006" w:rsidRDefault="005268F0" w:rsidP="00E6066A">
            <w:pPr>
              <w:pStyle w:val="Heading3"/>
            </w:pPr>
            <w:bookmarkStart w:id="1977" w:name="_Toc102038163"/>
            <w:bookmarkStart w:id="1978" w:name="_Toc102038524"/>
            <w:bookmarkStart w:id="1979" w:name="_Toc102038885"/>
            <w:bookmarkStart w:id="1980" w:name="_Toc102039237"/>
            <w:bookmarkStart w:id="1981" w:name="_Toc102039586"/>
            <w:bookmarkStart w:id="1982" w:name="_Toc102039948"/>
            <w:bookmarkStart w:id="1983" w:name="_Toc102040274"/>
            <w:bookmarkStart w:id="1984" w:name="_Toc102040602"/>
            <w:bookmarkStart w:id="1985" w:name="_Toc102040936"/>
            <w:bookmarkStart w:id="1986" w:name="_Toc102041264"/>
            <w:bookmarkStart w:id="1987" w:name="_Toc102041593"/>
            <w:bookmarkStart w:id="1988" w:name="_Toc102041925"/>
            <w:bookmarkStart w:id="1989" w:name="_Toc102042252"/>
            <w:bookmarkStart w:id="1990" w:name="_Toc102042582"/>
            <w:bookmarkStart w:id="1991" w:name="_Toc102045712"/>
            <w:r w:rsidRPr="00DF3006">
              <w:t>Fitzgerald/Wilson Inquiry</w:t>
            </w:r>
          </w:p>
        </w:tc>
      </w:tr>
      <w:tr w:rsidR="00DF3006" w:rsidRPr="00DF3006" w14:paraId="24DCF804" w14:textId="77777777" w:rsidTr="00BF5C92">
        <w:trPr>
          <w:trHeight w:val="20"/>
        </w:trPr>
        <w:tc>
          <w:tcPr>
            <w:tcW w:w="5000" w:type="pct"/>
            <w:shd w:val="clear" w:color="auto" w:fill="D9D9D9" w:themeFill="background1" w:themeFillShade="D9"/>
          </w:tcPr>
          <w:p w14:paraId="5954CA2D" w14:textId="77777777" w:rsidR="005268F0" w:rsidRPr="00DF3006" w:rsidRDefault="005268F0" w:rsidP="00463FBB">
            <w:pPr>
              <w:pStyle w:val="Heading4"/>
              <w:rPr>
                <w:rFonts w:asciiTheme="minorHAnsi" w:eastAsia="Times New Roman" w:hAnsiTheme="minorHAnsi" w:cstheme="minorHAnsi"/>
                <w:sz w:val="16"/>
                <w:szCs w:val="16"/>
                <w:lang w:eastAsia="en-AU"/>
              </w:rPr>
            </w:pPr>
            <w:r w:rsidRPr="00DF3006">
              <w:t>Completed – 10 recommendations</w:t>
            </w:r>
          </w:p>
        </w:tc>
      </w:tr>
      <w:tr w:rsidR="00DF3006" w:rsidRPr="00DF3006" w14:paraId="07E06DBC" w14:textId="77777777" w:rsidTr="00BF5C92">
        <w:trPr>
          <w:trHeight w:val="20"/>
        </w:trPr>
        <w:tc>
          <w:tcPr>
            <w:tcW w:w="5000" w:type="pct"/>
            <w:noWrap/>
            <w:hideMark/>
          </w:tcPr>
          <w:p w14:paraId="4C2378DC" w14:textId="77777777" w:rsidR="005268F0" w:rsidRPr="00DF3006" w:rsidRDefault="005268F0" w:rsidP="00836DA9">
            <w:pPr>
              <w:spacing w:before="240"/>
              <w:rPr>
                <w:color w:val="414042" w:themeColor="text1"/>
              </w:rPr>
            </w:pPr>
            <w:bookmarkStart w:id="1992" w:name="_Hlk140752346"/>
            <w:r w:rsidRPr="00DF3006">
              <w:rPr>
                <w:b/>
                <w:bCs/>
                <w:color w:val="414042" w:themeColor="text1"/>
              </w:rPr>
              <w:t>Recommendation 8:</w:t>
            </w:r>
            <w:r w:rsidRPr="00DF3006">
              <w:rPr>
                <w:color w:val="414042" w:themeColor="text1"/>
              </w:rPr>
              <w:t xml:space="preserve"> The Executive Director Corruption Operations be transitioned to a civilian position as soon as possible.</w:t>
            </w:r>
          </w:p>
        </w:tc>
      </w:tr>
      <w:tr w:rsidR="00DF3006" w:rsidRPr="00DF3006" w14:paraId="3F2D7A2F" w14:textId="77777777" w:rsidTr="00BF5C92">
        <w:trPr>
          <w:trHeight w:val="20"/>
        </w:trPr>
        <w:tc>
          <w:tcPr>
            <w:tcW w:w="5000" w:type="pct"/>
            <w:noWrap/>
            <w:hideMark/>
          </w:tcPr>
          <w:p w14:paraId="47DE88A8" w14:textId="77777777" w:rsidR="005268F0" w:rsidRPr="00DF3006" w:rsidRDefault="005268F0" w:rsidP="002910F8">
            <w:pPr>
              <w:rPr>
                <w:color w:val="414042" w:themeColor="text1"/>
              </w:rPr>
            </w:pPr>
            <w:r w:rsidRPr="00DF3006">
              <w:rPr>
                <w:b/>
                <w:bCs/>
                <w:color w:val="414042" w:themeColor="text1"/>
              </w:rPr>
              <w:t>Recommendation 12:</w:t>
            </w:r>
            <w:r w:rsidRPr="00DF3006">
              <w:rPr>
                <w:color w:val="414042" w:themeColor="text1"/>
              </w:rPr>
              <w:t xml:space="preserve"> A dedicated position — a Training and Development Officer — be created by the CCC to coordinate enhanced induction and ongoing training activities.</w:t>
            </w:r>
          </w:p>
        </w:tc>
      </w:tr>
      <w:tr w:rsidR="00DF3006" w:rsidRPr="00DF3006" w14:paraId="1A44B275" w14:textId="77777777" w:rsidTr="00BF5C92">
        <w:trPr>
          <w:trHeight w:val="20"/>
        </w:trPr>
        <w:tc>
          <w:tcPr>
            <w:tcW w:w="5000" w:type="pct"/>
            <w:noWrap/>
            <w:hideMark/>
          </w:tcPr>
          <w:p w14:paraId="4EB53F28" w14:textId="77777777" w:rsidR="005268F0" w:rsidRPr="00DF3006" w:rsidRDefault="005268F0" w:rsidP="002910F8">
            <w:pPr>
              <w:rPr>
                <w:color w:val="414042" w:themeColor="text1"/>
              </w:rPr>
            </w:pPr>
            <w:r w:rsidRPr="00DF3006">
              <w:rPr>
                <w:b/>
                <w:bCs/>
                <w:color w:val="414042" w:themeColor="text1"/>
              </w:rPr>
              <w:t>Recommendation 14:</w:t>
            </w:r>
            <w:r w:rsidRPr="00DF3006">
              <w:rPr>
                <w:color w:val="414042" w:themeColor="text1"/>
              </w:rPr>
              <w:t xml:space="preserve"> The Queensland Government adequately resource the CCC to implement the Training Strategy and Plan and to employ a Training and Development Officer on a permanent basis.</w:t>
            </w:r>
          </w:p>
        </w:tc>
      </w:tr>
      <w:tr w:rsidR="00DF3006" w:rsidRPr="00DF3006" w14:paraId="1846947A" w14:textId="77777777" w:rsidTr="00BF5C92">
        <w:trPr>
          <w:trHeight w:val="20"/>
        </w:trPr>
        <w:tc>
          <w:tcPr>
            <w:tcW w:w="5000" w:type="pct"/>
            <w:noWrap/>
            <w:hideMark/>
          </w:tcPr>
          <w:p w14:paraId="587EEC92" w14:textId="77777777" w:rsidR="005268F0" w:rsidRPr="00DF3006" w:rsidRDefault="005268F0" w:rsidP="002910F8">
            <w:pPr>
              <w:rPr>
                <w:color w:val="414042" w:themeColor="text1"/>
              </w:rPr>
            </w:pPr>
            <w:r w:rsidRPr="00DF3006">
              <w:rPr>
                <w:b/>
                <w:bCs/>
                <w:color w:val="414042" w:themeColor="text1"/>
              </w:rPr>
              <w:t>Recommendation 15:</w:t>
            </w:r>
            <w:r w:rsidRPr="00DF3006">
              <w:rPr>
                <w:color w:val="414042" w:themeColor="text1"/>
              </w:rPr>
              <w:t xml:space="preserve"> The current Corruption Strategy, Prevention and Legal unit of the Corruption Division be split into two separate units — Corruption Legal; and Corruption Strategy and Prevention — and each unit be led by an Executive Director.</w:t>
            </w:r>
          </w:p>
        </w:tc>
      </w:tr>
      <w:tr w:rsidR="00DF3006" w:rsidRPr="00DF3006" w14:paraId="28706359" w14:textId="77777777" w:rsidTr="00BF5C92">
        <w:trPr>
          <w:trHeight w:val="20"/>
        </w:trPr>
        <w:tc>
          <w:tcPr>
            <w:tcW w:w="5000" w:type="pct"/>
            <w:noWrap/>
            <w:hideMark/>
          </w:tcPr>
          <w:p w14:paraId="66BAD453" w14:textId="77777777" w:rsidR="005268F0" w:rsidRPr="00DF3006" w:rsidRDefault="005268F0" w:rsidP="002910F8">
            <w:pPr>
              <w:rPr>
                <w:color w:val="414042" w:themeColor="text1"/>
              </w:rPr>
            </w:pPr>
            <w:r w:rsidRPr="00DF3006">
              <w:rPr>
                <w:b/>
                <w:bCs/>
                <w:color w:val="414042" w:themeColor="text1"/>
              </w:rPr>
              <w:t>Recommendation 17:</w:t>
            </w:r>
            <w:r w:rsidRPr="00DF3006">
              <w:rPr>
                <w:color w:val="414042" w:themeColor="text1"/>
              </w:rPr>
              <w:t xml:space="preserve"> The Executive Director of the Corruption Strategy and Prevention unit have the appropriate skills and experience to deliver the functions of the new unit including proven experience or expertise in the public sector, particularly in public administration and integrity.</w:t>
            </w:r>
          </w:p>
        </w:tc>
      </w:tr>
      <w:tr w:rsidR="00DF3006" w:rsidRPr="00DF3006" w14:paraId="6A7C3224" w14:textId="77777777" w:rsidTr="00BF5C92">
        <w:trPr>
          <w:trHeight w:val="20"/>
        </w:trPr>
        <w:tc>
          <w:tcPr>
            <w:tcW w:w="5000" w:type="pct"/>
            <w:noWrap/>
          </w:tcPr>
          <w:p w14:paraId="7AA01616" w14:textId="77777777" w:rsidR="005268F0" w:rsidRPr="00DF3006" w:rsidRDefault="005268F0" w:rsidP="002910F8">
            <w:pPr>
              <w:rPr>
                <w:color w:val="414042" w:themeColor="text1"/>
              </w:rPr>
            </w:pPr>
            <w:r w:rsidRPr="00DF3006">
              <w:rPr>
                <w:b/>
                <w:bCs/>
                <w:color w:val="414042" w:themeColor="text1"/>
              </w:rPr>
              <w:t>Recommendation 18:</w:t>
            </w:r>
            <w:r w:rsidRPr="00DF3006">
              <w:rPr>
                <w:color w:val="414042" w:themeColor="text1"/>
              </w:rPr>
              <w:t xml:space="preserve"> The Queensland Government adequately resource the CCC to establish the new Corruption Strategy and Prevention unit.</w:t>
            </w:r>
          </w:p>
        </w:tc>
      </w:tr>
      <w:tr w:rsidR="00DF3006" w:rsidRPr="00DF3006" w14:paraId="433AB0F8" w14:textId="77777777" w:rsidTr="00BF5C92">
        <w:trPr>
          <w:trHeight w:val="20"/>
        </w:trPr>
        <w:tc>
          <w:tcPr>
            <w:tcW w:w="5000" w:type="pct"/>
            <w:noWrap/>
            <w:hideMark/>
          </w:tcPr>
          <w:p w14:paraId="399C7B80" w14:textId="77777777" w:rsidR="005268F0" w:rsidRPr="00DF3006" w:rsidRDefault="005268F0" w:rsidP="002910F8">
            <w:pPr>
              <w:rPr>
                <w:color w:val="414042" w:themeColor="text1"/>
              </w:rPr>
            </w:pPr>
            <w:r w:rsidRPr="00DF3006">
              <w:rPr>
                <w:b/>
                <w:bCs/>
                <w:color w:val="414042" w:themeColor="text1"/>
              </w:rPr>
              <w:t>Recommendation 19:</w:t>
            </w:r>
            <w:r w:rsidRPr="00DF3006">
              <w:rPr>
                <w:color w:val="414042" w:themeColor="text1"/>
              </w:rPr>
              <w:t xml:space="preserve"> The CCC establish an executive director‐level governance group within the Corruption Division to oversee corruption investigations. The governance group will report to the Executive Leadership Team, be chaired by the Senior Executive Officer (Corruption</w:t>
            </w:r>
            <w:proofErr w:type="gramStart"/>
            <w:r w:rsidRPr="00DF3006">
              <w:rPr>
                <w:color w:val="414042" w:themeColor="text1"/>
              </w:rPr>
              <w:t>)</w:t>
            </w:r>
            <w:proofErr w:type="gramEnd"/>
            <w:r w:rsidRPr="00DF3006">
              <w:rPr>
                <w:color w:val="414042" w:themeColor="text1"/>
              </w:rPr>
              <w:t xml:space="preserve"> and include (at a minimum) the executive directors of the four business units of the Corruption Division.</w:t>
            </w:r>
          </w:p>
        </w:tc>
      </w:tr>
      <w:tr w:rsidR="00DF3006" w:rsidRPr="00DF3006" w14:paraId="57D1927A" w14:textId="77777777" w:rsidTr="00BF5C92">
        <w:trPr>
          <w:trHeight w:val="20"/>
        </w:trPr>
        <w:tc>
          <w:tcPr>
            <w:tcW w:w="5000" w:type="pct"/>
            <w:noWrap/>
            <w:hideMark/>
          </w:tcPr>
          <w:p w14:paraId="3DA40145" w14:textId="77777777" w:rsidR="005268F0" w:rsidRPr="00DF3006" w:rsidRDefault="005268F0" w:rsidP="002910F8">
            <w:pPr>
              <w:rPr>
                <w:color w:val="414042" w:themeColor="text1"/>
              </w:rPr>
            </w:pPr>
            <w:r w:rsidRPr="00DF3006">
              <w:rPr>
                <w:b/>
                <w:bCs/>
                <w:color w:val="414042" w:themeColor="text1"/>
              </w:rPr>
              <w:t>Recommendation 20:</w:t>
            </w:r>
            <w:r w:rsidRPr="00DF3006">
              <w:rPr>
                <w:color w:val="414042" w:themeColor="text1"/>
              </w:rPr>
              <w:t xml:space="preserve"> The CCC enhance the role of the current director‐level governance group within the Corruption Division in overseeing corruption investigations and ensure it reports to the executive director‐level governance group.</w:t>
            </w:r>
          </w:p>
        </w:tc>
      </w:tr>
      <w:tr w:rsidR="00DF3006" w:rsidRPr="00DF3006" w14:paraId="2E007B5D" w14:textId="77777777" w:rsidTr="00BF5C92">
        <w:trPr>
          <w:trHeight w:val="20"/>
        </w:trPr>
        <w:tc>
          <w:tcPr>
            <w:tcW w:w="5000" w:type="pct"/>
            <w:noWrap/>
            <w:hideMark/>
          </w:tcPr>
          <w:p w14:paraId="1DED2711" w14:textId="77777777" w:rsidR="005268F0" w:rsidRPr="00DF3006" w:rsidRDefault="005268F0" w:rsidP="002910F8">
            <w:pPr>
              <w:rPr>
                <w:color w:val="414042" w:themeColor="text1"/>
              </w:rPr>
            </w:pPr>
            <w:r w:rsidRPr="00DF3006">
              <w:rPr>
                <w:b/>
                <w:bCs/>
                <w:color w:val="414042" w:themeColor="text1"/>
              </w:rPr>
              <w:t>Recommendation 22:</w:t>
            </w:r>
            <w:r w:rsidRPr="00DF3006">
              <w:rPr>
                <w:color w:val="414042" w:themeColor="text1"/>
              </w:rPr>
              <w:t xml:space="preserve"> A dedicated position — a Policy and Procedure Officer — be created by the CCC to centralise, coordinate, and implement the continued review and improvement of the CCC’s operational policies and procedures.</w:t>
            </w:r>
          </w:p>
        </w:tc>
      </w:tr>
      <w:tr w:rsidR="00DF3006" w:rsidRPr="00DF3006" w14:paraId="27D4D29D" w14:textId="77777777" w:rsidTr="00BF5C92">
        <w:trPr>
          <w:trHeight w:val="20"/>
        </w:trPr>
        <w:tc>
          <w:tcPr>
            <w:tcW w:w="5000" w:type="pct"/>
            <w:noWrap/>
            <w:hideMark/>
          </w:tcPr>
          <w:p w14:paraId="63895D80" w14:textId="5C15A312" w:rsidR="004367A5" w:rsidRPr="00DF3006" w:rsidRDefault="005268F0" w:rsidP="00836DA9">
            <w:pPr>
              <w:rPr>
                <w:color w:val="414042" w:themeColor="text1"/>
              </w:rPr>
            </w:pPr>
            <w:r w:rsidRPr="00DF3006">
              <w:rPr>
                <w:b/>
                <w:bCs/>
                <w:color w:val="414042" w:themeColor="text1"/>
              </w:rPr>
              <w:t>Recommendation 23:</w:t>
            </w:r>
            <w:r w:rsidRPr="00DF3006">
              <w:rPr>
                <w:color w:val="414042" w:themeColor="text1"/>
              </w:rPr>
              <w:t xml:space="preserve"> The Queensland Government adequately resource the CCC to employ a Policy and Procedure Officer on a permanent basis.</w:t>
            </w:r>
          </w:p>
        </w:tc>
      </w:tr>
    </w:tbl>
    <w:p w14:paraId="70F6CBC6" w14:textId="77777777" w:rsidR="00836DA9" w:rsidRPr="00DF3006" w:rsidRDefault="00836DA9">
      <w:pPr>
        <w:rPr>
          <w:color w:val="414042" w:themeColor="text1"/>
        </w:rPr>
      </w:pPr>
      <w:r w:rsidRPr="00DF3006">
        <w:rPr>
          <w:b/>
          <w:bCs/>
          <w:color w:val="414042" w:themeColor="text1"/>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F3006" w:rsidRPr="00DF3006" w14:paraId="70102D52" w14:textId="77777777" w:rsidTr="00463FBB">
        <w:trPr>
          <w:trHeight w:val="20"/>
        </w:trPr>
        <w:tc>
          <w:tcPr>
            <w:tcW w:w="5000" w:type="pct"/>
            <w:shd w:val="clear" w:color="auto" w:fill="D9D9D9" w:themeFill="background1" w:themeFillShade="D9"/>
            <w:vAlign w:val="center"/>
          </w:tcPr>
          <w:p w14:paraId="2AA0A615" w14:textId="7E2BCA24" w:rsidR="005268F0" w:rsidRPr="00DF3006" w:rsidRDefault="005268F0" w:rsidP="00463FBB">
            <w:pPr>
              <w:pStyle w:val="Heading4"/>
              <w:rPr>
                <w:rFonts w:asciiTheme="minorHAnsi" w:eastAsia="Times New Roman" w:hAnsiTheme="minorHAnsi" w:cstheme="minorHAnsi"/>
                <w:sz w:val="16"/>
                <w:szCs w:val="16"/>
                <w:lang w:eastAsia="en-AU"/>
              </w:rPr>
            </w:pPr>
            <w:r w:rsidRPr="00DF3006">
              <w:t>In progress – 15 recommendations</w:t>
            </w:r>
          </w:p>
        </w:tc>
      </w:tr>
      <w:tr w:rsidR="00DF3006" w:rsidRPr="00DF3006" w14:paraId="345B8513" w14:textId="77777777" w:rsidTr="00BF5C92">
        <w:trPr>
          <w:trHeight w:val="20"/>
        </w:trPr>
        <w:tc>
          <w:tcPr>
            <w:tcW w:w="5000" w:type="pct"/>
            <w:noWrap/>
            <w:hideMark/>
          </w:tcPr>
          <w:p w14:paraId="37A79DBF" w14:textId="77777777" w:rsidR="005268F0" w:rsidRPr="00DF3006" w:rsidRDefault="005268F0" w:rsidP="00836DA9">
            <w:pPr>
              <w:spacing w:before="240"/>
              <w:rPr>
                <w:color w:val="414042" w:themeColor="text1"/>
              </w:rPr>
            </w:pPr>
            <w:r w:rsidRPr="00DF3006">
              <w:rPr>
                <w:b/>
                <w:bCs/>
                <w:color w:val="414042" w:themeColor="text1"/>
              </w:rPr>
              <w:t>Recommendation 2:</w:t>
            </w:r>
            <w:r w:rsidRPr="00DF3006">
              <w:rPr>
                <w:color w:val="414042" w:themeColor="text1"/>
              </w:rPr>
              <w:t xml:space="preserve"> Police officers who are seconded to the CCC retain their police powers as per section 174 and 255 of the </w:t>
            </w:r>
            <w:r w:rsidRPr="00DF3006">
              <w:rPr>
                <w:i/>
                <w:iCs/>
                <w:color w:val="414042" w:themeColor="text1"/>
              </w:rPr>
              <w:t>Crime and Corruption Act 2001</w:t>
            </w:r>
            <w:r w:rsidRPr="00DF3006">
              <w:rPr>
                <w:color w:val="414042" w:themeColor="text1"/>
              </w:rPr>
              <w:t>.</w:t>
            </w:r>
          </w:p>
        </w:tc>
      </w:tr>
      <w:tr w:rsidR="00DF3006" w:rsidRPr="00DF3006" w14:paraId="2A8C5642" w14:textId="77777777" w:rsidTr="00BF5C92">
        <w:trPr>
          <w:trHeight w:val="20"/>
        </w:trPr>
        <w:tc>
          <w:tcPr>
            <w:tcW w:w="5000" w:type="pct"/>
            <w:noWrap/>
            <w:hideMark/>
          </w:tcPr>
          <w:p w14:paraId="360CF7D4" w14:textId="77777777" w:rsidR="005268F0" w:rsidRPr="00DF3006" w:rsidRDefault="005268F0" w:rsidP="002910F8">
            <w:pPr>
              <w:rPr>
                <w:color w:val="414042" w:themeColor="text1"/>
              </w:rPr>
            </w:pPr>
            <w:r w:rsidRPr="00DF3006">
              <w:rPr>
                <w:b/>
                <w:bCs/>
                <w:color w:val="414042" w:themeColor="text1"/>
              </w:rPr>
              <w:t>Recommendation 3:</w:t>
            </w:r>
            <w:r w:rsidRPr="00DF3006">
              <w:rPr>
                <w:color w:val="414042" w:themeColor="text1"/>
              </w:rPr>
              <w:t xml:space="preserve"> The current secondment arrangements between the QPS and the CCC be amended to provide the CCC with adequate and appropriate flexibility over the mix of job positions, skills, and experience within the ‘CCC Police Group’.</w:t>
            </w:r>
          </w:p>
        </w:tc>
      </w:tr>
      <w:tr w:rsidR="00DF3006" w:rsidRPr="00DF3006" w14:paraId="008EEE13" w14:textId="77777777" w:rsidTr="00BF5C92">
        <w:trPr>
          <w:trHeight w:val="20"/>
        </w:trPr>
        <w:tc>
          <w:tcPr>
            <w:tcW w:w="5000" w:type="pct"/>
            <w:noWrap/>
            <w:hideMark/>
          </w:tcPr>
          <w:p w14:paraId="64D5FE70" w14:textId="77777777" w:rsidR="005268F0" w:rsidRPr="00DF3006" w:rsidRDefault="005268F0" w:rsidP="002910F8">
            <w:pPr>
              <w:rPr>
                <w:color w:val="414042" w:themeColor="text1"/>
              </w:rPr>
            </w:pPr>
            <w:r w:rsidRPr="00DF3006">
              <w:rPr>
                <w:b/>
                <w:bCs/>
                <w:color w:val="414042" w:themeColor="text1"/>
              </w:rPr>
              <w:t>Recommendation 5:</w:t>
            </w:r>
            <w:r w:rsidRPr="00DF3006">
              <w:rPr>
                <w:color w:val="414042" w:themeColor="text1"/>
              </w:rPr>
              <w:t xml:space="preserve"> The Memorandum of Understanding between the CCC and the QPS be amended to reflect the need for the CCC to have adequate and appropriate flexibility over the mix of job positions, </w:t>
            </w:r>
            <w:proofErr w:type="gramStart"/>
            <w:r w:rsidRPr="00DF3006">
              <w:rPr>
                <w:color w:val="414042" w:themeColor="text1"/>
              </w:rPr>
              <w:t>skills</w:t>
            </w:r>
            <w:proofErr w:type="gramEnd"/>
            <w:r w:rsidRPr="00DF3006">
              <w:rPr>
                <w:color w:val="414042" w:themeColor="text1"/>
              </w:rPr>
              <w:t xml:space="preserve"> and experience within the CCC Police Group.</w:t>
            </w:r>
          </w:p>
        </w:tc>
      </w:tr>
      <w:tr w:rsidR="00DF3006" w:rsidRPr="00DF3006" w14:paraId="47C865C8" w14:textId="77777777" w:rsidTr="00BF5C92">
        <w:trPr>
          <w:trHeight w:val="20"/>
        </w:trPr>
        <w:tc>
          <w:tcPr>
            <w:tcW w:w="5000" w:type="pct"/>
            <w:noWrap/>
            <w:hideMark/>
          </w:tcPr>
          <w:p w14:paraId="06500B26" w14:textId="77777777" w:rsidR="005268F0" w:rsidRPr="00DF3006" w:rsidRDefault="005268F0" w:rsidP="002910F8">
            <w:pPr>
              <w:rPr>
                <w:color w:val="414042" w:themeColor="text1"/>
              </w:rPr>
            </w:pPr>
            <w:r w:rsidRPr="00DF3006">
              <w:rPr>
                <w:b/>
                <w:bCs/>
                <w:color w:val="414042" w:themeColor="text1"/>
              </w:rPr>
              <w:t>Recommendation 6:</w:t>
            </w:r>
            <w:r w:rsidRPr="00DF3006">
              <w:rPr>
                <w:color w:val="414042" w:themeColor="text1"/>
              </w:rPr>
              <w:t xml:space="preserve"> The adequacy of the CCC’s current organisational culture in safeguarding against the risk of institutional capture form part of the external review planned by the CCC in response to Recommendation 4 of Report No. 108 of the PCCC</w:t>
            </w:r>
          </w:p>
        </w:tc>
      </w:tr>
      <w:tr w:rsidR="00DF3006" w:rsidRPr="00DF3006" w14:paraId="7D25C565" w14:textId="77777777" w:rsidTr="00BF5C92">
        <w:trPr>
          <w:trHeight w:val="20"/>
        </w:trPr>
        <w:tc>
          <w:tcPr>
            <w:tcW w:w="5000" w:type="pct"/>
            <w:noWrap/>
            <w:hideMark/>
          </w:tcPr>
          <w:p w14:paraId="6DF578BC" w14:textId="77777777" w:rsidR="005268F0" w:rsidRPr="00DF3006" w:rsidRDefault="005268F0" w:rsidP="002910F8">
            <w:pPr>
              <w:rPr>
                <w:color w:val="414042" w:themeColor="text1"/>
              </w:rPr>
            </w:pPr>
            <w:r w:rsidRPr="00DF3006">
              <w:rPr>
                <w:b/>
                <w:bCs/>
                <w:color w:val="414042" w:themeColor="text1"/>
              </w:rPr>
              <w:t>Recommendation 7:</w:t>
            </w:r>
            <w:r w:rsidRPr="00DF3006">
              <w:rPr>
                <w:color w:val="414042" w:themeColor="text1"/>
              </w:rPr>
              <w:t xml:space="preserve"> The CCC transition to a predominantly civilianised model for its Corruption Division and only retain the number of seconded police officers required at and below director‐level to ensure there are effective and efficient corruption investigations.</w:t>
            </w:r>
          </w:p>
        </w:tc>
      </w:tr>
      <w:tr w:rsidR="00DF3006" w:rsidRPr="00DF3006" w14:paraId="415E2C02" w14:textId="77777777" w:rsidTr="00BF5C92">
        <w:trPr>
          <w:trHeight w:val="20"/>
        </w:trPr>
        <w:tc>
          <w:tcPr>
            <w:tcW w:w="5000" w:type="pct"/>
            <w:noWrap/>
            <w:hideMark/>
          </w:tcPr>
          <w:p w14:paraId="2D12B2B2" w14:textId="77777777" w:rsidR="005268F0" w:rsidRPr="00DF3006" w:rsidRDefault="005268F0" w:rsidP="002910F8">
            <w:pPr>
              <w:rPr>
                <w:color w:val="414042" w:themeColor="text1"/>
              </w:rPr>
            </w:pPr>
            <w:r w:rsidRPr="00DF3006">
              <w:rPr>
                <w:b/>
                <w:bCs/>
                <w:color w:val="414042" w:themeColor="text1"/>
              </w:rPr>
              <w:t>Recommendation 9:</w:t>
            </w:r>
            <w:r w:rsidRPr="00DF3006">
              <w:rPr>
                <w:color w:val="414042" w:themeColor="text1"/>
              </w:rPr>
              <w:t xml:space="preserve"> With a view to implementing recommendation 7 over the next five years, the CCC and the QPS jointly review each seconded police officer position within the Corruption Division at or before the conclusion of the secondment period for each of these positions.</w:t>
            </w:r>
          </w:p>
        </w:tc>
      </w:tr>
      <w:tr w:rsidR="00DF3006" w:rsidRPr="00DF3006" w14:paraId="0F560DB9" w14:textId="77777777" w:rsidTr="00BF5C92">
        <w:trPr>
          <w:trHeight w:val="20"/>
        </w:trPr>
        <w:tc>
          <w:tcPr>
            <w:tcW w:w="5000" w:type="pct"/>
            <w:noWrap/>
            <w:hideMark/>
          </w:tcPr>
          <w:p w14:paraId="54CB1E4B" w14:textId="77777777" w:rsidR="005268F0" w:rsidRPr="00DF3006" w:rsidRDefault="005268F0" w:rsidP="002910F8">
            <w:pPr>
              <w:rPr>
                <w:color w:val="414042" w:themeColor="text1"/>
              </w:rPr>
            </w:pPr>
            <w:r w:rsidRPr="00DF3006">
              <w:rPr>
                <w:b/>
                <w:bCs/>
                <w:color w:val="414042" w:themeColor="text1"/>
              </w:rPr>
              <w:t>Recommendation 11:</w:t>
            </w:r>
            <w:r w:rsidRPr="00DF3006">
              <w:rPr>
                <w:color w:val="414042" w:themeColor="text1"/>
              </w:rPr>
              <w:t xml:space="preserve"> The CCC ensure investigators assigned to corruption matters are adequately and appropriately inducted on commencement at the CCC and are provided with ongoing training to equip them to investigate corruption effectively.</w:t>
            </w:r>
          </w:p>
        </w:tc>
      </w:tr>
      <w:tr w:rsidR="00DF3006" w:rsidRPr="00DF3006" w14:paraId="3EAB54E0" w14:textId="77777777" w:rsidTr="00BF5C92">
        <w:trPr>
          <w:trHeight w:val="20"/>
        </w:trPr>
        <w:tc>
          <w:tcPr>
            <w:tcW w:w="5000" w:type="pct"/>
            <w:noWrap/>
            <w:hideMark/>
          </w:tcPr>
          <w:p w14:paraId="735929F3" w14:textId="77777777" w:rsidR="005268F0" w:rsidRPr="00DF3006" w:rsidRDefault="005268F0" w:rsidP="002910F8">
            <w:pPr>
              <w:rPr>
                <w:color w:val="414042" w:themeColor="text1"/>
              </w:rPr>
            </w:pPr>
            <w:r w:rsidRPr="00DF3006">
              <w:rPr>
                <w:b/>
                <w:bCs/>
                <w:color w:val="414042" w:themeColor="text1"/>
              </w:rPr>
              <w:t>Recommendation 13:</w:t>
            </w:r>
            <w:r w:rsidRPr="00DF3006">
              <w:rPr>
                <w:color w:val="414042" w:themeColor="text1"/>
              </w:rPr>
              <w:t xml:space="preserve"> The CCC devise and implement a Training Strategy and Plan to enhance the skills of all investigators assigned to corruption investigations which includes, where necessary, external training.</w:t>
            </w:r>
          </w:p>
        </w:tc>
      </w:tr>
      <w:tr w:rsidR="00DF3006" w:rsidRPr="00DF3006" w14:paraId="3B996B72" w14:textId="77777777" w:rsidTr="00BF5C92">
        <w:trPr>
          <w:trHeight w:val="20"/>
        </w:trPr>
        <w:tc>
          <w:tcPr>
            <w:tcW w:w="5000" w:type="pct"/>
            <w:noWrap/>
            <w:hideMark/>
          </w:tcPr>
          <w:p w14:paraId="4DE3EA1E" w14:textId="77777777" w:rsidR="005268F0" w:rsidRPr="00DF3006" w:rsidRDefault="005268F0" w:rsidP="002910F8">
            <w:pPr>
              <w:rPr>
                <w:color w:val="414042" w:themeColor="text1"/>
              </w:rPr>
            </w:pPr>
            <w:r w:rsidRPr="00DF3006">
              <w:rPr>
                <w:b/>
                <w:bCs/>
                <w:color w:val="414042" w:themeColor="text1"/>
              </w:rPr>
              <w:t>Recommendation 16:</w:t>
            </w:r>
            <w:r w:rsidRPr="00DF3006">
              <w:rPr>
                <w:color w:val="414042" w:themeColor="text1"/>
              </w:rPr>
              <w:t xml:space="preserve"> The new Corruption Strategy and Prevention unit is to ensure a corruption prevention and policy perspective informs all corruption investigations.</w:t>
            </w:r>
          </w:p>
        </w:tc>
      </w:tr>
      <w:tr w:rsidR="00DF3006" w:rsidRPr="00DF3006" w14:paraId="4C9391E3" w14:textId="77777777" w:rsidTr="00BF5C92">
        <w:trPr>
          <w:trHeight w:val="20"/>
        </w:trPr>
        <w:tc>
          <w:tcPr>
            <w:tcW w:w="5000" w:type="pct"/>
            <w:noWrap/>
            <w:hideMark/>
          </w:tcPr>
          <w:p w14:paraId="07BBD97F" w14:textId="77777777" w:rsidR="005268F0" w:rsidRPr="00DF3006" w:rsidRDefault="005268F0" w:rsidP="002910F8">
            <w:pPr>
              <w:rPr>
                <w:color w:val="414042" w:themeColor="text1"/>
              </w:rPr>
            </w:pPr>
            <w:r w:rsidRPr="00DF3006">
              <w:rPr>
                <w:b/>
                <w:bCs/>
                <w:color w:val="414042" w:themeColor="text1"/>
              </w:rPr>
              <w:t>Recommendation 21:</w:t>
            </w:r>
            <w:r w:rsidRPr="00DF3006">
              <w:rPr>
                <w:color w:val="414042" w:themeColor="text1"/>
              </w:rPr>
              <w:t xml:space="preserve"> The CCC continue to review and improve its operational policies and procedures to ensure they are clear, concise, consistent, and easy to understand.</w:t>
            </w:r>
          </w:p>
        </w:tc>
      </w:tr>
      <w:tr w:rsidR="00DF3006" w:rsidRPr="00DF3006" w14:paraId="30450949" w14:textId="77777777" w:rsidTr="00BF5C92">
        <w:trPr>
          <w:trHeight w:val="20"/>
        </w:trPr>
        <w:tc>
          <w:tcPr>
            <w:tcW w:w="5000" w:type="pct"/>
            <w:noWrap/>
            <w:hideMark/>
          </w:tcPr>
          <w:p w14:paraId="54508682" w14:textId="77777777" w:rsidR="005268F0" w:rsidRPr="00DF3006" w:rsidRDefault="005268F0" w:rsidP="002910F8">
            <w:pPr>
              <w:rPr>
                <w:color w:val="414042" w:themeColor="text1"/>
              </w:rPr>
            </w:pPr>
            <w:r w:rsidRPr="00DF3006">
              <w:rPr>
                <w:b/>
                <w:bCs/>
                <w:color w:val="414042" w:themeColor="text1"/>
              </w:rPr>
              <w:t>Recommendation 24:</w:t>
            </w:r>
            <w:r w:rsidRPr="00DF3006">
              <w:rPr>
                <w:color w:val="414042" w:themeColor="text1"/>
              </w:rPr>
              <w:t xml:space="preserve"> The CCC work with the Director of Public Prosecutions to develop a process for conducting post‐prosecution reviews.</w:t>
            </w:r>
          </w:p>
        </w:tc>
      </w:tr>
      <w:tr w:rsidR="00DF3006" w:rsidRPr="00DF3006" w14:paraId="0ECAD726" w14:textId="77777777" w:rsidTr="00BF5C92">
        <w:trPr>
          <w:trHeight w:val="20"/>
        </w:trPr>
        <w:tc>
          <w:tcPr>
            <w:tcW w:w="5000" w:type="pct"/>
            <w:noWrap/>
            <w:hideMark/>
          </w:tcPr>
          <w:p w14:paraId="63820A1D" w14:textId="77777777" w:rsidR="005268F0" w:rsidRPr="00DF3006" w:rsidRDefault="005268F0" w:rsidP="002910F8">
            <w:pPr>
              <w:rPr>
                <w:color w:val="414042" w:themeColor="text1"/>
              </w:rPr>
            </w:pPr>
            <w:r w:rsidRPr="00DF3006">
              <w:rPr>
                <w:b/>
                <w:bCs/>
                <w:color w:val="414042" w:themeColor="text1"/>
              </w:rPr>
              <w:t>Recommendation 25:</w:t>
            </w:r>
            <w:r w:rsidRPr="00DF3006">
              <w:rPr>
                <w:color w:val="414042" w:themeColor="text1"/>
              </w:rPr>
              <w:t xml:space="preserve"> The </w:t>
            </w:r>
            <w:r w:rsidRPr="00DF3006">
              <w:rPr>
                <w:i/>
                <w:iCs/>
                <w:color w:val="414042" w:themeColor="text1"/>
              </w:rPr>
              <w:t>Crime and Corruption Act 2001</w:t>
            </w:r>
            <w:r w:rsidRPr="00DF3006">
              <w:rPr>
                <w:color w:val="414042" w:themeColor="text1"/>
              </w:rPr>
              <w:t xml:space="preserve"> be amended as necessary to give effect to the following changes: a. Other than in exceptional circumstances, before a charge is laid by a seconded police officer during, or following, a corruption investigation, the CCC must seek the opinion of the Director of Public Prosecutions concerning whether a charge may properly be brought having regard to the two‐tier test in the Director’s Guidelines. b. Notwithstanding any other law or any other provision of the Crime and Corruption Act 2001, if the Director of Public Prosecutions advises that a charge should not be brought, the seconded police officer must not charge contrary to that advice. c. If the Director of Public Prosecutions advises a charge may properly be brought and a decision is made by the seconded police officer not to charge, the CCC must report to the PCCC and the Parliamentary Commissioner about the decision made. d. If, because of exceptional circumstances, charges are laid without the Director of Public Prosecutions having first provided its opinion on whether charges may properly be brought, the CCC must, as soon as reasonably practicable, report to the Director of Public Prosecutions in relation to the charge laid and obtain the Director of Public Prosecutions’ opinion about the soundness of the decision to charge.</w:t>
            </w:r>
          </w:p>
        </w:tc>
      </w:tr>
      <w:tr w:rsidR="00DF3006" w:rsidRPr="00DF3006" w14:paraId="75AD7A33" w14:textId="77777777" w:rsidTr="00BF5C92">
        <w:trPr>
          <w:trHeight w:val="20"/>
        </w:trPr>
        <w:tc>
          <w:tcPr>
            <w:tcW w:w="5000" w:type="pct"/>
            <w:noWrap/>
            <w:hideMark/>
          </w:tcPr>
          <w:p w14:paraId="16AC93C4" w14:textId="77777777" w:rsidR="005268F0" w:rsidRPr="00DF3006" w:rsidRDefault="005268F0" w:rsidP="002910F8">
            <w:pPr>
              <w:rPr>
                <w:color w:val="414042" w:themeColor="text1"/>
              </w:rPr>
            </w:pPr>
            <w:r w:rsidRPr="00DF3006">
              <w:rPr>
                <w:b/>
                <w:bCs/>
                <w:color w:val="414042" w:themeColor="text1"/>
              </w:rPr>
              <w:t>Recommendation 26:</w:t>
            </w:r>
            <w:r w:rsidRPr="00DF3006">
              <w:rPr>
                <w:color w:val="414042" w:themeColor="text1"/>
              </w:rPr>
              <w:t xml:space="preserve"> The CCC and the Director of Public Prosecutions develop a Memorandum of Understanding outlining the practices and procedures for the referral of matters and the provision of advice, including timeframe.</w:t>
            </w:r>
          </w:p>
        </w:tc>
      </w:tr>
      <w:tr w:rsidR="00DF3006" w:rsidRPr="00DF3006" w14:paraId="009D71CE" w14:textId="77777777" w:rsidTr="00BF5C92">
        <w:trPr>
          <w:trHeight w:val="20"/>
        </w:trPr>
        <w:tc>
          <w:tcPr>
            <w:tcW w:w="5000" w:type="pct"/>
            <w:noWrap/>
            <w:hideMark/>
          </w:tcPr>
          <w:p w14:paraId="1B35F8FB" w14:textId="77777777" w:rsidR="005268F0" w:rsidRPr="00DF3006" w:rsidRDefault="005268F0" w:rsidP="002910F8">
            <w:pPr>
              <w:rPr>
                <w:color w:val="414042" w:themeColor="text1"/>
              </w:rPr>
            </w:pPr>
            <w:r w:rsidRPr="00DF3006">
              <w:rPr>
                <w:b/>
                <w:bCs/>
                <w:color w:val="414042" w:themeColor="text1"/>
              </w:rPr>
              <w:t>Recommendation 31:</w:t>
            </w:r>
            <w:r w:rsidRPr="00DF3006">
              <w:rPr>
                <w:color w:val="414042" w:themeColor="text1"/>
              </w:rPr>
              <w:t xml:space="preserve"> The CCC must report regularly and progressively to the Minister about the implementation and delivery of the recommendations.</w:t>
            </w:r>
          </w:p>
        </w:tc>
      </w:tr>
      <w:tr w:rsidR="00DF3006" w:rsidRPr="00DF3006" w14:paraId="7855F539" w14:textId="77777777" w:rsidTr="00BF5C92">
        <w:trPr>
          <w:trHeight w:val="20"/>
        </w:trPr>
        <w:tc>
          <w:tcPr>
            <w:tcW w:w="5000" w:type="pct"/>
            <w:noWrap/>
            <w:hideMark/>
          </w:tcPr>
          <w:p w14:paraId="33239D4A" w14:textId="77777777" w:rsidR="005268F0" w:rsidRPr="00DF3006" w:rsidRDefault="005268F0" w:rsidP="002910F8">
            <w:pPr>
              <w:rPr>
                <w:color w:val="414042" w:themeColor="text1"/>
              </w:rPr>
            </w:pPr>
            <w:r w:rsidRPr="00DF3006">
              <w:rPr>
                <w:b/>
                <w:bCs/>
                <w:color w:val="414042" w:themeColor="text1"/>
              </w:rPr>
              <w:t>Recommendation 32:</w:t>
            </w:r>
            <w:r w:rsidRPr="00DF3006">
              <w:rPr>
                <w:color w:val="414042" w:themeColor="text1"/>
              </w:rPr>
              <w:t xml:space="preserve"> The CCC must report regularly and progressively to the PCCC and the Parliamentary Commissioner about the implementation and delivery of the recommendations.</w:t>
            </w:r>
          </w:p>
        </w:tc>
      </w:tr>
      <w:bookmarkEnd w:id="1992"/>
      <w:tr w:rsidR="00DF3006" w:rsidRPr="00DF3006" w14:paraId="61F29EDF" w14:textId="77777777" w:rsidTr="00463FBB">
        <w:trPr>
          <w:trHeight w:val="20"/>
        </w:trPr>
        <w:tc>
          <w:tcPr>
            <w:tcW w:w="5000" w:type="pct"/>
            <w:shd w:val="clear" w:color="auto" w:fill="D9D9D9" w:themeFill="background1" w:themeFillShade="D9"/>
            <w:vAlign w:val="center"/>
          </w:tcPr>
          <w:p w14:paraId="14AD9325" w14:textId="46F45F25" w:rsidR="005268F0" w:rsidRPr="00DF3006" w:rsidRDefault="00836DA9" w:rsidP="00463FBB">
            <w:pPr>
              <w:pStyle w:val="Heading4"/>
            </w:pPr>
            <w:r w:rsidRPr="00DF3006">
              <w:rPr>
                <w:rFonts w:ascii="Calibri Light" w:hAnsi="Calibri Light" w:cstheme="minorBidi"/>
                <w:szCs w:val="22"/>
              </w:rPr>
              <w:br w:type="page"/>
            </w:r>
            <w:r w:rsidR="005268F0" w:rsidRPr="00DF3006">
              <w:t>Noted but not yet commenced – 4 recommendations</w:t>
            </w:r>
          </w:p>
        </w:tc>
      </w:tr>
      <w:tr w:rsidR="00DF3006" w:rsidRPr="00DF3006" w14:paraId="45516FAA" w14:textId="77777777" w:rsidTr="00BF5C92">
        <w:trPr>
          <w:trHeight w:val="20"/>
        </w:trPr>
        <w:tc>
          <w:tcPr>
            <w:tcW w:w="5000" w:type="pct"/>
            <w:noWrap/>
            <w:hideMark/>
          </w:tcPr>
          <w:p w14:paraId="33C5C633" w14:textId="77777777" w:rsidR="005268F0" w:rsidRPr="00DF3006" w:rsidRDefault="005268F0" w:rsidP="00836DA9">
            <w:pPr>
              <w:spacing w:before="240"/>
              <w:rPr>
                <w:color w:val="414042" w:themeColor="text1"/>
              </w:rPr>
            </w:pPr>
            <w:r w:rsidRPr="00DF3006">
              <w:rPr>
                <w:b/>
                <w:bCs/>
                <w:color w:val="414042" w:themeColor="text1"/>
              </w:rPr>
              <w:t>Recommendation 4:</w:t>
            </w:r>
            <w:r w:rsidRPr="00DF3006">
              <w:rPr>
                <w:color w:val="414042" w:themeColor="text1"/>
              </w:rPr>
              <w:t xml:space="preserve"> The CCC and the QPS jointly review the mix of job positions, </w:t>
            </w:r>
            <w:proofErr w:type="gramStart"/>
            <w:r w:rsidRPr="00DF3006">
              <w:rPr>
                <w:color w:val="414042" w:themeColor="text1"/>
              </w:rPr>
              <w:t>skills</w:t>
            </w:r>
            <w:proofErr w:type="gramEnd"/>
            <w:r w:rsidRPr="00DF3006">
              <w:rPr>
                <w:color w:val="414042" w:themeColor="text1"/>
              </w:rPr>
              <w:t xml:space="preserve"> and experience within the CCC Police Group at least once every two years with a view to ensuring the composition of the CCC Police Group reflects the CCC’s operational needs and priorities.</w:t>
            </w:r>
          </w:p>
        </w:tc>
      </w:tr>
      <w:tr w:rsidR="00DF3006" w:rsidRPr="00DF3006" w14:paraId="04003BDF" w14:textId="77777777" w:rsidTr="00BF5C92">
        <w:trPr>
          <w:trHeight w:val="20"/>
        </w:trPr>
        <w:tc>
          <w:tcPr>
            <w:tcW w:w="5000" w:type="pct"/>
            <w:noWrap/>
            <w:hideMark/>
          </w:tcPr>
          <w:p w14:paraId="60359E21" w14:textId="77777777" w:rsidR="005268F0" w:rsidRPr="00DF3006" w:rsidRDefault="005268F0" w:rsidP="002910F8">
            <w:pPr>
              <w:rPr>
                <w:color w:val="414042" w:themeColor="text1"/>
              </w:rPr>
            </w:pPr>
            <w:r w:rsidRPr="00DF3006">
              <w:rPr>
                <w:b/>
                <w:bCs/>
                <w:color w:val="414042" w:themeColor="text1"/>
              </w:rPr>
              <w:t>Recommendation 10:</w:t>
            </w:r>
            <w:r w:rsidRPr="00DF3006">
              <w:rPr>
                <w:color w:val="414042" w:themeColor="text1"/>
              </w:rPr>
              <w:t xml:space="preserve"> The joint review process be documented in the existing Memorandum of Understanding between the CCC and the QPS and include principles to guide the review process, including: a. the need for the CCC to increase its civilian investigator capability, and b. the benefits of retaining a proportion of seconded police officers in the division for the purpose of exercising policing powers and contributing to investigations where criminal investigation expertise is required.</w:t>
            </w:r>
          </w:p>
        </w:tc>
      </w:tr>
      <w:tr w:rsidR="00DF3006" w:rsidRPr="00DF3006" w14:paraId="28CC9DAD" w14:textId="77777777" w:rsidTr="00BF5C92">
        <w:trPr>
          <w:trHeight w:val="20"/>
        </w:trPr>
        <w:tc>
          <w:tcPr>
            <w:tcW w:w="5000" w:type="pct"/>
            <w:noWrap/>
            <w:hideMark/>
          </w:tcPr>
          <w:p w14:paraId="1805925C" w14:textId="77777777" w:rsidR="005268F0" w:rsidRPr="00DF3006" w:rsidRDefault="005268F0" w:rsidP="002910F8">
            <w:pPr>
              <w:rPr>
                <w:color w:val="414042" w:themeColor="text1"/>
              </w:rPr>
            </w:pPr>
            <w:r w:rsidRPr="00DF3006">
              <w:rPr>
                <w:b/>
                <w:bCs/>
                <w:color w:val="414042" w:themeColor="text1"/>
              </w:rPr>
              <w:t>Recommendation 27:</w:t>
            </w:r>
            <w:r w:rsidRPr="00DF3006">
              <w:rPr>
                <w:color w:val="414042" w:themeColor="text1"/>
              </w:rPr>
              <w:t xml:space="preserve"> The CCC report to the Minister regarding the arrangement for the provision of advice by the Director of Public Prosecutions to the CCC, and about the effectiveness and utility of the Memorandum of Understanding, including timeframes and timeliness of the advice provided by the Director of Public Prosecutions.</w:t>
            </w:r>
          </w:p>
        </w:tc>
      </w:tr>
      <w:tr w:rsidR="00DF3006" w:rsidRPr="00DF3006" w14:paraId="753A0438" w14:textId="77777777" w:rsidTr="00BF5C92">
        <w:trPr>
          <w:trHeight w:val="20"/>
        </w:trPr>
        <w:tc>
          <w:tcPr>
            <w:tcW w:w="5000" w:type="pct"/>
            <w:noWrap/>
            <w:hideMark/>
          </w:tcPr>
          <w:p w14:paraId="4CC9CFE9" w14:textId="77777777" w:rsidR="005268F0" w:rsidRPr="00DF3006" w:rsidRDefault="005268F0" w:rsidP="002910F8">
            <w:pPr>
              <w:rPr>
                <w:color w:val="414042" w:themeColor="text1"/>
              </w:rPr>
            </w:pPr>
            <w:r w:rsidRPr="00DF3006">
              <w:rPr>
                <w:b/>
                <w:bCs/>
                <w:color w:val="414042" w:themeColor="text1"/>
              </w:rPr>
              <w:t>Recommendation 28:</w:t>
            </w:r>
            <w:r w:rsidRPr="00DF3006">
              <w:rPr>
                <w:color w:val="414042" w:themeColor="text1"/>
              </w:rPr>
              <w:t xml:space="preserve"> The CCC report to the PCCC and the Parliamentary Commissioner on the effectiveness and utility of the Memorandum of Understanding, including timeframes and timeliness of the advice provided by the Director of Public Prosecutions.</w:t>
            </w:r>
          </w:p>
        </w:tc>
      </w:tr>
      <w:tr w:rsidR="00DF3006" w:rsidRPr="00DF3006" w14:paraId="7854BAA5" w14:textId="77777777" w:rsidTr="00463FBB">
        <w:trPr>
          <w:trHeight w:val="20"/>
        </w:trPr>
        <w:tc>
          <w:tcPr>
            <w:tcW w:w="5000" w:type="pct"/>
            <w:shd w:val="clear" w:color="auto" w:fill="D9D9D9" w:themeFill="background1" w:themeFillShade="D9"/>
            <w:vAlign w:val="center"/>
          </w:tcPr>
          <w:p w14:paraId="4DC0CBBC" w14:textId="77777777" w:rsidR="005268F0" w:rsidRPr="00DF3006" w:rsidRDefault="005268F0" w:rsidP="00463FBB">
            <w:pPr>
              <w:pStyle w:val="Heading4"/>
              <w:rPr>
                <w:rFonts w:asciiTheme="minorHAnsi" w:eastAsia="Times New Roman" w:hAnsiTheme="minorHAnsi" w:cstheme="minorHAnsi"/>
                <w:sz w:val="16"/>
                <w:szCs w:val="16"/>
                <w:lang w:eastAsia="en-AU"/>
              </w:rPr>
            </w:pPr>
            <w:r w:rsidRPr="00DF3006">
              <w:t>Noted – 1 recommendation</w:t>
            </w:r>
          </w:p>
        </w:tc>
      </w:tr>
      <w:tr w:rsidR="00DF3006" w:rsidRPr="00DF3006" w14:paraId="5B8943CF" w14:textId="77777777" w:rsidTr="00BF5C92">
        <w:trPr>
          <w:cantSplit/>
          <w:trHeight w:val="20"/>
        </w:trPr>
        <w:tc>
          <w:tcPr>
            <w:tcW w:w="5000" w:type="pct"/>
            <w:noWrap/>
          </w:tcPr>
          <w:p w14:paraId="6589337E" w14:textId="77777777" w:rsidR="005268F0" w:rsidRPr="00DF3006" w:rsidRDefault="005268F0" w:rsidP="00836DA9">
            <w:pPr>
              <w:spacing w:before="240"/>
              <w:rPr>
                <w:color w:val="414042" w:themeColor="text1"/>
              </w:rPr>
            </w:pPr>
            <w:r w:rsidRPr="00DF3006">
              <w:rPr>
                <w:b/>
                <w:bCs/>
                <w:color w:val="414042" w:themeColor="text1"/>
              </w:rPr>
              <w:t>Recommendation 1:</w:t>
            </w:r>
            <w:r w:rsidRPr="00DF3006">
              <w:rPr>
                <w:color w:val="414042" w:themeColor="text1"/>
              </w:rPr>
              <w:t xml:space="preserve"> The use of seconded police officers by the CCC is appropriate and should continue (subject to recommendations below).</w:t>
            </w:r>
          </w:p>
        </w:tc>
      </w:tr>
      <w:tr w:rsidR="00DF3006" w:rsidRPr="00DF3006" w14:paraId="33516165" w14:textId="77777777" w:rsidTr="00BF5C92">
        <w:trPr>
          <w:trHeight w:val="20"/>
        </w:trPr>
        <w:tc>
          <w:tcPr>
            <w:tcW w:w="5000" w:type="pct"/>
            <w:noWrap/>
          </w:tcPr>
          <w:p w14:paraId="3BFB50A3" w14:textId="77777777" w:rsidR="005268F0" w:rsidRPr="00DF3006" w:rsidRDefault="005268F0" w:rsidP="00E6066A">
            <w:pPr>
              <w:pStyle w:val="Heading3"/>
              <w:rPr>
                <w:rFonts w:cstheme="minorHAnsi"/>
                <w:sz w:val="16"/>
                <w:szCs w:val="16"/>
              </w:rPr>
            </w:pPr>
            <w:r w:rsidRPr="00DF3006">
              <w:t>Five-Year Review 2021</w:t>
            </w:r>
          </w:p>
        </w:tc>
      </w:tr>
      <w:tr w:rsidR="00DF3006" w:rsidRPr="00DF3006" w14:paraId="595E51C7" w14:textId="77777777" w:rsidTr="00463FBB">
        <w:trPr>
          <w:trHeight w:val="20"/>
        </w:trPr>
        <w:tc>
          <w:tcPr>
            <w:tcW w:w="5000" w:type="pct"/>
            <w:shd w:val="clear" w:color="auto" w:fill="D9D9D9" w:themeFill="background1" w:themeFillShade="D9"/>
            <w:noWrap/>
            <w:vAlign w:val="center"/>
          </w:tcPr>
          <w:p w14:paraId="541233E9" w14:textId="77777777" w:rsidR="005268F0" w:rsidRPr="00DF3006" w:rsidRDefault="005268F0" w:rsidP="00463FBB">
            <w:pPr>
              <w:pStyle w:val="Heading4"/>
              <w:rPr>
                <w:rFonts w:asciiTheme="minorHAnsi" w:eastAsia="Times New Roman" w:hAnsiTheme="minorHAnsi" w:cstheme="minorHAnsi"/>
                <w:b w:val="0"/>
                <w:bCs w:val="0"/>
                <w:sz w:val="16"/>
                <w:szCs w:val="16"/>
                <w:lang w:eastAsia="en-AU"/>
              </w:rPr>
            </w:pPr>
            <w:r w:rsidRPr="00DF3006">
              <w:t>Completed – 1 recommendation</w:t>
            </w:r>
          </w:p>
        </w:tc>
      </w:tr>
      <w:tr w:rsidR="00DF3006" w:rsidRPr="00DF3006" w14:paraId="40E89DF9" w14:textId="77777777" w:rsidTr="00BF5C92">
        <w:trPr>
          <w:trHeight w:val="20"/>
        </w:trPr>
        <w:tc>
          <w:tcPr>
            <w:tcW w:w="5000" w:type="pct"/>
            <w:noWrap/>
          </w:tcPr>
          <w:p w14:paraId="13EE881E" w14:textId="6E7F58C8" w:rsidR="00CF45DC" w:rsidRPr="00DF3006" w:rsidRDefault="00CF45DC" w:rsidP="00836DA9">
            <w:pPr>
              <w:spacing w:before="240"/>
              <w:rPr>
                <w:color w:val="414042" w:themeColor="text1"/>
              </w:rPr>
            </w:pPr>
            <w:r w:rsidRPr="00DF3006">
              <w:rPr>
                <w:b/>
                <w:bCs/>
                <w:color w:val="414042" w:themeColor="text1"/>
              </w:rPr>
              <w:t>Recommendation 11:</w:t>
            </w:r>
            <w:r w:rsidRPr="00DF3006">
              <w:rPr>
                <w:color w:val="414042" w:themeColor="text1"/>
              </w:rPr>
              <w:t xml:space="preserve"> The CCC produce easily accessible material to assist in the education of persons (and their legal representatives) participating in coercive hearings.</w:t>
            </w:r>
          </w:p>
        </w:tc>
      </w:tr>
      <w:tr w:rsidR="00DF3006" w:rsidRPr="00DF3006" w14:paraId="00F57DEF" w14:textId="77777777" w:rsidTr="00463FBB">
        <w:trPr>
          <w:trHeight w:val="20"/>
        </w:trPr>
        <w:tc>
          <w:tcPr>
            <w:tcW w:w="5000" w:type="pct"/>
            <w:shd w:val="clear" w:color="auto" w:fill="D9D9D9" w:themeFill="background1" w:themeFillShade="D9"/>
            <w:noWrap/>
            <w:vAlign w:val="center"/>
          </w:tcPr>
          <w:p w14:paraId="5C3BE60E" w14:textId="77777777" w:rsidR="005268F0" w:rsidRPr="00DF3006" w:rsidRDefault="005268F0" w:rsidP="00463FBB">
            <w:pPr>
              <w:pStyle w:val="Heading4"/>
              <w:rPr>
                <w:rFonts w:asciiTheme="minorHAnsi" w:eastAsia="Times New Roman" w:hAnsiTheme="minorHAnsi" w:cstheme="minorHAnsi"/>
                <w:b w:val="0"/>
                <w:bCs w:val="0"/>
                <w:sz w:val="16"/>
                <w:szCs w:val="16"/>
                <w:lang w:eastAsia="en-AU"/>
              </w:rPr>
            </w:pPr>
            <w:r w:rsidRPr="00DF3006">
              <w:t>In progress – 4 recommendations</w:t>
            </w:r>
          </w:p>
        </w:tc>
      </w:tr>
      <w:tr w:rsidR="00DF3006" w:rsidRPr="00DF3006" w14:paraId="179EA355" w14:textId="77777777" w:rsidTr="00BF5C92">
        <w:trPr>
          <w:trHeight w:val="20"/>
        </w:trPr>
        <w:tc>
          <w:tcPr>
            <w:tcW w:w="5000" w:type="pct"/>
            <w:noWrap/>
          </w:tcPr>
          <w:p w14:paraId="47BC232F" w14:textId="76761B3E" w:rsidR="00CF45DC" w:rsidRPr="00DF3006" w:rsidRDefault="00CF45DC" w:rsidP="00836DA9">
            <w:pPr>
              <w:spacing w:before="240"/>
              <w:rPr>
                <w:color w:val="414042" w:themeColor="text1"/>
              </w:rPr>
            </w:pPr>
            <w:r w:rsidRPr="00DF3006">
              <w:rPr>
                <w:b/>
                <w:bCs/>
                <w:color w:val="414042" w:themeColor="text1"/>
              </w:rPr>
              <w:t>Recommendation 6:</w:t>
            </w:r>
            <w:r w:rsidRPr="00DF3006">
              <w:rPr>
                <w:color w:val="414042" w:themeColor="text1"/>
              </w:rPr>
              <w:t xml:space="preserve"> The CCC and the QPS update their practices and procedures </w:t>
            </w:r>
            <w:proofErr w:type="gramStart"/>
            <w:r w:rsidRPr="00DF3006">
              <w:rPr>
                <w:color w:val="414042" w:themeColor="text1"/>
              </w:rPr>
              <w:t>in regards to</w:t>
            </w:r>
            <w:proofErr w:type="gramEnd"/>
            <w:r w:rsidRPr="00DF3006">
              <w:rPr>
                <w:color w:val="414042" w:themeColor="text1"/>
              </w:rPr>
              <w:t xml:space="preserve"> public reporting associated with the charging, or investigating, of police officers, to ensure that the outcome is also subject to public reporting, in circumstances where the police officer is cleared of the publicly reported allegations.</w:t>
            </w:r>
          </w:p>
        </w:tc>
      </w:tr>
      <w:tr w:rsidR="00DF3006" w:rsidRPr="00DF3006" w14:paraId="6D983454" w14:textId="77777777" w:rsidTr="00BF5C92">
        <w:trPr>
          <w:trHeight w:val="20"/>
        </w:trPr>
        <w:tc>
          <w:tcPr>
            <w:tcW w:w="5000" w:type="pct"/>
            <w:noWrap/>
            <w:hideMark/>
          </w:tcPr>
          <w:p w14:paraId="64ECDAF1" w14:textId="77777777" w:rsidR="005268F0" w:rsidRPr="00DF3006" w:rsidRDefault="005268F0" w:rsidP="00F12C55">
            <w:pPr>
              <w:rPr>
                <w:color w:val="414042" w:themeColor="text1"/>
              </w:rPr>
            </w:pPr>
            <w:r w:rsidRPr="00DF3006">
              <w:rPr>
                <w:b/>
                <w:bCs/>
                <w:color w:val="414042" w:themeColor="text1"/>
              </w:rPr>
              <w:t>Recommendation 7:</w:t>
            </w:r>
            <w:r w:rsidRPr="00DF3006">
              <w:rPr>
                <w:color w:val="414042" w:themeColor="text1"/>
              </w:rPr>
              <w:t xml:space="preserve"> The secretariat functions for the Commission for Police Service Review are transferred from the CCC to another appropriate entity, separate from the QPS.</w:t>
            </w:r>
          </w:p>
        </w:tc>
      </w:tr>
      <w:tr w:rsidR="00DF3006" w:rsidRPr="00DF3006" w14:paraId="3F529934" w14:textId="77777777" w:rsidTr="00BF5C92">
        <w:trPr>
          <w:trHeight w:val="20"/>
        </w:trPr>
        <w:tc>
          <w:tcPr>
            <w:tcW w:w="5000" w:type="pct"/>
            <w:noWrap/>
            <w:hideMark/>
          </w:tcPr>
          <w:p w14:paraId="7186114D" w14:textId="77777777" w:rsidR="005268F0" w:rsidRPr="00DF3006" w:rsidRDefault="005268F0" w:rsidP="00F12C55">
            <w:pPr>
              <w:rPr>
                <w:color w:val="414042" w:themeColor="text1"/>
              </w:rPr>
            </w:pPr>
            <w:r w:rsidRPr="00DF3006">
              <w:rPr>
                <w:b/>
                <w:bCs/>
                <w:color w:val="414042" w:themeColor="text1"/>
              </w:rPr>
              <w:t>Recommendation 23:</w:t>
            </w:r>
            <w:r w:rsidRPr="00DF3006">
              <w:rPr>
                <w:color w:val="414042" w:themeColor="text1"/>
              </w:rPr>
              <w:t xml:space="preserve"> The CCC and the Queensland Parliament (through the Speaker of the Legislative Assembly) consider the development and implementation of an information sharing protocol for the dissemination of information held by the CCC that may be relevant to the Parliament in respect of the conduct of Members of Parliament.</w:t>
            </w:r>
          </w:p>
        </w:tc>
      </w:tr>
      <w:tr w:rsidR="00DF3006" w:rsidRPr="00DF3006" w14:paraId="5C9303CF" w14:textId="77777777" w:rsidTr="00BF5C92">
        <w:trPr>
          <w:trHeight w:val="20"/>
        </w:trPr>
        <w:tc>
          <w:tcPr>
            <w:tcW w:w="5000" w:type="pct"/>
            <w:noWrap/>
            <w:hideMark/>
          </w:tcPr>
          <w:p w14:paraId="5ECC3ED3" w14:textId="77777777" w:rsidR="005268F0" w:rsidRPr="00DF3006" w:rsidRDefault="005268F0" w:rsidP="00F12C55">
            <w:pPr>
              <w:rPr>
                <w:color w:val="414042" w:themeColor="text1"/>
              </w:rPr>
            </w:pPr>
            <w:r w:rsidRPr="00DF3006">
              <w:rPr>
                <w:b/>
                <w:bCs/>
                <w:color w:val="414042" w:themeColor="text1"/>
              </w:rPr>
              <w:t>Recommendation 29:</w:t>
            </w:r>
            <w:r w:rsidRPr="00DF3006">
              <w:rPr>
                <w:color w:val="414042" w:themeColor="text1"/>
              </w:rPr>
              <w:t xml:space="preserve"> The CCC develop and deliver additional </w:t>
            </w:r>
            <w:r w:rsidRPr="00DF3006">
              <w:rPr>
                <w:i/>
                <w:iCs/>
                <w:color w:val="414042" w:themeColor="text1"/>
              </w:rPr>
              <w:t>[corruption prevention]</w:t>
            </w:r>
            <w:r w:rsidRPr="00DF3006">
              <w:rPr>
                <w:color w:val="414042" w:themeColor="text1"/>
              </w:rPr>
              <w:t xml:space="preserve"> training and educational material.</w:t>
            </w:r>
          </w:p>
        </w:tc>
      </w:tr>
      <w:tr w:rsidR="00DF3006" w:rsidRPr="00DF3006" w14:paraId="76AAC20A" w14:textId="77777777" w:rsidTr="00463FBB">
        <w:trPr>
          <w:trHeight w:val="20"/>
        </w:trPr>
        <w:tc>
          <w:tcPr>
            <w:tcW w:w="5000" w:type="pct"/>
            <w:shd w:val="clear" w:color="auto" w:fill="D9D9D9" w:themeFill="background1" w:themeFillShade="D9"/>
            <w:noWrap/>
            <w:vAlign w:val="center"/>
          </w:tcPr>
          <w:p w14:paraId="0F061044" w14:textId="1D95B573" w:rsidR="005268F0" w:rsidRPr="00DF3006" w:rsidRDefault="005268F0" w:rsidP="00463FBB">
            <w:pPr>
              <w:pStyle w:val="Heading4"/>
              <w:rPr>
                <w:rFonts w:asciiTheme="minorHAnsi" w:eastAsia="Times New Roman" w:hAnsiTheme="minorHAnsi" w:cstheme="minorHAnsi"/>
                <w:b w:val="0"/>
                <w:bCs w:val="0"/>
                <w:sz w:val="16"/>
                <w:szCs w:val="16"/>
                <w:lang w:eastAsia="en-AU"/>
              </w:rPr>
            </w:pPr>
            <w:r w:rsidRPr="00DF3006">
              <w:t>Noted – 2 recommendations</w:t>
            </w:r>
          </w:p>
        </w:tc>
      </w:tr>
      <w:tr w:rsidR="00DF3006" w:rsidRPr="00DF3006" w14:paraId="0E1680D8" w14:textId="77777777" w:rsidTr="00BF5C92">
        <w:trPr>
          <w:trHeight w:val="20"/>
        </w:trPr>
        <w:tc>
          <w:tcPr>
            <w:tcW w:w="5000" w:type="pct"/>
            <w:noWrap/>
          </w:tcPr>
          <w:p w14:paraId="0FE2E276" w14:textId="77777777" w:rsidR="005268F0" w:rsidRPr="00DF3006" w:rsidRDefault="005268F0" w:rsidP="00836DA9">
            <w:pPr>
              <w:spacing w:before="240"/>
              <w:rPr>
                <w:color w:val="414042" w:themeColor="text1"/>
              </w:rPr>
            </w:pPr>
            <w:r w:rsidRPr="00DF3006">
              <w:rPr>
                <w:b/>
                <w:bCs/>
                <w:color w:val="414042" w:themeColor="text1"/>
              </w:rPr>
              <w:t>Recommendation 26:</w:t>
            </w:r>
            <w:r w:rsidRPr="00DF3006">
              <w:rPr>
                <w:color w:val="414042" w:themeColor="text1"/>
              </w:rPr>
              <w:t xml:space="preserve"> There be an ongoing dialogue between the CCC and relevant Queensland and Commonwealth authorities to ensure all possible forms of foreign influence or interference are subject to scrutiny and investigation by relevant agencies.</w:t>
            </w:r>
          </w:p>
        </w:tc>
      </w:tr>
      <w:tr w:rsidR="00DF3006" w:rsidRPr="00DF3006" w14:paraId="5571F768" w14:textId="77777777" w:rsidTr="00BF5C92">
        <w:trPr>
          <w:trHeight w:val="20"/>
        </w:trPr>
        <w:tc>
          <w:tcPr>
            <w:tcW w:w="5000" w:type="pct"/>
            <w:noWrap/>
          </w:tcPr>
          <w:p w14:paraId="105985E2" w14:textId="77777777" w:rsidR="005268F0" w:rsidRPr="00DF3006" w:rsidRDefault="005268F0" w:rsidP="00F12C55">
            <w:pPr>
              <w:rPr>
                <w:color w:val="414042" w:themeColor="text1"/>
              </w:rPr>
            </w:pPr>
            <w:r w:rsidRPr="00DF3006">
              <w:rPr>
                <w:b/>
                <w:bCs/>
                <w:color w:val="414042" w:themeColor="text1"/>
              </w:rPr>
              <w:t>Recommendation 30:</w:t>
            </w:r>
            <w:r w:rsidRPr="00DF3006">
              <w:rPr>
                <w:color w:val="414042" w:themeColor="text1"/>
              </w:rPr>
              <w:t xml:space="preserve"> The CCC engage with the Department of Justice and Attorney-General if issues regarding application of the </w:t>
            </w:r>
            <w:r w:rsidRPr="00DF3006">
              <w:rPr>
                <w:i/>
                <w:iCs/>
                <w:color w:val="414042" w:themeColor="text1"/>
              </w:rPr>
              <w:t>Human Rights Act 2019</w:t>
            </w:r>
            <w:r w:rsidRPr="00DF3006">
              <w:rPr>
                <w:color w:val="414042" w:themeColor="text1"/>
              </w:rPr>
              <w:t xml:space="preserve"> arise, to ensure the CCC’s powers are not inadvertently undermined.</w:t>
            </w:r>
          </w:p>
        </w:tc>
      </w:tr>
      <w:tr w:rsidR="00DF3006" w:rsidRPr="00DF3006" w14:paraId="3169B4AF" w14:textId="77777777" w:rsidTr="00BF5C92">
        <w:trPr>
          <w:trHeight w:val="20"/>
        </w:trPr>
        <w:tc>
          <w:tcPr>
            <w:tcW w:w="5000" w:type="pct"/>
            <w:noWrap/>
          </w:tcPr>
          <w:p w14:paraId="102D357D" w14:textId="77777777" w:rsidR="005268F0" w:rsidRPr="00DF3006" w:rsidRDefault="005268F0" w:rsidP="00E6066A">
            <w:pPr>
              <w:pStyle w:val="Heading3"/>
            </w:pPr>
            <w:bookmarkStart w:id="1993" w:name="_Hlk141285488"/>
            <w:r w:rsidRPr="00DF3006">
              <w:t>DFV Inquiry</w:t>
            </w:r>
            <w:bookmarkEnd w:id="1993"/>
          </w:p>
        </w:tc>
      </w:tr>
      <w:tr w:rsidR="00DF3006" w:rsidRPr="00DF3006" w14:paraId="63A1B61B" w14:textId="77777777" w:rsidTr="00463FBB">
        <w:trPr>
          <w:trHeight w:val="20"/>
        </w:trPr>
        <w:tc>
          <w:tcPr>
            <w:tcW w:w="5000" w:type="pct"/>
            <w:shd w:val="clear" w:color="auto" w:fill="D9D9D9" w:themeFill="background1" w:themeFillShade="D9"/>
            <w:noWrap/>
            <w:vAlign w:val="center"/>
          </w:tcPr>
          <w:p w14:paraId="3F4560DC" w14:textId="7A40AED8" w:rsidR="005268F0" w:rsidRPr="00DF3006" w:rsidRDefault="0009256E" w:rsidP="00463FBB">
            <w:pPr>
              <w:pStyle w:val="Heading4"/>
              <w:rPr>
                <w:rFonts w:asciiTheme="minorHAnsi" w:eastAsia="Times New Roman" w:hAnsiTheme="minorHAnsi" w:cstheme="minorHAnsi"/>
                <w:b w:val="0"/>
                <w:bCs w:val="0"/>
                <w:sz w:val="16"/>
                <w:szCs w:val="16"/>
                <w:lang w:eastAsia="en-AU"/>
              </w:rPr>
            </w:pPr>
            <w:r w:rsidRPr="00DF3006">
              <w:t>Noted but not yet commenced</w:t>
            </w:r>
            <w:r w:rsidR="005268F0" w:rsidRPr="00DF3006">
              <w:t xml:space="preserve"> – </w:t>
            </w:r>
            <w:r w:rsidRPr="00DF3006">
              <w:t>2</w:t>
            </w:r>
            <w:r w:rsidR="005268F0" w:rsidRPr="00DF3006">
              <w:t xml:space="preserve"> recommendations</w:t>
            </w:r>
            <w:r w:rsidRPr="00DF3006">
              <w:rPr>
                <w:rStyle w:val="FootnoteReference"/>
              </w:rPr>
              <w:footnoteReference w:id="5"/>
            </w:r>
          </w:p>
        </w:tc>
      </w:tr>
      <w:tr w:rsidR="00DF3006" w:rsidRPr="00DF3006" w14:paraId="682CAF4C" w14:textId="77777777" w:rsidTr="00BF5C92">
        <w:trPr>
          <w:trHeight w:val="20"/>
        </w:trPr>
        <w:tc>
          <w:tcPr>
            <w:tcW w:w="5000" w:type="pct"/>
            <w:noWrap/>
            <w:hideMark/>
          </w:tcPr>
          <w:p w14:paraId="0239382C" w14:textId="77777777" w:rsidR="005268F0" w:rsidRPr="00DF3006" w:rsidRDefault="005268F0" w:rsidP="0009256E">
            <w:pPr>
              <w:spacing w:before="240"/>
              <w:rPr>
                <w:color w:val="414042" w:themeColor="text1"/>
              </w:rPr>
            </w:pPr>
            <w:r w:rsidRPr="00DF3006">
              <w:rPr>
                <w:b/>
                <w:bCs/>
                <w:color w:val="414042" w:themeColor="text1"/>
              </w:rPr>
              <w:t>Recommendation 70:</w:t>
            </w:r>
            <w:r w:rsidRPr="00DF3006">
              <w:rPr>
                <w:color w:val="414042" w:themeColor="text1"/>
              </w:rPr>
              <w:t xml:space="preserve"> The CCC engage external experts in, or those with experience of, civilian control models to assist in the development and implementation of the Police Integrity Unit up until it becomes operational.</w:t>
            </w:r>
          </w:p>
        </w:tc>
      </w:tr>
      <w:tr w:rsidR="00DF3006" w:rsidRPr="00DF3006" w14:paraId="680E743F" w14:textId="77777777" w:rsidTr="00BF5C92">
        <w:trPr>
          <w:trHeight w:val="20"/>
        </w:trPr>
        <w:tc>
          <w:tcPr>
            <w:tcW w:w="5000" w:type="pct"/>
            <w:noWrap/>
            <w:hideMark/>
          </w:tcPr>
          <w:p w14:paraId="509C6AF4" w14:textId="77777777" w:rsidR="005268F0" w:rsidRPr="00DF3006" w:rsidRDefault="005268F0" w:rsidP="00F12C55">
            <w:pPr>
              <w:rPr>
                <w:color w:val="414042" w:themeColor="text1"/>
              </w:rPr>
            </w:pPr>
            <w:r w:rsidRPr="00DF3006">
              <w:rPr>
                <w:b/>
                <w:bCs/>
                <w:color w:val="414042" w:themeColor="text1"/>
              </w:rPr>
              <w:t>Recommendation 71:</w:t>
            </w:r>
            <w:r w:rsidRPr="00DF3006">
              <w:rPr>
                <w:color w:val="414042" w:themeColor="text1"/>
              </w:rPr>
              <w:t xml:space="preserve"> The CCC, in consultation with the QPS, report to the PCCC, and the Premier, or the Attorney-General in support of the Premier, on the implementation plan milestones every three months until the Police Integrity Unit is fully operational.</w:t>
            </w:r>
          </w:p>
          <w:p w14:paraId="309A516C" w14:textId="77777777" w:rsidR="0009256E" w:rsidRPr="00DF3006" w:rsidRDefault="0009256E" w:rsidP="00F12C55">
            <w:pPr>
              <w:rPr>
                <w:color w:val="414042" w:themeColor="text1"/>
              </w:rPr>
            </w:pPr>
          </w:p>
          <w:p w14:paraId="154DE31C" w14:textId="2E385DCD" w:rsidR="0009256E" w:rsidRPr="00DF3006" w:rsidRDefault="0009256E" w:rsidP="0009256E">
            <w:pPr>
              <w:rPr>
                <w:i/>
                <w:iCs/>
                <w:color w:val="414042" w:themeColor="text1"/>
              </w:rPr>
            </w:pPr>
            <w:r w:rsidRPr="00DF3006">
              <w:rPr>
                <w:i/>
                <w:iCs/>
                <w:color w:val="414042" w:themeColor="text1"/>
              </w:rPr>
              <w:t>See page 26–28 for more information regarding these recommendations.</w:t>
            </w:r>
          </w:p>
        </w:tc>
      </w:tr>
    </w:tbl>
    <w:p w14:paraId="0096CFAD" w14:textId="6D18E838" w:rsidR="00387DE0" w:rsidRPr="00DF3006" w:rsidRDefault="00F83949" w:rsidP="00387DE0">
      <w:pPr>
        <w:pStyle w:val="Heading2"/>
      </w:pPr>
      <w:bookmarkStart w:id="1994" w:name="_Appendix_B_"/>
      <w:bookmarkEnd w:id="1994"/>
      <w:r w:rsidRPr="00DF3006">
        <w:rPr>
          <w:rFonts w:asciiTheme="minorHAnsi" w:hAnsiTheme="minorHAnsi" w:cstheme="minorHAnsi"/>
          <w:b/>
          <w:bCs/>
        </w:rPr>
        <w:t>A</w:t>
      </w:r>
      <w:r w:rsidR="00714F06" w:rsidRPr="00DF3006">
        <w:rPr>
          <w:rFonts w:asciiTheme="minorHAnsi" w:hAnsiTheme="minorHAnsi" w:cstheme="minorHAnsi"/>
          <w:b/>
          <w:bCs/>
        </w:rPr>
        <w:t xml:space="preserve">ppendix </w:t>
      </w:r>
      <w:r w:rsidR="005268F0" w:rsidRPr="00DF3006">
        <w:rPr>
          <w:rFonts w:asciiTheme="minorHAnsi" w:hAnsiTheme="minorHAnsi" w:cstheme="minorHAnsi"/>
          <w:b/>
          <w:bCs/>
        </w:rPr>
        <w:t>B</w:t>
      </w:r>
      <w:r w:rsidR="00714F06" w:rsidRPr="00DF3006">
        <w:rPr>
          <w:rFonts w:asciiTheme="minorHAnsi" w:hAnsiTheme="minorHAnsi" w:cstheme="minorHAnsi"/>
          <w:b/>
          <w:bCs/>
        </w:rPr>
        <w:t xml:space="preserve">  </w:t>
      </w:r>
      <w:r w:rsidR="00714F06" w:rsidRPr="00DF3006">
        <w:rPr>
          <w:rFonts w:asciiTheme="minorHAnsi" w:hAnsiTheme="minorHAnsi" w:cstheme="minorHAnsi"/>
        </w:rPr>
        <w:t xml:space="preserve">| </w:t>
      </w:r>
      <w:r w:rsidR="00714F06" w:rsidRPr="00DF3006">
        <w:rPr>
          <w:rFonts w:asciiTheme="minorHAnsi" w:hAnsiTheme="minorHAnsi" w:cstheme="minorHAnsi"/>
          <w:b/>
          <w:bCs/>
        </w:rPr>
        <w:t xml:space="preserve"> </w:t>
      </w:r>
      <w:r w:rsidR="00387DE0" w:rsidRPr="00DF3006">
        <w:t xml:space="preserve">Glossary of </w:t>
      </w:r>
      <w:r w:rsidR="007442A7" w:rsidRPr="00DF3006">
        <w:t>t</w:t>
      </w:r>
      <w:r w:rsidR="00387DE0" w:rsidRPr="00DF3006">
        <w:t>erms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7EA6C416" w14:textId="77777777" w:rsidR="0059172E" w:rsidRPr="00DF3006" w:rsidRDefault="0059172E" w:rsidP="00387DE0">
      <w:pPr>
        <w:spacing w:before="120" w:after="0" w:line="260" w:lineRule="exact"/>
        <w:rPr>
          <w:strike/>
          <w:color w:val="414042" w:themeColor="text1"/>
        </w:rPr>
        <w:sectPr w:rsidR="0059172E" w:rsidRPr="00DF3006" w:rsidSect="00C77834">
          <w:headerReference w:type="even" r:id="rId357"/>
          <w:headerReference w:type="default" r:id="rId358"/>
          <w:headerReference w:type="first" r:id="rId359"/>
          <w:pgSz w:w="11906" w:h="16838" w:code="9"/>
          <w:pgMar w:top="2155" w:right="1134" w:bottom="964" w:left="1134" w:header="720" w:footer="284" w:gutter="0"/>
          <w:cols w:space="567"/>
          <w:noEndnote/>
          <w:docGrid w:linePitch="272"/>
        </w:sectPr>
      </w:pPr>
    </w:p>
    <w:p w14:paraId="7972BF89" w14:textId="77777777" w:rsidR="008D1425" w:rsidRPr="00DF3006" w:rsidRDefault="008D1425" w:rsidP="00C941F2">
      <w:pPr>
        <w:spacing w:before="120" w:after="0" w:line="260" w:lineRule="exact"/>
        <w:ind w:left="851" w:hanging="851"/>
        <w:rPr>
          <w:color w:val="414042" w:themeColor="text1"/>
        </w:rPr>
      </w:pPr>
      <w:r w:rsidRPr="00DF3006">
        <w:rPr>
          <w:color w:val="414042" w:themeColor="text1"/>
        </w:rPr>
        <w:t>ACIC</w:t>
      </w:r>
      <w:r w:rsidRPr="00DF3006">
        <w:rPr>
          <w:color w:val="414042" w:themeColor="text1"/>
        </w:rPr>
        <w:tab/>
        <w:t>Australian Criminal Intelligence Commission</w:t>
      </w:r>
    </w:p>
    <w:p w14:paraId="422AF2D7" w14:textId="77777777" w:rsidR="008D1425" w:rsidRPr="00DF3006" w:rsidRDefault="008D1425" w:rsidP="00C941F2">
      <w:pPr>
        <w:spacing w:before="120" w:after="0" w:line="260" w:lineRule="exact"/>
        <w:ind w:left="851" w:hanging="851"/>
        <w:rPr>
          <w:color w:val="414042" w:themeColor="text1"/>
        </w:rPr>
      </w:pPr>
      <w:proofErr w:type="spellStart"/>
      <w:r w:rsidRPr="00DF3006">
        <w:rPr>
          <w:color w:val="414042" w:themeColor="text1"/>
        </w:rPr>
        <w:t>ADW</w:t>
      </w:r>
      <w:proofErr w:type="spellEnd"/>
      <w:r w:rsidRPr="00DF3006">
        <w:rPr>
          <w:color w:val="414042" w:themeColor="text1"/>
        </w:rPr>
        <w:tab/>
        <w:t>Analytics Data Warehouse</w:t>
      </w:r>
    </w:p>
    <w:p w14:paraId="04B2F68E" w14:textId="77777777" w:rsidR="008D1425" w:rsidRPr="00DF3006" w:rsidRDefault="008D1425" w:rsidP="00C941F2">
      <w:pPr>
        <w:spacing w:before="120" w:after="0" w:line="260" w:lineRule="exact"/>
        <w:ind w:left="851" w:hanging="851"/>
        <w:rPr>
          <w:color w:val="414042" w:themeColor="text1"/>
        </w:rPr>
      </w:pPr>
      <w:r w:rsidRPr="00DF3006">
        <w:rPr>
          <w:color w:val="414042" w:themeColor="text1"/>
        </w:rPr>
        <w:t>AFP</w:t>
      </w:r>
      <w:r w:rsidRPr="00DF3006">
        <w:rPr>
          <w:color w:val="414042" w:themeColor="text1"/>
        </w:rPr>
        <w:tab/>
        <w:t>Australian Federal Police</w:t>
      </w:r>
    </w:p>
    <w:p w14:paraId="60A94DE5"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ARMC</w:t>
      </w:r>
      <w:r w:rsidRPr="00DF3006">
        <w:rPr>
          <w:color w:val="414042" w:themeColor="text1"/>
        </w:rPr>
        <w:tab/>
        <w:t>Audit and Risk Management Committee</w:t>
      </w:r>
    </w:p>
    <w:p w14:paraId="5A1E3FC1"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ARRs</w:t>
      </w:r>
      <w:proofErr w:type="spellEnd"/>
      <w:r w:rsidRPr="00DF3006">
        <w:rPr>
          <w:color w:val="414042" w:themeColor="text1"/>
        </w:rPr>
        <w:tab/>
      </w:r>
      <w:r w:rsidRPr="00DF3006">
        <w:rPr>
          <w:i/>
          <w:iCs/>
          <w:color w:val="414042" w:themeColor="text1"/>
          <w:spacing w:val="2"/>
        </w:rPr>
        <w:t>Annual report requirements for Queensland Government agencies (2022–23 reporting period)</w:t>
      </w:r>
    </w:p>
    <w:p w14:paraId="5580A8BA" w14:textId="77777777" w:rsidR="008D1425" w:rsidRPr="00DF3006" w:rsidRDefault="008D1425" w:rsidP="00C941F2">
      <w:pPr>
        <w:spacing w:before="120" w:after="0" w:line="260" w:lineRule="exact"/>
        <w:ind w:left="851" w:hanging="851"/>
        <w:rPr>
          <w:color w:val="414042" w:themeColor="text1"/>
        </w:rPr>
      </w:pPr>
      <w:r w:rsidRPr="00DF3006">
        <w:rPr>
          <w:color w:val="414042" w:themeColor="text1"/>
        </w:rPr>
        <w:t>ATO</w:t>
      </w:r>
      <w:r w:rsidRPr="00DF3006">
        <w:rPr>
          <w:color w:val="414042" w:themeColor="text1"/>
        </w:rPr>
        <w:tab/>
        <w:t>Australian Taxation Office</w:t>
      </w:r>
    </w:p>
    <w:p w14:paraId="43D5CAB3" w14:textId="77777777" w:rsidR="008D1425" w:rsidRPr="00DF3006" w:rsidRDefault="008D1425" w:rsidP="00C941F2">
      <w:pPr>
        <w:spacing w:before="120" w:after="0" w:line="260" w:lineRule="exact"/>
        <w:ind w:left="851" w:hanging="851"/>
        <w:rPr>
          <w:color w:val="414042" w:themeColor="text1"/>
        </w:rPr>
      </w:pPr>
      <w:r w:rsidRPr="00DF3006">
        <w:rPr>
          <w:color w:val="414042" w:themeColor="text1"/>
        </w:rPr>
        <w:t xml:space="preserve">AUSTRAC </w:t>
      </w:r>
      <w:r w:rsidRPr="00DF3006">
        <w:rPr>
          <w:color w:val="414042" w:themeColor="text1"/>
        </w:rPr>
        <w:tab/>
        <w:t>Australian Transaction Reports and Analysis Centre</w:t>
      </w:r>
    </w:p>
    <w:p w14:paraId="7BCE1AC7"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BMC</w:t>
      </w:r>
      <w:r w:rsidRPr="00DF3006">
        <w:rPr>
          <w:color w:val="414042" w:themeColor="text1"/>
        </w:rPr>
        <w:tab/>
        <w:t>Budget Management Committee</w:t>
      </w:r>
    </w:p>
    <w:p w14:paraId="2CE637C2"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CCC</w:t>
      </w:r>
      <w:r w:rsidRPr="00DF3006">
        <w:rPr>
          <w:color w:val="414042" w:themeColor="text1"/>
        </w:rPr>
        <w:tab/>
        <w:t>Crime and Corruption Commission</w:t>
      </w:r>
    </w:p>
    <w:p w14:paraId="16F5E3DF" w14:textId="77777777" w:rsidR="008D1425" w:rsidRPr="00DF3006" w:rsidRDefault="008D1425" w:rsidP="00EA38DD">
      <w:pPr>
        <w:spacing w:before="120" w:after="0" w:line="260" w:lineRule="exact"/>
        <w:ind w:left="851" w:hanging="851"/>
        <w:rPr>
          <w:color w:val="414042" w:themeColor="text1"/>
        </w:rPr>
      </w:pPr>
      <w:r w:rsidRPr="00DF3006">
        <w:rPr>
          <w:color w:val="414042" w:themeColor="text1"/>
        </w:rPr>
        <w:t>CEO</w:t>
      </w:r>
      <w:r w:rsidRPr="00DF3006">
        <w:rPr>
          <w:color w:val="414042" w:themeColor="text1"/>
        </w:rPr>
        <w:tab/>
        <w:t>Chief Executive Officer</w:t>
      </w:r>
    </w:p>
    <w:p w14:paraId="7233A60B"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CMC</w:t>
      </w:r>
      <w:r w:rsidRPr="00DF3006">
        <w:rPr>
          <w:color w:val="414042" w:themeColor="text1"/>
        </w:rPr>
        <w:tab/>
        <w:t>Crime and Misconduct Commission</w:t>
      </w:r>
    </w:p>
    <w:p w14:paraId="4275F180"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CPNQ</w:t>
      </w:r>
      <w:proofErr w:type="spellEnd"/>
      <w:r w:rsidRPr="00DF3006">
        <w:rPr>
          <w:color w:val="414042" w:themeColor="text1"/>
        </w:rPr>
        <w:t xml:space="preserve"> </w:t>
      </w:r>
      <w:r w:rsidRPr="00DF3006">
        <w:rPr>
          <w:color w:val="414042" w:themeColor="text1"/>
        </w:rPr>
        <w:tab/>
        <w:t>Corruption Prevention Network Queensland</w:t>
      </w:r>
    </w:p>
    <w:p w14:paraId="41BE9EEE"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Cth</w:t>
      </w:r>
      <w:proofErr w:type="spellEnd"/>
      <w:r w:rsidRPr="00DF3006">
        <w:rPr>
          <w:color w:val="414042" w:themeColor="text1"/>
        </w:rPr>
        <w:tab/>
        <w:t>Commonwealth</w:t>
      </w:r>
    </w:p>
    <w:p w14:paraId="325B3620" w14:textId="1217F52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DJAG</w:t>
      </w:r>
      <w:proofErr w:type="spellEnd"/>
      <w:r w:rsidRPr="00DF3006">
        <w:rPr>
          <w:color w:val="414042" w:themeColor="text1"/>
        </w:rPr>
        <w:tab/>
        <w:t>Department of Justice and Attorney-General</w:t>
      </w:r>
    </w:p>
    <w:p w14:paraId="48E3EBB9" w14:textId="4A8D8604"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DWP</w:t>
      </w:r>
      <w:proofErr w:type="spellEnd"/>
      <w:r w:rsidRPr="00DF3006">
        <w:rPr>
          <w:color w:val="414042" w:themeColor="text1"/>
        </w:rPr>
        <w:tab/>
        <w:t>Digital Workplace Program</w:t>
      </w:r>
    </w:p>
    <w:p w14:paraId="6AD6FB2F"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eDRMS</w:t>
      </w:r>
      <w:proofErr w:type="spellEnd"/>
      <w:r w:rsidRPr="00DF3006">
        <w:rPr>
          <w:color w:val="414042" w:themeColor="text1"/>
        </w:rPr>
        <w:t xml:space="preserve"> </w:t>
      </w:r>
      <w:r w:rsidRPr="00DF3006">
        <w:rPr>
          <w:color w:val="414042" w:themeColor="text1"/>
        </w:rPr>
        <w:tab/>
        <w:t>Electronic document and records management system</w:t>
      </w:r>
    </w:p>
    <w:p w14:paraId="546F3841"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ELT</w:t>
      </w:r>
      <w:r w:rsidRPr="00DF3006">
        <w:rPr>
          <w:color w:val="414042" w:themeColor="text1"/>
        </w:rPr>
        <w:tab/>
        <w:t>Executive Leadership Team</w:t>
      </w:r>
    </w:p>
    <w:p w14:paraId="49CDEAF5" w14:textId="77777777" w:rsidR="008D1425" w:rsidRPr="00DF3006" w:rsidRDefault="008D1425" w:rsidP="007A58C3">
      <w:pPr>
        <w:spacing w:before="120" w:after="0" w:line="260" w:lineRule="exact"/>
        <w:ind w:left="851" w:hanging="851"/>
        <w:rPr>
          <w:i/>
          <w:iCs/>
          <w:color w:val="414042" w:themeColor="text1"/>
        </w:rPr>
      </w:pPr>
      <w:r w:rsidRPr="00DF3006">
        <w:rPr>
          <w:color w:val="414042" w:themeColor="text1"/>
        </w:rPr>
        <w:t xml:space="preserve">FAA </w:t>
      </w:r>
      <w:r w:rsidRPr="00DF3006">
        <w:rPr>
          <w:color w:val="414042" w:themeColor="text1"/>
        </w:rPr>
        <w:tab/>
      </w:r>
      <w:r w:rsidRPr="00DF3006">
        <w:rPr>
          <w:i/>
          <w:iCs/>
          <w:color w:val="414042" w:themeColor="text1"/>
        </w:rPr>
        <w:t xml:space="preserve">Financial Accountability Act 2009 </w:t>
      </w:r>
      <w:r w:rsidRPr="00DF3006">
        <w:rPr>
          <w:color w:val="414042" w:themeColor="text1"/>
        </w:rPr>
        <w:t>(Qld)</w:t>
      </w:r>
    </w:p>
    <w:p w14:paraId="7BBB8E92" w14:textId="77777777" w:rsidR="008D1425" w:rsidRPr="00DF3006" w:rsidRDefault="008D1425" w:rsidP="007A58C3">
      <w:pPr>
        <w:spacing w:before="120" w:after="0" w:line="260" w:lineRule="exact"/>
        <w:ind w:left="851" w:hanging="851"/>
        <w:rPr>
          <w:i/>
          <w:iCs/>
          <w:color w:val="414042" w:themeColor="text1"/>
        </w:rPr>
      </w:pPr>
      <w:proofErr w:type="spellStart"/>
      <w:r w:rsidRPr="00DF3006">
        <w:rPr>
          <w:color w:val="414042" w:themeColor="text1"/>
        </w:rPr>
        <w:t>FPMS</w:t>
      </w:r>
      <w:proofErr w:type="spellEnd"/>
      <w:r w:rsidRPr="00DF3006">
        <w:rPr>
          <w:color w:val="414042" w:themeColor="text1"/>
        </w:rPr>
        <w:tab/>
      </w:r>
      <w:r w:rsidRPr="00DF3006">
        <w:rPr>
          <w:i/>
          <w:iCs/>
          <w:color w:val="414042" w:themeColor="text1"/>
        </w:rPr>
        <w:t xml:space="preserve">Financial and Performance Management Standard 2019 </w:t>
      </w:r>
      <w:r w:rsidRPr="00DF3006">
        <w:rPr>
          <w:color w:val="414042" w:themeColor="text1"/>
        </w:rPr>
        <w:t>(Qld)</w:t>
      </w:r>
    </w:p>
    <w:p w14:paraId="65596183"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FTE</w:t>
      </w:r>
      <w:r w:rsidRPr="00DF3006">
        <w:rPr>
          <w:color w:val="414042" w:themeColor="text1"/>
        </w:rPr>
        <w:tab/>
        <w:t>Full-time equivalent</w:t>
      </w:r>
    </w:p>
    <w:p w14:paraId="30FEBCC7" w14:textId="77777777" w:rsidR="008D1425" w:rsidRPr="00DF3006" w:rsidRDefault="008D1425" w:rsidP="003A70D5">
      <w:pPr>
        <w:spacing w:before="120" w:after="0" w:line="260" w:lineRule="exact"/>
        <w:ind w:left="851" w:hanging="851"/>
        <w:rPr>
          <w:color w:val="414042" w:themeColor="text1"/>
        </w:rPr>
      </w:pPr>
      <w:proofErr w:type="spellStart"/>
      <w:r w:rsidRPr="00DF3006">
        <w:rPr>
          <w:color w:val="414042" w:themeColor="text1"/>
        </w:rPr>
        <w:t>IBAC</w:t>
      </w:r>
      <w:proofErr w:type="spellEnd"/>
      <w:r w:rsidRPr="00DF3006">
        <w:rPr>
          <w:color w:val="414042" w:themeColor="text1"/>
        </w:rPr>
        <w:tab/>
        <w:t xml:space="preserve">Independent Broad-based Anti-corruption Commission </w:t>
      </w:r>
    </w:p>
    <w:p w14:paraId="379CDE22" w14:textId="77777777" w:rsidR="008D1425" w:rsidRPr="00DF3006" w:rsidRDefault="008D1425" w:rsidP="007A58C3">
      <w:pPr>
        <w:spacing w:before="120" w:after="0" w:line="260" w:lineRule="exact"/>
        <w:ind w:left="851" w:hanging="851"/>
        <w:rPr>
          <w:color w:val="414042" w:themeColor="text1"/>
          <w:szCs w:val="20"/>
        </w:rPr>
      </w:pPr>
      <w:r w:rsidRPr="00DF3006">
        <w:rPr>
          <w:color w:val="414042" w:themeColor="text1"/>
          <w:szCs w:val="20"/>
        </w:rPr>
        <w:t>ICAC</w:t>
      </w:r>
      <w:r w:rsidRPr="00DF3006">
        <w:rPr>
          <w:color w:val="414042" w:themeColor="text1"/>
          <w:szCs w:val="20"/>
        </w:rPr>
        <w:tab/>
        <w:t xml:space="preserve">Independent Commission Against Corruption </w:t>
      </w:r>
    </w:p>
    <w:p w14:paraId="18028EE7"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ICMS</w:t>
      </w:r>
      <w:r w:rsidRPr="00DF3006">
        <w:rPr>
          <w:color w:val="414042" w:themeColor="text1"/>
        </w:rPr>
        <w:tab/>
        <w:t>Integrated Case Management System</w:t>
      </w:r>
    </w:p>
    <w:p w14:paraId="3530F183"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ICP</w:t>
      </w:r>
      <w:proofErr w:type="spellEnd"/>
      <w:r w:rsidRPr="00DF3006">
        <w:rPr>
          <w:color w:val="414042" w:themeColor="text1"/>
        </w:rPr>
        <w:tab/>
        <w:t>Investigation Consultation Process</w:t>
      </w:r>
    </w:p>
    <w:p w14:paraId="31ADEDE8"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IPNDe</w:t>
      </w:r>
      <w:proofErr w:type="spellEnd"/>
      <w:r w:rsidRPr="00DF3006">
        <w:rPr>
          <w:color w:val="414042" w:themeColor="text1"/>
        </w:rPr>
        <w:tab/>
        <w:t xml:space="preserve">Integrated Public Number Database </w:t>
      </w:r>
    </w:p>
    <w:p w14:paraId="788CA369"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JAMC</w:t>
      </w:r>
      <w:r w:rsidRPr="00DF3006">
        <w:rPr>
          <w:color w:val="414042" w:themeColor="text1"/>
        </w:rPr>
        <w:tab/>
        <w:t>Joint Assessment and Moderation Committee</w:t>
      </w:r>
    </w:p>
    <w:p w14:paraId="4665F3F2"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MHFA</w:t>
      </w:r>
      <w:proofErr w:type="spellEnd"/>
      <w:r w:rsidRPr="00DF3006">
        <w:rPr>
          <w:color w:val="414042" w:themeColor="text1"/>
        </w:rPr>
        <w:tab/>
        <w:t>Mental Health First Aid</w:t>
      </w:r>
    </w:p>
    <w:p w14:paraId="504C6E0B"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NACIN</w:t>
      </w:r>
      <w:proofErr w:type="spellEnd"/>
      <w:r w:rsidRPr="00DF3006">
        <w:rPr>
          <w:color w:val="414042" w:themeColor="text1"/>
        </w:rPr>
        <w:t xml:space="preserve"> </w:t>
      </w:r>
      <w:r w:rsidRPr="00DF3006">
        <w:rPr>
          <w:color w:val="414042" w:themeColor="text1"/>
        </w:rPr>
        <w:tab/>
        <w:t xml:space="preserve">National Anti-Corruption Investigator Network </w:t>
      </w:r>
    </w:p>
    <w:p w14:paraId="1F2681C0"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NAIDOC</w:t>
      </w:r>
      <w:proofErr w:type="spellEnd"/>
      <w:r w:rsidRPr="00DF3006">
        <w:rPr>
          <w:color w:val="414042" w:themeColor="text1"/>
        </w:rPr>
        <w:tab/>
        <w:t>National Aborigines and Islanders Day Observance Committee</w:t>
      </w:r>
    </w:p>
    <w:p w14:paraId="234C6FDA" w14:textId="77777777" w:rsidR="008D1425" w:rsidRPr="00DF3006" w:rsidRDefault="008D1425" w:rsidP="00EA38DD">
      <w:pPr>
        <w:spacing w:before="120" w:after="0" w:line="260" w:lineRule="exact"/>
        <w:ind w:left="851" w:hanging="851"/>
        <w:rPr>
          <w:color w:val="414042" w:themeColor="text1"/>
        </w:rPr>
      </w:pPr>
      <w:r w:rsidRPr="00DF3006">
        <w:rPr>
          <w:color w:val="414042" w:themeColor="text1"/>
        </w:rPr>
        <w:t>NIN</w:t>
      </w:r>
      <w:r w:rsidRPr="00DF3006">
        <w:rPr>
          <w:color w:val="414042" w:themeColor="text1"/>
        </w:rPr>
        <w:tab/>
        <w:t>National Intelligence Network</w:t>
      </w:r>
    </w:p>
    <w:p w14:paraId="466BD483"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NSW</w:t>
      </w:r>
      <w:r w:rsidRPr="00DF3006">
        <w:rPr>
          <w:color w:val="414042" w:themeColor="text1"/>
        </w:rPr>
        <w:tab/>
        <w:t>New South Wales</w:t>
      </w:r>
    </w:p>
    <w:p w14:paraId="31C48905"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ODPP</w:t>
      </w:r>
      <w:r w:rsidRPr="00DF3006">
        <w:rPr>
          <w:color w:val="414042" w:themeColor="text1"/>
        </w:rPr>
        <w:tab/>
        <w:t>Office of the Director of Public Prosecutions</w:t>
      </w:r>
    </w:p>
    <w:p w14:paraId="5BC96014"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OMCG</w:t>
      </w:r>
      <w:r w:rsidRPr="00DF3006">
        <w:rPr>
          <w:color w:val="414042" w:themeColor="text1"/>
        </w:rPr>
        <w:tab/>
        <w:t>Outlaw Motorcycle Gang</w:t>
      </w:r>
    </w:p>
    <w:p w14:paraId="5777C23F"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spacing w:val="-4"/>
        </w:rPr>
        <w:t>OS&amp;W</w:t>
      </w:r>
      <w:proofErr w:type="spellEnd"/>
      <w:r w:rsidRPr="00DF3006">
        <w:rPr>
          <w:color w:val="414042" w:themeColor="text1"/>
          <w:spacing w:val="-4"/>
        </w:rPr>
        <w:t xml:space="preserve"> </w:t>
      </w:r>
      <w:r w:rsidRPr="00DF3006">
        <w:rPr>
          <w:color w:val="414042" w:themeColor="text1"/>
          <w:spacing w:val="-4"/>
        </w:rPr>
        <w:tab/>
        <w:t>Organisational Safety and Wellbeing Committee</w:t>
      </w:r>
      <w:r w:rsidRPr="00DF3006">
        <w:rPr>
          <w:color w:val="414042" w:themeColor="text1"/>
        </w:rPr>
        <w:t xml:space="preserve"> </w:t>
      </w:r>
    </w:p>
    <w:p w14:paraId="2863C2B4"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PAICE</w:t>
      </w:r>
      <w:proofErr w:type="spellEnd"/>
      <w:r w:rsidRPr="00DF3006">
        <w:rPr>
          <w:color w:val="414042" w:themeColor="text1"/>
        </w:rPr>
        <w:tab/>
        <w:t>People, Accountability, Integrity, Courage, Excellence (the CCC values)</w:t>
      </w:r>
    </w:p>
    <w:p w14:paraId="163148BD"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PCCC</w:t>
      </w:r>
      <w:r w:rsidRPr="00DF3006">
        <w:rPr>
          <w:color w:val="414042" w:themeColor="text1"/>
        </w:rPr>
        <w:tab/>
        <w:t>Parliamentary Crime and Corruption Committee</w:t>
      </w:r>
    </w:p>
    <w:p w14:paraId="7BC029DD"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PDA</w:t>
      </w:r>
      <w:r w:rsidRPr="00DF3006">
        <w:rPr>
          <w:color w:val="414042" w:themeColor="text1"/>
        </w:rPr>
        <w:tab/>
        <w:t>Performance and Development Agreement</w:t>
      </w:r>
    </w:p>
    <w:p w14:paraId="1612EDC3"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QAO</w:t>
      </w:r>
      <w:r w:rsidRPr="00DF3006">
        <w:rPr>
          <w:color w:val="414042" w:themeColor="text1"/>
        </w:rPr>
        <w:tab/>
        <w:t>Queensland Audit Office</w:t>
      </w:r>
    </w:p>
    <w:p w14:paraId="6F3809A9"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QJAG</w:t>
      </w:r>
      <w:proofErr w:type="spellEnd"/>
      <w:r w:rsidRPr="00DF3006">
        <w:rPr>
          <w:color w:val="414042" w:themeColor="text1"/>
        </w:rPr>
        <w:tab/>
        <w:t>Queensland Joint Analyst Group</w:t>
      </w:r>
    </w:p>
    <w:p w14:paraId="53D77E99"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Qld</w:t>
      </w:r>
      <w:r w:rsidRPr="00DF3006">
        <w:rPr>
          <w:color w:val="414042" w:themeColor="text1"/>
        </w:rPr>
        <w:tab/>
        <w:t>Queensland</w:t>
      </w:r>
    </w:p>
    <w:p w14:paraId="0D208422"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QPS</w:t>
      </w:r>
      <w:r w:rsidRPr="00DF3006">
        <w:rPr>
          <w:color w:val="414042" w:themeColor="text1"/>
        </w:rPr>
        <w:tab/>
        <w:t>Queensland Police Service</w:t>
      </w:r>
    </w:p>
    <w:p w14:paraId="3379C9F2" w14:textId="77777777" w:rsidR="008D1425" w:rsidRPr="00DF3006" w:rsidRDefault="008D1425" w:rsidP="007A58C3">
      <w:pPr>
        <w:spacing w:before="120" w:after="0" w:line="260" w:lineRule="exact"/>
        <w:ind w:left="851" w:hanging="851"/>
        <w:rPr>
          <w:color w:val="414042" w:themeColor="text1"/>
        </w:rPr>
      </w:pPr>
      <w:proofErr w:type="spellStart"/>
      <w:r w:rsidRPr="00DF3006">
        <w:rPr>
          <w:color w:val="414042" w:themeColor="text1"/>
        </w:rPr>
        <w:t>QSA</w:t>
      </w:r>
      <w:proofErr w:type="spellEnd"/>
      <w:r w:rsidRPr="00DF3006">
        <w:rPr>
          <w:color w:val="414042" w:themeColor="text1"/>
        </w:rPr>
        <w:tab/>
        <w:t>Queensland State Archives</w:t>
      </w:r>
    </w:p>
    <w:p w14:paraId="6245083A"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TI</w:t>
      </w:r>
      <w:r w:rsidRPr="00DF3006">
        <w:rPr>
          <w:color w:val="414042" w:themeColor="text1"/>
        </w:rPr>
        <w:tab/>
      </w:r>
      <w:r w:rsidRPr="00DF3006">
        <w:rPr>
          <w:i/>
          <w:iCs/>
          <w:color w:val="414042" w:themeColor="text1"/>
        </w:rPr>
        <w:t>Telecommunications Interception Act 2009</w:t>
      </w:r>
      <w:r w:rsidRPr="00DF3006">
        <w:rPr>
          <w:color w:val="414042" w:themeColor="text1"/>
        </w:rPr>
        <w:t xml:space="preserve"> (Qld)</w:t>
      </w:r>
    </w:p>
    <w:p w14:paraId="0D598592" w14:textId="77777777" w:rsidR="008D1425" w:rsidRPr="00DF3006" w:rsidRDefault="008D1425" w:rsidP="000B6342">
      <w:pPr>
        <w:spacing w:before="120" w:after="0" w:line="260" w:lineRule="exact"/>
        <w:ind w:left="851" w:hanging="851"/>
        <w:rPr>
          <w:color w:val="414042" w:themeColor="text1"/>
        </w:rPr>
      </w:pPr>
      <w:r w:rsidRPr="00DF3006">
        <w:rPr>
          <w:color w:val="414042" w:themeColor="text1"/>
        </w:rPr>
        <w:t>TIA</w:t>
      </w:r>
      <w:r w:rsidRPr="00DF3006">
        <w:rPr>
          <w:color w:val="414042" w:themeColor="text1"/>
        </w:rPr>
        <w:tab/>
      </w:r>
      <w:r w:rsidRPr="00DF3006">
        <w:rPr>
          <w:i/>
          <w:iCs/>
          <w:color w:val="414042" w:themeColor="text1"/>
        </w:rPr>
        <w:t>Telecommunications (Interception and Access) Act 1979</w:t>
      </w:r>
      <w:r w:rsidRPr="00DF3006">
        <w:rPr>
          <w:color w:val="414042" w:themeColor="text1"/>
        </w:rPr>
        <w:t xml:space="preserve"> (</w:t>
      </w:r>
      <w:proofErr w:type="spellStart"/>
      <w:r w:rsidRPr="00DF3006">
        <w:rPr>
          <w:color w:val="414042" w:themeColor="text1"/>
        </w:rPr>
        <w:t>Cth</w:t>
      </w:r>
      <w:proofErr w:type="spellEnd"/>
      <w:r w:rsidRPr="00DF3006">
        <w:rPr>
          <w:color w:val="414042" w:themeColor="text1"/>
        </w:rPr>
        <w:t>) (TIA Act)</w:t>
      </w:r>
    </w:p>
    <w:p w14:paraId="3E65E61D"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UPA</w:t>
      </w:r>
      <w:r w:rsidRPr="00DF3006">
        <w:rPr>
          <w:color w:val="414042" w:themeColor="text1"/>
        </w:rPr>
        <w:tab/>
        <w:t>Units of public administration</w:t>
      </w:r>
    </w:p>
    <w:p w14:paraId="6639C997" w14:textId="77777777" w:rsidR="008D1425" w:rsidRPr="00DF3006" w:rsidRDefault="008D1425" w:rsidP="007A58C3">
      <w:pPr>
        <w:spacing w:before="120" w:after="0" w:line="260" w:lineRule="exact"/>
        <w:ind w:left="851" w:hanging="851"/>
        <w:rPr>
          <w:color w:val="414042" w:themeColor="text1"/>
        </w:rPr>
      </w:pPr>
      <w:r w:rsidRPr="00DF3006">
        <w:rPr>
          <w:color w:val="414042" w:themeColor="text1"/>
        </w:rPr>
        <w:t>VCG</w:t>
      </w:r>
      <w:r w:rsidRPr="00DF3006">
        <w:rPr>
          <w:color w:val="414042" w:themeColor="text1"/>
        </w:rPr>
        <w:tab/>
        <w:t>Values and Culture Group</w:t>
      </w:r>
    </w:p>
    <w:p w14:paraId="4C6E0A30" w14:textId="77777777" w:rsidR="00FF7819" w:rsidRPr="00DF3006" w:rsidRDefault="00FF7819" w:rsidP="00FF7819">
      <w:pPr>
        <w:rPr>
          <w:i/>
          <w:iCs/>
          <w:strike/>
          <w:color w:val="414042" w:themeColor="text1"/>
        </w:rPr>
      </w:pPr>
    </w:p>
    <w:p w14:paraId="056298AE" w14:textId="24C59EE9" w:rsidR="00FF7819" w:rsidRPr="00DF3006" w:rsidRDefault="00FF7819" w:rsidP="00FF7819">
      <w:pPr>
        <w:rPr>
          <w:color w:val="414042" w:themeColor="text1"/>
        </w:rPr>
        <w:sectPr w:rsidR="00FF7819" w:rsidRPr="00DF3006" w:rsidSect="00C77834">
          <w:type w:val="continuous"/>
          <w:pgSz w:w="11906" w:h="16838" w:code="9"/>
          <w:pgMar w:top="2155" w:right="1134" w:bottom="964" w:left="1134" w:header="720" w:footer="284" w:gutter="0"/>
          <w:cols w:num="2" w:space="567"/>
          <w:noEndnote/>
          <w:docGrid w:linePitch="272"/>
        </w:sectPr>
      </w:pPr>
    </w:p>
    <w:p w14:paraId="55CB7733" w14:textId="77777777" w:rsidR="005844CA" w:rsidRPr="00DF3006" w:rsidRDefault="005844CA" w:rsidP="00E018C4">
      <w:pPr>
        <w:rPr>
          <w:strike/>
          <w:color w:val="414042" w:themeColor="text1"/>
        </w:rPr>
      </w:pPr>
    </w:p>
    <w:p w14:paraId="54A417A5" w14:textId="4F4E0A58" w:rsidR="000A4898" w:rsidRPr="00DF3006" w:rsidRDefault="000A4898" w:rsidP="00E018C4">
      <w:pPr>
        <w:rPr>
          <w:color w:val="414042" w:themeColor="text1"/>
        </w:rPr>
      </w:pPr>
      <w:r w:rsidRPr="00DF3006">
        <w:rPr>
          <w:color w:val="414042" w:themeColor="text1"/>
        </w:rPr>
        <w:br w:type="page"/>
      </w:r>
    </w:p>
    <w:p w14:paraId="716E1F85" w14:textId="77777777" w:rsidR="000A4898" w:rsidRPr="00DF3006" w:rsidRDefault="000A4898" w:rsidP="00E018C4">
      <w:pPr>
        <w:rPr>
          <w:strike/>
          <w:color w:val="414042" w:themeColor="text1"/>
        </w:rPr>
        <w:sectPr w:rsidR="000A4898" w:rsidRPr="00DF3006" w:rsidSect="00C77834">
          <w:type w:val="continuous"/>
          <w:pgSz w:w="11906" w:h="16838" w:code="9"/>
          <w:pgMar w:top="2155" w:right="1134" w:bottom="964" w:left="1134" w:header="720" w:footer="284" w:gutter="0"/>
          <w:cols w:num="2" w:space="567"/>
          <w:noEndnote/>
          <w:docGrid w:linePitch="272"/>
        </w:sectPr>
      </w:pPr>
    </w:p>
    <w:p w14:paraId="413D2995" w14:textId="3F3F8F17" w:rsidR="00387DE0" w:rsidRPr="00DF3006" w:rsidRDefault="00714F06" w:rsidP="00F83949">
      <w:pPr>
        <w:pStyle w:val="Heading2"/>
      </w:pPr>
      <w:bookmarkStart w:id="1995" w:name="AppB"/>
      <w:bookmarkStart w:id="1996" w:name="_Appendix_C_"/>
      <w:bookmarkStart w:id="1997" w:name="_Toc102038164"/>
      <w:bookmarkStart w:id="1998" w:name="_Toc102038525"/>
      <w:bookmarkStart w:id="1999" w:name="_Toc102038886"/>
      <w:bookmarkStart w:id="2000" w:name="_Toc102039238"/>
      <w:bookmarkStart w:id="2001" w:name="_Toc102039587"/>
      <w:bookmarkStart w:id="2002" w:name="_Toc102039949"/>
      <w:bookmarkStart w:id="2003" w:name="_Toc102040275"/>
      <w:bookmarkStart w:id="2004" w:name="_Toc102040603"/>
      <w:bookmarkStart w:id="2005" w:name="_Toc102040937"/>
      <w:bookmarkStart w:id="2006" w:name="_Toc102041265"/>
      <w:bookmarkStart w:id="2007" w:name="_Toc102041594"/>
      <w:bookmarkStart w:id="2008" w:name="_Toc102041926"/>
      <w:bookmarkStart w:id="2009" w:name="_Toc102042253"/>
      <w:bookmarkStart w:id="2010" w:name="_Toc102042583"/>
      <w:bookmarkStart w:id="2011" w:name="_Toc102045713"/>
      <w:bookmarkEnd w:id="1995"/>
      <w:bookmarkEnd w:id="1996"/>
      <w:r w:rsidRPr="00DF3006">
        <w:rPr>
          <w:rFonts w:asciiTheme="minorHAnsi" w:hAnsiTheme="minorHAnsi" w:cstheme="minorHAnsi"/>
          <w:b/>
          <w:bCs/>
        </w:rPr>
        <w:t xml:space="preserve">Appendix </w:t>
      </w:r>
      <w:r w:rsidR="005268F0" w:rsidRPr="00DF3006">
        <w:rPr>
          <w:rFonts w:asciiTheme="minorHAnsi" w:hAnsiTheme="minorHAnsi" w:cstheme="minorHAnsi"/>
          <w:b/>
          <w:bCs/>
        </w:rPr>
        <w:t>C</w:t>
      </w:r>
      <w:r w:rsidRPr="00DF3006">
        <w:rPr>
          <w:rFonts w:asciiTheme="minorHAnsi" w:hAnsiTheme="minorHAnsi" w:cstheme="minorHAnsi"/>
          <w:b/>
          <w:bCs/>
        </w:rPr>
        <w:t xml:space="preserve">  </w:t>
      </w:r>
      <w:r w:rsidRPr="00DF3006">
        <w:rPr>
          <w:rFonts w:asciiTheme="minorHAnsi" w:hAnsiTheme="minorHAnsi" w:cstheme="minorHAnsi"/>
        </w:rPr>
        <w:t>|</w:t>
      </w:r>
      <w:r w:rsidRPr="00DF3006">
        <w:rPr>
          <w:rFonts w:asciiTheme="minorHAnsi" w:hAnsiTheme="minorHAnsi" w:cstheme="minorHAnsi"/>
          <w:b/>
          <w:bCs/>
        </w:rPr>
        <w:t xml:space="preserve">  </w:t>
      </w:r>
      <w:r w:rsidR="00387DE0" w:rsidRPr="00DF3006">
        <w:t xml:space="preserve">Compliance </w:t>
      </w:r>
      <w:r w:rsidR="007442A7" w:rsidRPr="00DF3006">
        <w:t>c</w:t>
      </w:r>
      <w:r w:rsidR="00387DE0" w:rsidRPr="00DF3006">
        <w:t>hecklist</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sidR="00387DE0" w:rsidRPr="00DF3006">
        <w:t xml:space="preserve"> </w:t>
      </w:r>
    </w:p>
    <w:tbl>
      <w:tblPr>
        <w:tblW w:w="5000" w:type="pct"/>
        <w:tblBorders>
          <w:top w:val="single" w:sz="4" w:space="0" w:color="58595B" w:themeColor="text2"/>
          <w:bottom w:val="single" w:sz="4" w:space="0" w:color="58595B" w:themeColor="text2"/>
          <w:insideH w:val="single" w:sz="4" w:space="0" w:color="58595B" w:themeColor="text2"/>
          <w:insideV w:val="single" w:sz="4" w:space="0" w:color="58595B" w:themeColor="text2"/>
        </w:tblBorders>
        <w:tblLook w:val="01E0" w:firstRow="1" w:lastRow="1" w:firstColumn="1" w:lastColumn="1" w:noHBand="0" w:noVBand="0"/>
      </w:tblPr>
      <w:tblGrid>
        <w:gridCol w:w="2269"/>
        <w:gridCol w:w="3543"/>
        <w:gridCol w:w="2126"/>
        <w:gridCol w:w="1700"/>
      </w:tblGrid>
      <w:tr w:rsidR="00DF3006" w:rsidRPr="00DF3006" w14:paraId="1EBAAD07" w14:textId="77777777" w:rsidTr="00B267CC">
        <w:trPr>
          <w:cantSplit/>
          <w:tblHeader/>
        </w:trPr>
        <w:tc>
          <w:tcPr>
            <w:tcW w:w="3015" w:type="pct"/>
            <w:gridSpan w:val="2"/>
            <w:shd w:val="clear" w:color="auto" w:fill="E6E6E6"/>
            <w:vAlign w:val="center"/>
          </w:tcPr>
          <w:p w14:paraId="588AE1F3" w14:textId="77777777" w:rsidR="00B267CC" w:rsidRPr="00DF3006" w:rsidRDefault="00B267CC" w:rsidP="00573772">
            <w:pPr>
              <w:pStyle w:val="Text"/>
              <w:spacing w:before="0" w:after="0"/>
              <w:rPr>
                <w:rFonts w:asciiTheme="minorHAnsi" w:hAnsiTheme="minorHAnsi" w:cstheme="minorHAnsi"/>
                <w:b/>
                <w:color w:val="414042" w:themeColor="text1"/>
                <w:sz w:val="18"/>
                <w:szCs w:val="18"/>
              </w:rPr>
            </w:pPr>
            <w:r w:rsidRPr="00DF3006">
              <w:rPr>
                <w:rFonts w:asciiTheme="minorHAnsi" w:hAnsiTheme="minorHAnsi" w:cstheme="minorHAnsi"/>
                <w:b/>
                <w:color w:val="414042" w:themeColor="text1"/>
                <w:sz w:val="18"/>
                <w:szCs w:val="18"/>
              </w:rPr>
              <w:t>Summary of requirement</w:t>
            </w:r>
          </w:p>
        </w:tc>
        <w:tc>
          <w:tcPr>
            <w:tcW w:w="1103" w:type="pct"/>
            <w:shd w:val="clear" w:color="auto" w:fill="E6E6E6"/>
            <w:vAlign w:val="center"/>
          </w:tcPr>
          <w:p w14:paraId="630B02C3" w14:textId="77777777" w:rsidR="00B267CC" w:rsidRPr="00DF3006" w:rsidRDefault="00B267CC" w:rsidP="00573772">
            <w:pPr>
              <w:pStyle w:val="Text"/>
              <w:spacing w:before="0" w:after="0"/>
              <w:jc w:val="center"/>
              <w:rPr>
                <w:rFonts w:asciiTheme="minorHAnsi" w:hAnsiTheme="minorHAnsi" w:cstheme="minorHAnsi"/>
                <w:b/>
                <w:color w:val="414042" w:themeColor="text1"/>
                <w:sz w:val="18"/>
                <w:szCs w:val="18"/>
              </w:rPr>
            </w:pPr>
            <w:r w:rsidRPr="00DF3006">
              <w:rPr>
                <w:rFonts w:asciiTheme="minorHAnsi" w:hAnsiTheme="minorHAnsi" w:cstheme="minorHAnsi"/>
                <w:b/>
                <w:color w:val="414042" w:themeColor="text1"/>
                <w:sz w:val="18"/>
                <w:szCs w:val="18"/>
              </w:rPr>
              <w:t>Basis for requirement</w:t>
            </w:r>
          </w:p>
        </w:tc>
        <w:tc>
          <w:tcPr>
            <w:tcW w:w="882" w:type="pct"/>
            <w:shd w:val="clear" w:color="auto" w:fill="E6E6E6"/>
            <w:vAlign w:val="center"/>
          </w:tcPr>
          <w:p w14:paraId="3875EABA" w14:textId="77777777" w:rsidR="00B267CC" w:rsidRPr="00DF3006" w:rsidRDefault="00B267CC" w:rsidP="00573772">
            <w:pPr>
              <w:pStyle w:val="Text"/>
              <w:spacing w:before="0" w:after="0"/>
              <w:jc w:val="center"/>
              <w:rPr>
                <w:rFonts w:asciiTheme="minorHAnsi" w:hAnsiTheme="minorHAnsi" w:cstheme="minorHAnsi"/>
                <w:b/>
                <w:color w:val="414042" w:themeColor="text1"/>
                <w:sz w:val="18"/>
                <w:szCs w:val="18"/>
              </w:rPr>
            </w:pPr>
            <w:r w:rsidRPr="00DF3006">
              <w:rPr>
                <w:rFonts w:asciiTheme="minorHAnsi" w:hAnsiTheme="minorHAnsi" w:cstheme="minorHAnsi"/>
                <w:b/>
                <w:color w:val="414042" w:themeColor="text1"/>
                <w:sz w:val="18"/>
                <w:szCs w:val="18"/>
              </w:rPr>
              <w:t>Annual report reference</w:t>
            </w:r>
          </w:p>
        </w:tc>
      </w:tr>
      <w:tr w:rsidR="00DF3006" w:rsidRPr="00DF3006" w14:paraId="1DD1ACF0" w14:textId="77777777" w:rsidTr="0079589E">
        <w:trPr>
          <w:cantSplit/>
        </w:trPr>
        <w:tc>
          <w:tcPr>
            <w:tcW w:w="1177" w:type="pct"/>
          </w:tcPr>
          <w:p w14:paraId="7A8C95A5"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Letter of compliance</w:t>
            </w:r>
          </w:p>
        </w:tc>
        <w:tc>
          <w:tcPr>
            <w:tcW w:w="1838" w:type="pct"/>
          </w:tcPr>
          <w:p w14:paraId="7E55CC4E"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A letter of compliance from the accountable officer or statutory body to the relevant Minister/s</w:t>
            </w:r>
          </w:p>
        </w:tc>
        <w:tc>
          <w:tcPr>
            <w:tcW w:w="1103" w:type="pct"/>
            <w:shd w:val="clear" w:color="auto" w:fill="auto"/>
          </w:tcPr>
          <w:p w14:paraId="3C8BC5CC"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i/>
                <w:color w:val="414042" w:themeColor="text1"/>
                <w:sz w:val="14"/>
                <w:szCs w:val="14"/>
              </w:rPr>
              <w:t xml:space="preserve"> – </w:t>
            </w:r>
            <w:r w:rsidRPr="00DF3006">
              <w:rPr>
                <w:rFonts w:asciiTheme="minorHAnsi" w:hAnsiTheme="minorHAnsi" w:cstheme="minorHAnsi"/>
                <w:color w:val="414042" w:themeColor="text1"/>
                <w:sz w:val="14"/>
                <w:szCs w:val="14"/>
              </w:rPr>
              <w:t>section 7</w:t>
            </w:r>
          </w:p>
        </w:tc>
        <w:tc>
          <w:tcPr>
            <w:tcW w:w="882" w:type="pct"/>
            <w:shd w:val="clear" w:color="auto" w:fill="auto"/>
            <w:vAlign w:val="center"/>
          </w:tcPr>
          <w:p w14:paraId="592FE785" w14:textId="72DB434F" w:rsidR="00B267CC" w:rsidRPr="00DF3006" w:rsidRDefault="001537BD"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4</w:t>
            </w:r>
          </w:p>
        </w:tc>
      </w:tr>
      <w:tr w:rsidR="00DF3006" w:rsidRPr="00DF3006" w14:paraId="02EBBA56" w14:textId="77777777" w:rsidTr="0079589E">
        <w:trPr>
          <w:cantSplit/>
        </w:trPr>
        <w:tc>
          <w:tcPr>
            <w:tcW w:w="1177" w:type="pct"/>
            <w:vMerge w:val="restart"/>
          </w:tcPr>
          <w:p w14:paraId="0FE441F1"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r w:rsidRPr="00DF3006">
              <w:rPr>
                <w:rFonts w:asciiTheme="minorHAnsi" w:hAnsiTheme="minorHAnsi" w:cstheme="minorHAnsi"/>
                <w:b/>
                <w:bCs/>
                <w:color w:val="414042" w:themeColor="text1"/>
                <w:sz w:val="16"/>
                <w:szCs w:val="16"/>
              </w:rPr>
              <w:t>Accessibility</w:t>
            </w:r>
          </w:p>
        </w:tc>
        <w:tc>
          <w:tcPr>
            <w:tcW w:w="1838" w:type="pct"/>
          </w:tcPr>
          <w:p w14:paraId="42C26A5B"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Table of contents</w:t>
            </w:r>
          </w:p>
          <w:p w14:paraId="3776FA8D"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Glossary</w:t>
            </w:r>
          </w:p>
        </w:tc>
        <w:tc>
          <w:tcPr>
            <w:tcW w:w="1103" w:type="pct"/>
            <w:shd w:val="clear" w:color="auto" w:fill="auto"/>
          </w:tcPr>
          <w:p w14:paraId="6A76D6BA"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9.1</w:t>
            </w:r>
          </w:p>
        </w:tc>
        <w:tc>
          <w:tcPr>
            <w:tcW w:w="882" w:type="pct"/>
            <w:shd w:val="clear" w:color="auto" w:fill="auto"/>
            <w:vAlign w:val="center"/>
          </w:tcPr>
          <w:p w14:paraId="6C187FCD" w14:textId="4ACEAB45" w:rsidR="00B267CC" w:rsidRPr="00DF3006" w:rsidRDefault="001537BD"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5</w:t>
            </w:r>
            <w:r w:rsidR="00F762E4" w:rsidRPr="00DF3006">
              <w:rPr>
                <w:rFonts w:asciiTheme="majorHAnsi" w:hAnsiTheme="majorHAnsi" w:cstheme="majorHAnsi"/>
                <w:color w:val="414042" w:themeColor="text1"/>
                <w:sz w:val="14"/>
                <w:szCs w:val="14"/>
              </w:rPr>
              <w:t xml:space="preserve">, </w:t>
            </w:r>
            <w:r w:rsidRPr="00DF3006">
              <w:rPr>
                <w:rFonts w:asciiTheme="majorHAnsi" w:hAnsiTheme="majorHAnsi" w:cstheme="majorHAnsi"/>
                <w:color w:val="414042" w:themeColor="text1"/>
                <w:sz w:val="14"/>
                <w:szCs w:val="14"/>
              </w:rPr>
              <w:t>125</w:t>
            </w:r>
          </w:p>
        </w:tc>
      </w:tr>
      <w:tr w:rsidR="00DF3006" w:rsidRPr="00DF3006" w14:paraId="758FBE0B" w14:textId="77777777" w:rsidTr="0079589E">
        <w:trPr>
          <w:cantSplit/>
        </w:trPr>
        <w:tc>
          <w:tcPr>
            <w:tcW w:w="1177" w:type="pct"/>
            <w:vMerge/>
          </w:tcPr>
          <w:p w14:paraId="28582739"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58E56F1A"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Public availability</w:t>
            </w:r>
          </w:p>
        </w:tc>
        <w:tc>
          <w:tcPr>
            <w:tcW w:w="1103" w:type="pct"/>
            <w:shd w:val="clear" w:color="auto" w:fill="auto"/>
          </w:tcPr>
          <w:p w14:paraId="74E42E88"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9.2</w:t>
            </w:r>
          </w:p>
        </w:tc>
        <w:tc>
          <w:tcPr>
            <w:tcW w:w="882" w:type="pct"/>
            <w:shd w:val="clear" w:color="auto" w:fill="auto"/>
            <w:vAlign w:val="center"/>
          </w:tcPr>
          <w:p w14:paraId="70D9FB6F" w14:textId="68135662" w:rsidR="00B267CC" w:rsidRPr="00DF3006" w:rsidRDefault="001537BD"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2</w:t>
            </w:r>
            <w:r w:rsidR="00B267CC" w:rsidRPr="00DF3006">
              <w:rPr>
                <w:rFonts w:asciiTheme="majorHAnsi" w:hAnsiTheme="majorHAnsi" w:cstheme="majorHAnsi"/>
                <w:color w:val="414042" w:themeColor="text1"/>
                <w:sz w:val="14"/>
                <w:szCs w:val="14"/>
              </w:rPr>
              <w:t xml:space="preserve">, </w:t>
            </w:r>
            <w:r w:rsidRPr="00DF3006">
              <w:rPr>
                <w:rFonts w:asciiTheme="majorHAnsi" w:hAnsiTheme="majorHAnsi" w:cstheme="majorHAnsi"/>
                <w:color w:val="414042" w:themeColor="text1"/>
                <w:sz w:val="14"/>
                <w:szCs w:val="14"/>
              </w:rPr>
              <w:t>4</w:t>
            </w:r>
          </w:p>
        </w:tc>
      </w:tr>
      <w:tr w:rsidR="00DF3006" w:rsidRPr="00DF3006" w14:paraId="3E33208C" w14:textId="77777777" w:rsidTr="0079589E">
        <w:trPr>
          <w:cantSplit/>
        </w:trPr>
        <w:tc>
          <w:tcPr>
            <w:tcW w:w="1177" w:type="pct"/>
            <w:vMerge/>
          </w:tcPr>
          <w:p w14:paraId="267A9B6B"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48A90F3E"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Interpreter service statement</w:t>
            </w:r>
          </w:p>
        </w:tc>
        <w:tc>
          <w:tcPr>
            <w:tcW w:w="1103" w:type="pct"/>
            <w:shd w:val="clear" w:color="auto" w:fill="auto"/>
          </w:tcPr>
          <w:p w14:paraId="18BAA048"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r w:rsidRPr="00DF3006">
              <w:rPr>
                <w:rFonts w:asciiTheme="minorHAnsi" w:hAnsiTheme="minorHAnsi" w:cstheme="minorHAnsi"/>
                <w:i/>
                <w:color w:val="414042" w:themeColor="text1"/>
                <w:sz w:val="14"/>
                <w:szCs w:val="14"/>
              </w:rPr>
              <w:t>Queensland Government Language Services Policy</w:t>
            </w:r>
          </w:p>
          <w:p w14:paraId="4AA3AD11"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9.3</w:t>
            </w:r>
          </w:p>
        </w:tc>
        <w:tc>
          <w:tcPr>
            <w:tcW w:w="882" w:type="pct"/>
            <w:shd w:val="clear" w:color="auto" w:fill="auto"/>
            <w:vAlign w:val="center"/>
          </w:tcPr>
          <w:p w14:paraId="043346E3" w14:textId="4AB1314C" w:rsidR="00B267CC" w:rsidRPr="00DF3006" w:rsidRDefault="006904F0"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4</w:t>
            </w:r>
          </w:p>
        </w:tc>
      </w:tr>
      <w:tr w:rsidR="00DF3006" w:rsidRPr="00DF3006" w14:paraId="720481CF" w14:textId="77777777" w:rsidTr="0079589E">
        <w:trPr>
          <w:cantSplit/>
        </w:trPr>
        <w:tc>
          <w:tcPr>
            <w:tcW w:w="1177" w:type="pct"/>
            <w:vMerge/>
          </w:tcPr>
          <w:p w14:paraId="4A746989"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6F017BF7"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Copyright notice</w:t>
            </w:r>
          </w:p>
        </w:tc>
        <w:tc>
          <w:tcPr>
            <w:tcW w:w="1103" w:type="pct"/>
            <w:shd w:val="clear" w:color="auto" w:fill="auto"/>
          </w:tcPr>
          <w:p w14:paraId="26FDB2B6"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r w:rsidRPr="00DF3006">
              <w:rPr>
                <w:rFonts w:asciiTheme="minorHAnsi" w:hAnsiTheme="minorHAnsi" w:cstheme="minorHAnsi"/>
                <w:i/>
                <w:color w:val="414042" w:themeColor="text1"/>
                <w:sz w:val="14"/>
                <w:szCs w:val="14"/>
              </w:rPr>
              <w:t>Copyright Act 1968</w:t>
            </w:r>
          </w:p>
          <w:p w14:paraId="6DBDACE2"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9.4</w:t>
            </w:r>
          </w:p>
        </w:tc>
        <w:tc>
          <w:tcPr>
            <w:tcW w:w="882" w:type="pct"/>
            <w:shd w:val="clear" w:color="auto" w:fill="auto"/>
            <w:vAlign w:val="center"/>
          </w:tcPr>
          <w:p w14:paraId="209E3FDB" w14:textId="12DEDD17" w:rsidR="00B267CC" w:rsidRPr="00DF3006" w:rsidRDefault="006904F0"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2</w:t>
            </w:r>
          </w:p>
        </w:tc>
      </w:tr>
      <w:tr w:rsidR="00DF3006" w:rsidRPr="00DF3006" w14:paraId="0C996500" w14:textId="77777777" w:rsidTr="0079589E">
        <w:trPr>
          <w:cantSplit/>
        </w:trPr>
        <w:tc>
          <w:tcPr>
            <w:tcW w:w="1177" w:type="pct"/>
            <w:vMerge/>
          </w:tcPr>
          <w:p w14:paraId="31F4C674"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166E2B7B"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Information Licensing</w:t>
            </w:r>
          </w:p>
        </w:tc>
        <w:tc>
          <w:tcPr>
            <w:tcW w:w="1103" w:type="pct"/>
            <w:shd w:val="clear" w:color="auto" w:fill="auto"/>
          </w:tcPr>
          <w:p w14:paraId="1B86D145"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proofErr w:type="spellStart"/>
            <w:r w:rsidRPr="00DF3006">
              <w:rPr>
                <w:rFonts w:asciiTheme="minorHAnsi" w:hAnsiTheme="minorHAnsi" w:cstheme="minorHAnsi"/>
                <w:i/>
                <w:color w:val="414042" w:themeColor="text1"/>
                <w:sz w:val="14"/>
                <w:szCs w:val="14"/>
              </w:rPr>
              <w:t>QGEA</w:t>
            </w:r>
            <w:proofErr w:type="spellEnd"/>
            <w:r w:rsidRPr="00DF3006">
              <w:rPr>
                <w:rFonts w:asciiTheme="minorHAnsi" w:hAnsiTheme="minorHAnsi" w:cstheme="minorHAnsi"/>
                <w:i/>
                <w:color w:val="414042" w:themeColor="text1"/>
                <w:sz w:val="14"/>
                <w:szCs w:val="14"/>
              </w:rPr>
              <w:t xml:space="preserve"> – Information Licensing</w:t>
            </w:r>
          </w:p>
          <w:p w14:paraId="1E1717C4"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9.5</w:t>
            </w:r>
          </w:p>
        </w:tc>
        <w:tc>
          <w:tcPr>
            <w:tcW w:w="882" w:type="pct"/>
            <w:shd w:val="clear" w:color="auto" w:fill="auto"/>
            <w:vAlign w:val="center"/>
          </w:tcPr>
          <w:p w14:paraId="76F7698E" w14:textId="17EE3230" w:rsidR="00B267CC" w:rsidRPr="00DF3006" w:rsidRDefault="006904F0"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2</w:t>
            </w:r>
          </w:p>
        </w:tc>
      </w:tr>
      <w:tr w:rsidR="00DF3006" w:rsidRPr="00DF3006" w14:paraId="683880E4" w14:textId="77777777" w:rsidTr="0079589E">
        <w:trPr>
          <w:cantSplit/>
          <w:trHeight w:val="485"/>
        </w:trPr>
        <w:tc>
          <w:tcPr>
            <w:tcW w:w="1177" w:type="pct"/>
          </w:tcPr>
          <w:p w14:paraId="73C46094"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General information</w:t>
            </w:r>
          </w:p>
        </w:tc>
        <w:tc>
          <w:tcPr>
            <w:tcW w:w="1838" w:type="pct"/>
          </w:tcPr>
          <w:p w14:paraId="4FB9F4B7"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Introductory Information</w:t>
            </w:r>
          </w:p>
        </w:tc>
        <w:tc>
          <w:tcPr>
            <w:tcW w:w="1103" w:type="pct"/>
            <w:shd w:val="clear" w:color="auto" w:fill="auto"/>
          </w:tcPr>
          <w:p w14:paraId="2BEE0080" w14:textId="77777777" w:rsidR="00B267CC" w:rsidRPr="00DF3006" w:rsidRDefault="00B267CC" w:rsidP="00573772">
            <w:pPr>
              <w:pStyle w:val="Text"/>
              <w:spacing w:before="0" w:after="0"/>
              <w:rPr>
                <w:rFonts w:asciiTheme="minorHAnsi" w:hAnsiTheme="minorHAnsi" w:cstheme="minorHAnsi"/>
                <w:color w:val="414042" w:themeColor="text1"/>
                <w:sz w:val="14"/>
                <w:szCs w:val="14"/>
                <w:lang w:val="fr-FR"/>
              </w:rPr>
            </w:pPr>
            <w:proofErr w:type="spellStart"/>
            <w:r w:rsidRPr="00DF3006">
              <w:rPr>
                <w:rFonts w:asciiTheme="minorHAnsi" w:hAnsiTheme="minorHAnsi" w:cstheme="minorHAnsi"/>
                <w:color w:val="414042" w:themeColor="text1"/>
                <w:sz w:val="14"/>
                <w:szCs w:val="14"/>
                <w:lang w:val="fr-FR"/>
              </w:rPr>
              <w:t>ARRs</w:t>
            </w:r>
            <w:proofErr w:type="spellEnd"/>
            <w:r w:rsidRPr="00DF3006">
              <w:rPr>
                <w:rFonts w:asciiTheme="minorHAnsi" w:hAnsiTheme="minorHAnsi" w:cstheme="minorHAnsi"/>
                <w:color w:val="414042" w:themeColor="text1"/>
                <w:sz w:val="14"/>
                <w:szCs w:val="14"/>
                <w:lang w:val="fr-FR"/>
              </w:rPr>
              <w:t xml:space="preserve"> – section </w:t>
            </w:r>
            <w:r w:rsidRPr="00DF3006">
              <w:rPr>
                <w:rFonts w:asciiTheme="minorHAnsi" w:hAnsiTheme="minorHAnsi" w:cstheme="minorHAnsi"/>
                <w:color w:val="414042" w:themeColor="text1"/>
                <w:sz w:val="14"/>
                <w:szCs w:val="14"/>
              </w:rPr>
              <w:t>10</w:t>
            </w:r>
          </w:p>
        </w:tc>
        <w:tc>
          <w:tcPr>
            <w:tcW w:w="882" w:type="pct"/>
            <w:shd w:val="clear" w:color="auto" w:fill="auto"/>
            <w:vAlign w:val="center"/>
          </w:tcPr>
          <w:p w14:paraId="6495F72E" w14:textId="269AD707" w:rsidR="00B267CC" w:rsidRPr="00DF3006" w:rsidRDefault="002C7E84"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6</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29, 74</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80</w:t>
            </w:r>
          </w:p>
        </w:tc>
      </w:tr>
      <w:tr w:rsidR="00DF3006" w:rsidRPr="00DF3006" w14:paraId="74E3A55E" w14:textId="77777777" w:rsidTr="0079589E">
        <w:trPr>
          <w:cantSplit/>
        </w:trPr>
        <w:tc>
          <w:tcPr>
            <w:tcW w:w="1177" w:type="pct"/>
            <w:vMerge w:val="restart"/>
          </w:tcPr>
          <w:p w14:paraId="5AB59B38"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Non-financial performance</w:t>
            </w:r>
          </w:p>
        </w:tc>
        <w:tc>
          <w:tcPr>
            <w:tcW w:w="1838" w:type="pct"/>
          </w:tcPr>
          <w:p w14:paraId="04109EDF"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Government’s objectives for the community and whole-of-government plans/specific initiatives</w:t>
            </w:r>
          </w:p>
        </w:tc>
        <w:tc>
          <w:tcPr>
            <w:tcW w:w="1103" w:type="pct"/>
            <w:shd w:val="clear" w:color="auto" w:fill="auto"/>
          </w:tcPr>
          <w:p w14:paraId="0CAB773B"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11.1</w:t>
            </w:r>
          </w:p>
        </w:tc>
        <w:tc>
          <w:tcPr>
            <w:tcW w:w="882" w:type="pct"/>
            <w:shd w:val="clear" w:color="auto" w:fill="auto"/>
            <w:vAlign w:val="center"/>
          </w:tcPr>
          <w:p w14:paraId="2909B7F9" w14:textId="1F0F0A35" w:rsidR="00B267CC" w:rsidRPr="00DF3006" w:rsidRDefault="00650F44"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18</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19</w:t>
            </w:r>
            <w:r w:rsidR="00B267CC" w:rsidRPr="00DF3006">
              <w:rPr>
                <w:rFonts w:asciiTheme="majorHAnsi" w:hAnsiTheme="majorHAnsi" w:cstheme="majorHAnsi"/>
                <w:color w:val="414042" w:themeColor="text1"/>
                <w:sz w:val="14"/>
                <w:szCs w:val="14"/>
              </w:rPr>
              <w:t xml:space="preserve">, </w:t>
            </w:r>
            <w:r w:rsidRPr="00DF3006">
              <w:rPr>
                <w:rFonts w:asciiTheme="majorHAnsi" w:hAnsiTheme="majorHAnsi" w:cstheme="majorHAnsi"/>
                <w:color w:val="414042" w:themeColor="text1"/>
                <w:sz w:val="14"/>
                <w:szCs w:val="14"/>
              </w:rPr>
              <w:t>34</w:t>
            </w:r>
          </w:p>
        </w:tc>
      </w:tr>
      <w:tr w:rsidR="00DF3006" w:rsidRPr="00DF3006" w14:paraId="32E01F37" w14:textId="77777777" w:rsidTr="0079589E">
        <w:trPr>
          <w:cantSplit/>
        </w:trPr>
        <w:tc>
          <w:tcPr>
            <w:tcW w:w="1177" w:type="pct"/>
            <w:vMerge/>
          </w:tcPr>
          <w:p w14:paraId="5C4C0627"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6B94DB82"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Agency objectives and performance indicators</w:t>
            </w:r>
          </w:p>
        </w:tc>
        <w:tc>
          <w:tcPr>
            <w:tcW w:w="1103" w:type="pct"/>
            <w:shd w:val="clear" w:color="auto" w:fill="auto"/>
          </w:tcPr>
          <w:p w14:paraId="48B60628"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11.2</w:t>
            </w:r>
          </w:p>
        </w:tc>
        <w:tc>
          <w:tcPr>
            <w:tcW w:w="882" w:type="pct"/>
            <w:shd w:val="clear" w:color="auto" w:fill="auto"/>
            <w:vAlign w:val="center"/>
          </w:tcPr>
          <w:p w14:paraId="0A171728" w14:textId="238B0DF6" w:rsidR="00B267CC" w:rsidRPr="00DF3006" w:rsidRDefault="00B52156"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17</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19, 21</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23</w:t>
            </w:r>
            <w:r w:rsidR="00B267CC" w:rsidRPr="00DF3006">
              <w:rPr>
                <w:rFonts w:asciiTheme="majorHAnsi" w:hAnsiTheme="majorHAnsi" w:cstheme="majorHAnsi"/>
                <w:color w:val="414042" w:themeColor="text1"/>
                <w:sz w:val="14"/>
                <w:szCs w:val="14"/>
              </w:rPr>
              <w:t xml:space="preserve">, </w:t>
            </w:r>
            <w:r w:rsidR="00CB3534" w:rsidRPr="00DF3006">
              <w:rPr>
                <w:rFonts w:asciiTheme="majorHAnsi" w:hAnsiTheme="majorHAnsi" w:cstheme="majorHAnsi"/>
                <w:color w:val="414042" w:themeColor="text1"/>
                <w:sz w:val="14"/>
                <w:szCs w:val="14"/>
              </w:rPr>
              <w:t>30</w:t>
            </w:r>
            <w:r w:rsidR="00136F0B" w:rsidRPr="00DF3006">
              <w:rPr>
                <w:rFonts w:asciiTheme="majorHAnsi" w:hAnsiTheme="majorHAnsi" w:cstheme="majorHAnsi"/>
                <w:color w:val="414042" w:themeColor="text1"/>
                <w:sz w:val="14"/>
                <w:szCs w:val="14"/>
              </w:rPr>
              <w:t>–</w:t>
            </w:r>
            <w:r w:rsidR="00CB3534" w:rsidRPr="00DF3006">
              <w:rPr>
                <w:rFonts w:asciiTheme="majorHAnsi" w:hAnsiTheme="majorHAnsi" w:cstheme="majorHAnsi"/>
                <w:color w:val="414042" w:themeColor="text1"/>
                <w:sz w:val="14"/>
                <w:szCs w:val="14"/>
              </w:rPr>
              <w:t>57</w:t>
            </w:r>
          </w:p>
        </w:tc>
      </w:tr>
      <w:tr w:rsidR="00DF3006" w:rsidRPr="00DF3006" w14:paraId="12C2FA20" w14:textId="77777777" w:rsidTr="0079589E">
        <w:trPr>
          <w:cantSplit/>
        </w:trPr>
        <w:tc>
          <w:tcPr>
            <w:tcW w:w="1177" w:type="pct"/>
            <w:vMerge/>
          </w:tcPr>
          <w:p w14:paraId="5B1A57F9"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1CADC0E1"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 xml:space="preserve">Agency service areas and service standards </w:t>
            </w:r>
          </w:p>
        </w:tc>
        <w:tc>
          <w:tcPr>
            <w:tcW w:w="1103" w:type="pct"/>
            <w:shd w:val="clear" w:color="auto" w:fill="auto"/>
          </w:tcPr>
          <w:p w14:paraId="50CD2DE9"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11.3</w:t>
            </w:r>
          </w:p>
        </w:tc>
        <w:tc>
          <w:tcPr>
            <w:tcW w:w="882" w:type="pct"/>
            <w:shd w:val="clear" w:color="auto" w:fill="auto"/>
            <w:vAlign w:val="center"/>
          </w:tcPr>
          <w:p w14:paraId="6A6729FF" w14:textId="51061678" w:rsidR="00B267CC" w:rsidRPr="00DF3006" w:rsidRDefault="00CB3534"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20</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21</w:t>
            </w:r>
          </w:p>
        </w:tc>
      </w:tr>
      <w:tr w:rsidR="00DF3006" w:rsidRPr="00DF3006" w14:paraId="43CF0326" w14:textId="77777777" w:rsidTr="0079589E">
        <w:trPr>
          <w:cantSplit/>
        </w:trPr>
        <w:tc>
          <w:tcPr>
            <w:tcW w:w="1177" w:type="pct"/>
          </w:tcPr>
          <w:p w14:paraId="5D0252F9"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Financial performance</w:t>
            </w:r>
          </w:p>
        </w:tc>
        <w:tc>
          <w:tcPr>
            <w:tcW w:w="1838" w:type="pct"/>
          </w:tcPr>
          <w:p w14:paraId="3D3600E2"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Summary of financial performance</w:t>
            </w:r>
          </w:p>
        </w:tc>
        <w:tc>
          <w:tcPr>
            <w:tcW w:w="1103" w:type="pct"/>
            <w:shd w:val="clear" w:color="auto" w:fill="auto"/>
          </w:tcPr>
          <w:p w14:paraId="5BCCC38E"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12.1</w:t>
            </w:r>
          </w:p>
        </w:tc>
        <w:tc>
          <w:tcPr>
            <w:tcW w:w="882" w:type="pct"/>
            <w:shd w:val="clear" w:color="auto" w:fill="auto"/>
            <w:vAlign w:val="center"/>
          </w:tcPr>
          <w:p w14:paraId="5976F62D" w14:textId="26A3634A" w:rsidR="00B267CC" w:rsidRPr="00DF3006" w:rsidRDefault="00CB3534"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24</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25</w:t>
            </w:r>
          </w:p>
        </w:tc>
      </w:tr>
      <w:tr w:rsidR="00DF3006" w:rsidRPr="00DF3006" w14:paraId="6F09410A" w14:textId="77777777" w:rsidTr="0079589E">
        <w:trPr>
          <w:cantSplit/>
        </w:trPr>
        <w:tc>
          <w:tcPr>
            <w:tcW w:w="1177" w:type="pct"/>
            <w:vMerge w:val="restart"/>
          </w:tcPr>
          <w:p w14:paraId="77B8AABC"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r w:rsidRPr="00DF3006">
              <w:rPr>
                <w:rFonts w:asciiTheme="minorHAnsi" w:hAnsiTheme="minorHAnsi" w:cstheme="minorHAnsi"/>
                <w:b/>
                <w:bCs/>
                <w:color w:val="414042" w:themeColor="text1"/>
                <w:sz w:val="16"/>
                <w:szCs w:val="16"/>
              </w:rPr>
              <w:t>Governance – management and structure</w:t>
            </w:r>
          </w:p>
        </w:tc>
        <w:tc>
          <w:tcPr>
            <w:tcW w:w="1838" w:type="pct"/>
          </w:tcPr>
          <w:p w14:paraId="027AD7A6"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 xml:space="preserve">Organisational structure </w:t>
            </w:r>
          </w:p>
        </w:tc>
        <w:tc>
          <w:tcPr>
            <w:tcW w:w="1103" w:type="pct"/>
            <w:shd w:val="clear" w:color="auto" w:fill="auto"/>
          </w:tcPr>
          <w:p w14:paraId="3DAFBDC4"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13.1</w:t>
            </w:r>
          </w:p>
        </w:tc>
        <w:tc>
          <w:tcPr>
            <w:tcW w:w="882" w:type="pct"/>
            <w:shd w:val="clear" w:color="auto" w:fill="auto"/>
            <w:vAlign w:val="center"/>
          </w:tcPr>
          <w:p w14:paraId="1A0FE678" w14:textId="29C9C8C7" w:rsidR="00B267CC" w:rsidRPr="00DF3006" w:rsidRDefault="00CB3534"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12</w:t>
            </w:r>
            <w:r w:rsidR="00B267CC" w:rsidRPr="00DF3006">
              <w:rPr>
                <w:rFonts w:asciiTheme="majorHAnsi" w:hAnsiTheme="majorHAnsi" w:cstheme="majorHAnsi"/>
                <w:color w:val="414042" w:themeColor="text1"/>
                <w:sz w:val="14"/>
                <w:szCs w:val="14"/>
              </w:rPr>
              <w:t xml:space="preserve">, </w:t>
            </w:r>
            <w:r w:rsidR="003B1185" w:rsidRPr="00DF3006">
              <w:rPr>
                <w:rFonts w:asciiTheme="majorHAnsi" w:hAnsiTheme="majorHAnsi" w:cstheme="majorHAnsi"/>
                <w:color w:val="414042" w:themeColor="text1"/>
                <w:sz w:val="14"/>
                <w:szCs w:val="14"/>
              </w:rPr>
              <w:t>59</w:t>
            </w:r>
            <w:r w:rsidR="00136F0B" w:rsidRPr="00DF3006">
              <w:rPr>
                <w:rFonts w:asciiTheme="majorHAnsi" w:hAnsiTheme="majorHAnsi" w:cstheme="majorHAnsi"/>
                <w:color w:val="414042" w:themeColor="text1"/>
                <w:sz w:val="14"/>
                <w:szCs w:val="14"/>
              </w:rPr>
              <w:t>–</w:t>
            </w:r>
            <w:r w:rsidR="003B1185" w:rsidRPr="00DF3006">
              <w:rPr>
                <w:rFonts w:asciiTheme="majorHAnsi" w:hAnsiTheme="majorHAnsi" w:cstheme="majorHAnsi"/>
                <w:color w:val="414042" w:themeColor="text1"/>
                <w:sz w:val="14"/>
                <w:szCs w:val="14"/>
              </w:rPr>
              <w:t>61</w:t>
            </w:r>
          </w:p>
        </w:tc>
      </w:tr>
      <w:tr w:rsidR="00DF3006" w:rsidRPr="00DF3006" w14:paraId="0676E0EB" w14:textId="77777777" w:rsidTr="0079589E">
        <w:trPr>
          <w:cantSplit/>
        </w:trPr>
        <w:tc>
          <w:tcPr>
            <w:tcW w:w="1177" w:type="pct"/>
            <w:vMerge/>
          </w:tcPr>
          <w:p w14:paraId="5111065B"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152DB64A"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Executive management</w:t>
            </w:r>
          </w:p>
        </w:tc>
        <w:tc>
          <w:tcPr>
            <w:tcW w:w="1103" w:type="pct"/>
            <w:shd w:val="clear" w:color="auto" w:fill="auto"/>
          </w:tcPr>
          <w:p w14:paraId="15B6F792"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13.2</w:t>
            </w:r>
          </w:p>
        </w:tc>
        <w:tc>
          <w:tcPr>
            <w:tcW w:w="882" w:type="pct"/>
            <w:shd w:val="clear" w:color="auto" w:fill="auto"/>
            <w:vAlign w:val="center"/>
          </w:tcPr>
          <w:p w14:paraId="274468D8" w14:textId="5430B6FC" w:rsidR="00B267CC" w:rsidRPr="00DF3006" w:rsidRDefault="003B1185"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59</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61</w:t>
            </w:r>
            <w:r w:rsidR="00B267CC" w:rsidRPr="00DF3006">
              <w:rPr>
                <w:rFonts w:asciiTheme="majorHAnsi" w:hAnsiTheme="majorHAnsi" w:cstheme="majorHAnsi"/>
                <w:color w:val="414042" w:themeColor="text1"/>
                <w:sz w:val="14"/>
                <w:szCs w:val="14"/>
              </w:rPr>
              <w:t xml:space="preserve">, </w:t>
            </w:r>
            <w:r w:rsidRPr="00DF3006">
              <w:rPr>
                <w:rFonts w:asciiTheme="majorHAnsi" w:hAnsiTheme="majorHAnsi" w:cstheme="majorHAnsi"/>
                <w:color w:val="414042" w:themeColor="text1"/>
                <w:sz w:val="14"/>
                <w:szCs w:val="14"/>
              </w:rPr>
              <w:t>65</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66</w:t>
            </w:r>
          </w:p>
        </w:tc>
      </w:tr>
      <w:tr w:rsidR="00DF3006" w:rsidRPr="00DF3006" w14:paraId="0313C059" w14:textId="77777777" w:rsidTr="0079589E">
        <w:trPr>
          <w:cantSplit/>
        </w:trPr>
        <w:tc>
          <w:tcPr>
            <w:tcW w:w="1177" w:type="pct"/>
            <w:vMerge/>
          </w:tcPr>
          <w:p w14:paraId="199F3E90"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0D2FCDB7"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Government bodies (statutory bodies and other entities)</w:t>
            </w:r>
          </w:p>
        </w:tc>
        <w:tc>
          <w:tcPr>
            <w:tcW w:w="1103" w:type="pct"/>
            <w:shd w:val="clear" w:color="auto" w:fill="auto"/>
          </w:tcPr>
          <w:p w14:paraId="7DF3B02E"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13.3</w:t>
            </w:r>
          </w:p>
        </w:tc>
        <w:tc>
          <w:tcPr>
            <w:tcW w:w="882" w:type="pct"/>
            <w:shd w:val="clear" w:color="auto" w:fill="auto"/>
            <w:vAlign w:val="center"/>
          </w:tcPr>
          <w:p w14:paraId="08BAD897" w14:textId="1ABEDEEA" w:rsidR="00B267CC" w:rsidRPr="00DF3006" w:rsidRDefault="003B1185"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4</w:t>
            </w:r>
            <w:r w:rsidR="00B267CC"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 xml:space="preserve"> 73</w:t>
            </w:r>
          </w:p>
        </w:tc>
      </w:tr>
      <w:tr w:rsidR="00DF3006" w:rsidRPr="00DF3006" w14:paraId="7A7C2214" w14:textId="77777777" w:rsidTr="0079589E">
        <w:trPr>
          <w:cantSplit/>
        </w:trPr>
        <w:tc>
          <w:tcPr>
            <w:tcW w:w="1177" w:type="pct"/>
            <w:vMerge/>
          </w:tcPr>
          <w:p w14:paraId="27C6BF3F"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0EA38E1D"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Public Sector Ethics</w:t>
            </w:r>
            <w:r w:rsidRPr="00DF3006">
              <w:rPr>
                <w:rFonts w:asciiTheme="majorHAnsi" w:hAnsiTheme="majorHAnsi" w:cstheme="majorHAnsi"/>
                <w:bCs/>
                <w:i/>
                <w:color w:val="414042" w:themeColor="text1"/>
                <w:sz w:val="16"/>
                <w:szCs w:val="16"/>
              </w:rPr>
              <w:t xml:space="preserve"> </w:t>
            </w:r>
          </w:p>
        </w:tc>
        <w:tc>
          <w:tcPr>
            <w:tcW w:w="1103" w:type="pct"/>
            <w:shd w:val="clear" w:color="auto" w:fill="auto"/>
          </w:tcPr>
          <w:p w14:paraId="338F97D2"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r w:rsidRPr="00DF3006">
              <w:rPr>
                <w:rFonts w:asciiTheme="minorHAnsi" w:hAnsiTheme="minorHAnsi" w:cstheme="minorHAnsi"/>
                <w:i/>
                <w:color w:val="414042" w:themeColor="text1"/>
                <w:sz w:val="14"/>
                <w:szCs w:val="14"/>
              </w:rPr>
              <w:t>Public Sector Ethics Act 1994</w:t>
            </w:r>
          </w:p>
          <w:p w14:paraId="26C0305A"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13.4</w:t>
            </w:r>
          </w:p>
        </w:tc>
        <w:tc>
          <w:tcPr>
            <w:tcW w:w="882" w:type="pct"/>
            <w:shd w:val="clear" w:color="auto" w:fill="auto"/>
            <w:vAlign w:val="center"/>
          </w:tcPr>
          <w:p w14:paraId="360BB71A" w14:textId="6339D9F3" w:rsidR="00B267CC" w:rsidRPr="00DF3006" w:rsidRDefault="008642AF"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56</w:t>
            </w:r>
          </w:p>
        </w:tc>
      </w:tr>
      <w:tr w:rsidR="00DF3006" w:rsidRPr="00DF3006" w14:paraId="1D3C42CA" w14:textId="77777777" w:rsidTr="0079589E">
        <w:trPr>
          <w:cantSplit/>
        </w:trPr>
        <w:tc>
          <w:tcPr>
            <w:tcW w:w="1177" w:type="pct"/>
            <w:vMerge/>
          </w:tcPr>
          <w:p w14:paraId="07345DF8"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7F059A94"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 xml:space="preserve">Human Rights </w:t>
            </w:r>
          </w:p>
        </w:tc>
        <w:tc>
          <w:tcPr>
            <w:tcW w:w="1103" w:type="pct"/>
            <w:shd w:val="clear" w:color="auto" w:fill="auto"/>
          </w:tcPr>
          <w:p w14:paraId="15081568"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r w:rsidRPr="00DF3006">
              <w:rPr>
                <w:rFonts w:asciiTheme="minorHAnsi" w:hAnsiTheme="minorHAnsi" w:cstheme="minorHAnsi"/>
                <w:i/>
                <w:color w:val="414042" w:themeColor="text1"/>
                <w:sz w:val="14"/>
                <w:szCs w:val="14"/>
              </w:rPr>
              <w:t>Human Rights Act 2019</w:t>
            </w:r>
          </w:p>
          <w:p w14:paraId="7229F126"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13.5</w:t>
            </w:r>
          </w:p>
        </w:tc>
        <w:tc>
          <w:tcPr>
            <w:tcW w:w="882" w:type="pct"/>
            <w:shd w:val="clear" w:color="auto" w:fill="auto"/>
            <w:vAlign w:val="center"/>
          </w:tcPr>
          <w:p w14:paraId="4E152BC0" w14:textId="3A98E76A" w:rsidR="00B267CC" w:rsidRPr="00DF3006" w:rsidRDefault="008642AF"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55</w:t>
            </w:r>
          </w:p>
        </w:tc>
      </w:tr>
      <w:tr w:rsidR="00DF3006" w:rsidRPr="00DF3006" w14:paraId="64196D8E" w14:textId="77777777" w:rsidTr="0079589E">
        <w:trPr>
          <w:cantSplit/>
        </w:trPr>
        <w:tc>
          <w:tcPr>
            <w:tcW w:w="1177" w:type="pct"/>
            <w:vMerge/>
          </w:tcPr>
          <w:p w14:paraId="2BDAF149"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09675650" w14:textId="77777777" w:rsidR="00B267CC" w:rsidRPr="00DF3006" w:rsidRDefault="00B267CC" w:rsidP="00573772">
            <w:pPr>
              <w:pStyle w:val="Text"/>
              <w:tabs>
                <w:tab w:val="clear" w:pos="1713"/>
              </w:tabs>
              <w:spacing w:before="0" w:after="0"/>
              <w:rPr>
                <w:rFonts w:asciiTheme="majorHAnsi" w:hAnsiTheme="majorHAnsi" w:cstheme="majorHAnsi"/>
                <w:bCs/>
                <w:i/>
                <w:color w:val="414042" w:themeColor="text1"/>
                <w:sz w:val="16"/>
                <w:szCs w:val="16"/>
              </w:rPr>
            </w:pPr>
            <w:r w:rsidRPr="00DF3006">
              <w:rPr>
                <w:rFonts w:asciiTheme="majorHAnsi" w:hAnsiTheme="majorHAnsi" w:cstheme="majorHAnsi"/>
                <w:bCs/>
                <w:color w:val="414042" w:themeColor="text1"/>
                <w:sz w:val="16"/>
                <w:szCs w:val="16"/>
              </w:rPr>
              <w:t>Queensland public service values</w:t>
            </w:r>
          </w:p>
        </w:tc>
        <w:tc>
          <w:tcPr>
            <w:tcW w:w="1103" w:type="pct"/>
            <w:shd w:val="clear" w:color="auto" w:fill="auto"/>
          </w:tcPr>
          <w:p w14:paraId="5C66F7E7" w14:textId="77777777" w:rsidR="00B267CC" w:rsidRPr="00DF3006" w:rsidRDefault="00B267CC" w:rsidP="00573772">
            <w:pPr>
              <w:pStyle w:val="Text"/>
              <w:spacing w:before="0" w:after="0"/>
              <w:rPr>
                <w:rFonts w:asciiTheme="minorHAnsi" w:hAnsiTheme="minorHAnsi" w:cstheme="minorHAnsi"/>
                <w: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13.6</w:t>
            </w:r>
          </w:p>
        </w:tc>
        <w:tc>
          <w:tcPr>
            <w:tcW w:w="882" w:type="pct"/>
            <w:shd w:val="clear" w:color="auto" w:fill="auto"/>
            <w:vAlign w:val="center"/>
          </w:tcPr>
          <w:p w14:paraId="754145A3" w14:textId="77777777" w:rsidR="00B267CC" w:rsidRPr="00DF3006" w:rsidRDefault="00B267CC"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N/A</w:t>
            </w:r>
          </w:p>
        </w:tc>
      </w:tr>
      <w:tr w:rsidR="00DF3006" w:rsidRPr="00DF3006" w14:paraId="44E772DA" w14:textId="77777777" w:rsidTr="0079589E">
        <w:trPr>
          <w:cantSplit/>
        </w:trPr>
        <w:tc>
          <w:tcPr>
            <w:tcW w:w="1177" w:type="pct"/>
            <w:vMerge w:val="restart"/>
          </w:tcPr>
          <w:p w14:paraId="3E8CDDCB"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Governance – risk management and accountability</w:t>
            </w:r>
          </w:p>
        </w:tc>
        <w:tc>
          <w:tcPr>
            <w:tcW w:w="1838" w:type="pct"/>
          </w:tcPr>
          <w:p w14:paraId="3D257C3A"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Risk management</w:t>
            </w:r>
          </w:p>
        </w:tc>
        <w:tc>
          <w:tcPr>
            <w:tcW w:w="1103" w:type="pct"/>
            <w:shd w:val="clear" w:color="auto" w:fill="auto"/>
          </w:tcPr>
          <w:p w14:paraId="621BA1D9" w14:textId="77777777" w:rsidR="00B267CC" w:rsidRPr="00DF3006" w:rsidRDefault="00B267CC" w:rsidP="00573772">
            <w:pPr>
              <w:pStyle w:val="Text"/>
              <w:tabs>
                <w:tab w:val="right" w:pos="2304"/>
              </w:tabs>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14.1</w:t>
            </w:r>
          </w:p>
        </w:tc>
        <w:tc>
          <w:tcPr>
            <w:tcW w:w="882" w:type="pct"/>
            <w:shd w:val="clear" w:color="auto" w:fill="auto"/>
            <w:vAlign w:val="center"/>
          </w:tcPr>
          <w:p w14:paraId="591CE76F" w14:textId="5DBC705B" w:rsidR="00B267CC" w:rsidRPr="00DF3006" w:rsidRDefault="008642AF"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67</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68</w:t>
            </w:r>
          </w:p>
        </w:tc>
      </w:tr>
      <w:tr w:rsidR="00DF3006" w:rsidRPr="00DF3006" w14:paraId="6C7C7E2E" w14:textId="77777777" w:rsidTr="0079589E">
        <w:trPr>
          <w:cantSplit/>
        </w:trPr>
        <w:tc>
          <w:tcPr>
            <w:tcW w:w="1177" w:type="pct"/>
            <w:vMerge/>
          </w:tcPr>
          <w:p w14:paraId="7E2DF3C0"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43ED15CB"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Audit committee</w:t>
            </w:r>
          </w:p>
        </w:tc>
        <w:tc>
          <w:tcPr>
            <w:tcW w:w="1103" w:type="pct"/>
            <w:shd w:val="clear" w:color="auto" w:fill="auto"/>
          </w:tcPr>
          <w:p w14:paraId="7969EF20"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14.2</w:t>
            </w:r>
          </w:p>
        </w:tc>
        <w:tc>
          <w:tcPr>
            <w:tcW w:w="882" w:type="pct"/>
            <w:shd w:val="clear" w:color="auto" w:fill="auto"/>
            <w:vAlign w:val="center"/>
          </w:tcPr>
          <w:p w14:paraId="70078B6B" w14:textId="6912805F" w:rsidR="00B267CC" w:rsidRPr="00DF3006" w:rsidRDefault="008642AF"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66</w:t>
            </w:r>
          </w:p>
        </w:tc>
      </w:tr>
      <w:tr w:rsidR="00DF3006" w:rsidRPr="00DF3006" w14:paraId="33F9D447" w14:textId="77777777" w:rsidTr="0079589E">
        <w:trPr>
          <w:cantSplit/>
          <w:trHeight w:val="422"/>
        </w:trPr>
        <w:tc>
          <w:tcPr>
            <w:tcW w:w="1177" w:type="pct"/>
            <w:vMerge/>
          </w:tcPr>
          <w:p w14:paraId="7F01A3B7"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7CF2B12B"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Internal audit</w:t>
            </w:r>
          </w:p>
        </w:tc>
        <w:tc>
          <w:tcPr>
            <w:tcW w:w="1103" w:type="pct"/>
            <w:shd w:val="clear" w:color="auto" w:fill="auto"/>
          </w:tcPr>
          <w:p w14:paraId="0583AB0C"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14.3</w:t>
            </w:r>
          </w:p>
        </w:tc>
        <w:tc>
          <w:tcPr>
            <w:tcW w:w="882" w:type="pct"/>
            <w:shd w:val="clear" w:color="auto" w:fill="auto"/>
            <w:vAlign w:val="center"/>
          </w:tcPr>
          <w:p w14:paraId="2745988B" w14:textId="59CF48DE" w:rsidR="00B267CC" w:rsidRPr="00DF3006" w:rsidRDefault="008642AF"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68</w:t>
            </w:r>
          </w:p>
        </w:tc>
      </w:tr>
      <w:tr w:rsidR="00DF3006" w:rsidRPr="00DF3006" w14:paraId="3D0C5E2C" w14:textId="77777777" w:rsidTr="0079589E">
        <w:trPr>
          <w:cantSplit/>
          <w:trHeight w:val="422"/>
        </w:trPr>
        <w:tc>
          <w:tcPr>
            <w:tcW w:w="1177" w:type="pct"/>
            <w:vMerge/>
          </w:tcPr>
          <w:p w14:paraId="12518216"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5BF834BF"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External scrutiny</w:t>
            </w:r>
          </w:p>
        </w:tc>
        <w:tc>
          <w:tcPr>
            <w:tcW w:w="1103" w:type="pct"/>
            <w:shd w:val="clear" w:color="auto" w:fill="auto"/>
          </w:tcPr>
          <w:p w14:paraId="5C0C6A69"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14.4</w:t>
            </w:r>
          </w:p>
        </w:tc>
        <w:tc>
          <w:tcPr>
            <w:tcW w:w="882" w:type="pct"/>
            <w:shd w:val="clear" w:color="auto" w:fill="auto"/>
            <w:vAlign w:val="center"/>
          </w:tcPr>
          <w:p w14:paraId="4EBBB7AF" w14:textId="6A8E205E" w:rsidR="005B636D" w:rsidRPr="00DF3006" w:rsidRDefault="008642AF"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7</w:t>
            </w:r>
            <w:r w:rsidR="00136F0B" w:rsidRPr="00DF3006">
              <w:rPr>
                <w:rFonts w:asciiTheme="majorHAnsi" w:hAnsiTheme="majorHAnsi" w:cstheme="majorHAnsi"/>
                <w:color w:val="414042" w:themeColor="text1"/>
                <w:sz w:val="14"/>
                <w:szCs w:val="14"/>
              </w:rPr>
              <w:t>–</w:t>
            </w:r>
            <w:r w:rsidR="005B636D" w:rsidRPr="00DF3006">
              <w:rPr>
                <w:rFonts w:asciiTheme="majorHAnsi" w:hAnsiTheme="majorHAnsi" w:cstheme="majorHAnsi"/>
                <w:color w:val="414042" w:themeColor="text1"/>
                <w:sz w:val="14"/>
                <w:szCs w:val="14"/>
              </w:rPr>
              <w:t>9</w:t>
            </w:r>
            <w:r w:rsidRPr="00DF3006">
              <w:rPr>
                <w:rFonts w:asciiTheme="majorHAnsi" w:hAnsiTheme="majorHAnsi" w:cstheme="majorHAnsi"/>
                <w:color w:val="414042" w:themeColor="text1"/>
                <w:sz w:val="14"/>
                <w:szCs w:val="14"/>
              </w:rPr>
              <w:t xml:space="preserve">, </w:t>
            </w:r>
            <w:r w:rsidR="005B636D" w:rsidRPr="00DF3006">
              <w:rPr>
                <w:rFonts w:asciiTheme="majorHAnsi" w:hAnsiTheme="majorHAnsi" w:cstheme="majorHAnsi"/>
                <w:color w:val="414042" w:themeColor="text1"/>
                <w:sz w:val="14"/>
                <w:szCs w:val="14"/>
              </w:rPr>
              <w:t>26</w:t>
            </w:r>
            <w:r w:rsidR="00136F0B" w:rsidRPr="00DF3006">
              <w:rPr>
                <w:rFonts w:asciiTheme="majorHAnsi" w:hAnsiTheme="majorHAnsi" w:cstheme="majorHAnsi"/>
                <w:color w:val="414042" w:themeColor="text1"/>
                <w:sz w:val="14"/>
                <w:szCs w:val="14"/>
              </w:rPr>
              <w:t>–</w:t>
            </w:r>
            <w:r w:rsidR="005B636D" w:rsidRPr="00DF3006">
              <w:rPr>
                <w:rFonts w:asciiTheme="majorHAnsi" w:hAnsiTheme="majorHAnsi" w:cstheme="majorHAnsi"/>
                <w:color w:val="414042" w:themeColor="text1"/>
                <w:sz w:val="14"/>
                <w:szCs w:val="14"/>
              </w:rPr>
              <w:t xml:space="preserve">28, </w:t>
            </w:r>
            <w:r w:rsidRPr="00DF3006">
              <w:rPr>
                <w:rFonts w:asciiTheme="majorHAnsi" w:hAnsiTheme="majorHAnsi" w:cstheme="majorHAnsi"/>
                <w:color w:val="414042" w:themeColor="text1"/>
                <w:sz w:val="14"/>
                <w:szCs w:val="14"/>
              </w:rPr>
              <w:t>69</w:t>
            </w:r>
            <w:r w:rsidR="00304825" w:rsidRPr="00DF3006">
              <w:rPr>
                <w:rFonts w:asciiTheme="majorHAnsi" w:hAnsiTheme="majorHAnsi" w:cstheme="majorHAnsi"/>
                <w:color w:val="414042" w:themeColor="text1"/>
                <w:sz w:val="14"/>
                <w:szCs w:val="14"/>
              </w:rPr>
              <w:t>,</w:t>
            </w:r>
            <w:r w:rsidR="005B636D" w:rsidRPr="00DF3006">
              <w:rPr>
                <w:rFonts w:asciiTheme="majorHAnsi" w:hAnsiTheme="majorHAnsi" w:cstheme="majorHAnsi"/>
                <w:color w:val="414042" w:themeColor="text1"/>
                <w:sz w:val="14"/>
                <w:szCs w:val="14"/>
              </w:rPr>
              <w:t>79,</w:t>
            </w:r>
          </w:p>
          <w:p w14:paraId="635B34FB" w14:textId="6987646A" w:rsidR="00B267CC" w:rsidRPr="00DF3006" w:rsidRDefault="005B636D"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121</w:t>
            </w:r>
            <w:r w:rsidR="00947D4F"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124</w:t>
            </w:r>
          </w:p>
        </w:tc>
      </w:tr>
      <w:tr w:rsidR="00DF3006" w:rsidRPr="00DF3006" w14:paraId="397FB2A0" w14:textId="77777777" w:rsidTr="0079589E">
        <w:trPr>
          <w:cantSplit/>
          <w:trHeight w:val="422"/>
        </w:trPr>
        <w:tc>
          <w:tcPr>
            <w:tcW w:w="1177" w:type="pct"/>
            <w:vMerge/>
          </w:tcPr>
          <w:p w14:paraId="1E85816C"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02C2D1FF"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Information systems and recordkeeping</w:t>
            </w:r>
          </w:p>
        </w:tc>
        <w:tc>
          <w:tcPr>
            <w:tcW w:w="1103" w:type="pct"/>
            <w:shd w:val="clear" w:color="auto" w:fill="auto"/>
          </w:tcPr>
          <w:p w14:paraId="06FEDB3D"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14.5</w:t>
            </w:r>
          </w:p>
        </w:tc>
        <w:tc>
          <w:tcPr>
            <w:tcW w:w="882" w:type="pct"/>
            <w:shd w:val="clear" w:color="auto" w:fill="auto"/>
            <w:vAlign w:val="center"/>
          </w:tcPr>
          <w:p w14:paraId="7A2D5E18" w14:textId="6D479093" w:rsidR="00B267CC" w:rsidRPr="00DF3006" w:rsidRDefault="00825BF7"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72</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73</w:t>
            </w:r>
          </w:p>
        </w:tc>
      </w:tr>
      <w:tr w:rsidR="00DF3006" w:rsidRPr="00DF3006" w14:paraId="4F5EBADB" w14:textId="77777777" w:rsidTr="0079589E">
        <w:trPr>
          <w:cantSplit/>
          <w:trHeight w:val="422"/>
        </w:trPr>
        <w:tc>
          <w:tcPr>
            <w:tcW w:w="1177" w:type="pct"/>
            <w:vMerge/>
          </w:tcPr>
          <w:p w14:paraId="72F46EAD"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2646D8C9"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Information Security attestation</w:t>
            </w:r>
          </w:p>
        </w:tc>
        <w:tc>
          <w:tcPr>
            <w:tcW w:w="1103" w:type="pct"/>
            <w:shd w:val="clear" w:color="auto" w:fill="auto"/>
          </w:tcPr>
          <w:p w14:paraId="06F76D44"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14.6</w:t>
            </w:r>
          </w:p>
        </w:tc>
        <w:tc>
          <w:tcPr>
            <w:tcW w:w="882" w:type="pct"/>
            <w:shd w:val="clear" w:color="auto" w:fill="auto"/>
            <w:vAlign w:val="center"/>
          </w:tcPr>
          <w:p w14:paraId="5D277FCD" w14:textId="729EB612" w:rsidR="00B267CC" w:rsidRPr="00DF3006" w:rsidRDefault="00825BF7"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72</w:t>
            </w:r>
          </w:p>
        </w:tc>
      </w:tr>
      <w:tr w:rsidR="00DF3006" w:rsidRPr="00DF3006" w14:paraId="6147CE50" w14:textId="77777777" w:rsidTr="0079589E">
        <w:trPr>
          <w:cantSplit/>
        </w:trPr>
        <w:tc>
          <w:tcPr>
            <w:tcW w:w="1177" w:type="pct"/>
            <w:vMerge w:val="restart"/>
          </w:tcPr>
          <w:p w14:paraId="0033462B"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Governance – human resources</w:t>
            </w:r>
          </w:p>
        </w:tc>
        <w:tc>
          <w:tcPr>
            <w:tcW w:w="1838" w:type="pct"/>
          </w:tcPr>
          <w:p w14:paraId="4A179498"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Strategic workforce planning and performance</w:t>
            </w:r>
          </w:p>
        </w:tc>
        <w:tc>
          <w:tcPr>
            <w:tcW w:w="1103" w:type="pct"/>
            <w:shd w:val="clear" w:color="auto" w:fill="auto"/>
          </w:tcPr>
          <w:p w14:paraId="05AC752C"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15.1</w:t>
            </w:r>
          </w:p>
        </w:tc>
        <w:tc>
          <w:tcPr>
            <w:tcW w:w="882" w:type="pct"/>
            <w:shd w:val="clear" w:color="auto" w:fill="auto"/>
            <w:vAlign w:val="center"/>
          </w:tcPr>
          <w:p w14:paraId="4417D4B4" w14:textId="0538EDE5" w:rsidR="00B267CC" w:rsidRPr="00DF3006" w:rsidRDefault="00825BF7"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52</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56, 62</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64</w:t>
            </w:r>
          </w:p>
        </w:tc>
      </w:tr>
      <w:tr w:rsidR="00DF3006" w:rsidRPr="00DF3006" w14:paraId="29B8AAB4" w14:textId="77777777" w:rsidTr="0079589E">
        <w:trPr>
          <w:cantSplit/>
        </w:trPr>
        <w:tc>
          <w:tcPr>
            <w:tcW w:w="1177" w:type="pct"/>
            <w:vMerge/>
          </w:tcPr>
          <w:p w14:paraId="1AC2B37F"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highlight w:val="red"/>
              </w:rPr>
            </w:pPr>
          </w:p>
        </w:tc>
        <w:tc>
          <w:tcPr>
            <w:tcW w:w="1838" w:type="pct"/>
          </w:tcPr>
          <w:p w14:paraId="3A6CE036"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 xml:space="preserve">Early retirement, </w:t>
            </w:r>
            <w:proofErr w:type="gramStart"/>
            <w:r w:rsidRPr="00DF3006">
              <w:rPr>
                <w:rFonts w:asciiTheme="majorHAnsi" w:hAnsiTheme="majorHAnsi" w:cstheme="majorHAnsi"/>
                <w:bCs/>
                <w:color w:val="414042" w:themeColor="text1"/>
                <w:sz w:val="16"/>
                <w:szCs w:val="16"/>
              </w:rPr>
              <w:t>redundancy</w:t>
            </w:r>
            <w:proofErr w:type="gramEnd"/>
            <w:r w:rsidRPr="00DF3006">
              <w:rPr>
                <w:rFonts w:asciiTheme="majorHAnsi" w:hAnsiTheme="majorHAnsi" w:cstheme="majorHAnsi"/>
                <w:bCs/>
                <w:color w:val="414042" w:themeColor="text1"/>
                <w:sz w:val="16"/>
                <w:szCs w:val="16"/>
              </w:rPr>
              <w:t xml:space="preserve"> and retrenchment</w:t>
            </w:r>
          </w:p>
        </w:tc>
        <w:tc>
          <w:tcPr>
            <w:tcW w:w="1103" w:type="pct"/>
            <w:shd w:val="clear" w:color="auto" w:fill="auto"/>
          </w:tcPr>
          <w:p w14:paraId="7DE23F9F"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r w:rsidRPr="00DF3006">
              <w:rPr>
                <w:rFonts w:asciiTheme="minorHAnsi" w:hAnsiTheme="minorHAnsi" w:cstheme="minorHAnsi"/>
                <w:color w:val="414042" w:themeColor="text1"/>
                <w:sz w:val="14"/>
                <w:szCs w:val="14"/>
              </w:rPr>
              <w:t xml:space="preserve">Directive No.04/18 </w:t>
            </w:r>
            <w:r w:rsidRPr="00DF3006">
              <w:rPr>
                <w:rFonts w:asciiTheme="minorHAnsi" w:hAnsiTheme="minorHAnsi" w:cstheme="minorHAnsi"/>
                <w:i/>
                <w:color w:val="414042" w:themeColor="text1"/>
                <w:sz w:val="14"/>
                <w:szCs w:val="14"/>
              </w:rPr>
              <w:t xml:space="preserve">Early Retirement, Redundancy and Retrenchment </w:t>
            </w:r>
          </w:p>
          <w:p w14:paraId="6BAFA5F4"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15.2</w:t>
            </w:r>
          </w:p>
        </w:tc>
        <w:tc>
          <w:tcPr>
            <w:tcW w:w="882" w:type="pct"/>
            <w:shd w:val="clear" w:color="auto" w:fill="auto"/>
            <w:vAlign w:val="center"/>
          </w:tcPr>
          <w:p w14:paraId="4C7E70C2" w14:textId="4C229DBA" w:rsidR="00B267CC" w:rsidRPr="00DF3006" w:rsidRDefault="0079589E"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64</w:t>
            </w:r>
          </w:p>
        </w:tc>
      </w:tr>
      <w:tr w:rsidR="00DF3006" w:rsidRPr="00DF3006" w14:paraId="2CD0561B" w14:textId="77777777" w:rsidTr="0079589E">
        <w:trPr>
          <w:cantSplit/>
        </w:trPr>
        <w:tc>
          <w:tcPr>
            <w:tcW w:w="1177" w:type="pct"/>
            <w:vMerge w:val="restart"/>
          </w:tcPr>
          <w:p w14:paraId="2C798845"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Open Data</w:t>
            </w:r>
          </w:p>
        </w:tc>
        <w:tc>
          <w:tcPr>
            <w:tcW w:w="1838" w:type="pct"/>
          </w:tcPr>
          <w:p w14:paraId="4D6D807A"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Statement advising publication of information</w:t>
            </w:r>
          </w:p>
        </w:tc>
        <w:tc>
          <w:tcPr>
            <w:tcW w:w="1103" w:type="pct"/>
            <w:shd w:val="clear" w:color="auto" w:fill="auto"/>
          </w:tcPr>
          <w:p w14:paraId="7CE6B81C"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16</w:t>
            </w:r>
          </w:p>
        </w:tc>
        <w:tc>
          <w:tcPr>
            <w:tcW w:w="882" w:type="pct"/>
            <w:shd w:val="clear" w:color="auto" w:fill="auto"/>
            <w:vAlign w:val="center"/>
          </w:tcPr>
          <w:p w14:paraId="3A320AAD" w14:textId="362C4176" w:rsidR="00B267CC" w:rsidRPr="00DF3006" w:rsidRDefault="0079589E"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4</w:t>
            </w:r>
            <w:r w:rsidR="0033028B" w:rsidRPr="00DF3006">
              <w:rPr>
                <w:rFonts w:asciiTheme="majorHAnsi" w:hAnsiTheme="majorHAnsi" w:cstheme="majorHAnsi"/>
                <w:color w:val="414042" w:themeColor="text1"/>
                <w:sz w:val="14"/>
                <w:szCs w:val="14"/>
              </w:rPr>
              <w:t xml:space="preserve">, </w:t>
            </w:r>
            <w:r w:rsidRPr="00DF3006">
              <w:rPr>
                <w:rFonts w:asciiTheme="majorHAnsi" w:hAnsiTheme="majorHAnsi" w:cstheme="majorHAnsi"/>
                <w:color w:val="414042" w:themeColor="text1"/>
                <w:sz w:val="14"/>
                <w:szCs w:val="14"/>
              </w:rPr>
              <w:t>73</w:t>
            </w:r>
          </w:p>
        </w:tc>
      </w:tr>
      <w:tr w:rsidR="00DF3006" w:rsidRPr="00DF3006" w14:paraId="1BBD4F26" w14:textId="77777777" w:rsidTr="0079589E">
        <w:trPr>
          <w:cantSplit/>
        </w:trPr>
        <w:tc>
          <w:tcPr>
            <w:tcW w:w="1177" w:type="pct"/>
            <w:vMerge/>
          </w:tcPr>
          <w:p w14:paraId="4F8419AE"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19DA1A2E"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 xml:space="preserve">Consultancies </w:t>
            </w:r>
          </w:p>
        </w:tc>
        <w:tc>
          <w:tcPr>
            <w:tcW w:w="1103" w:type="pct"/>
            <w:shd w:val="clear" w:color="auto" w:fill="auto"/>
          </w:tcPr>
          <w:p w14:paraId="5F2B14C0"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31.1</w:t>
            </w:r>
          </w:p>
        </w:tc>
        <w:tc>
          <w:tcPr>
            <w:tcW w:w="882" w:type="pct"/>
            <w:shd w:val="clear" w:color="auto" w:fill="auto"/>
            <w:vAlign w:val="center"/>
          </w:tcPr>
          <w:p w14:paraId="12C7F2E1" w14:textId="77777777" w:rsidR="00B267CC" w:rsidRPr="00DF3006" w:rsidRDefault="00B267CC" w:rsidP="0079589E">
            <w:pPr>
              <w:pStyle w:val="Text"/>
              <w:spacing w:before="0" w:after="0"/>
              <w:jc w:val="center"/>
              <w:rPr>
                <w:rFonts w:asciiTheme="majorHAnsi" w:hAnsiTheme="majorHAnsi" w:cstheme="majorHAnsi"/>
                <w:color w:val="414042" w:themeColor="text1"/>
                <w:sz w:val="14"/>
                <w:szCs w:val="14"/>
              </w:rPr>
            </w:pPr>
            <w:r w:rsidRPr="00DF3006">
              <w:rPr>
                <w:rStyle w:val="Hyperlink"/>
                <w:rFonts w:asciiTheme="majorHAnsi" w:hAnsiTheme="majorHAnsi" w:cstheme="majorHAnsi"/>
                <w:color w:val="414042" w:themeColor="text1"/>
                <w:sz w:val="14"/>
                <w:szCs w:val="14"/>
              </w:rPr>
              <w:t>https://data.qld.gov.au</w:t>
            </w:r>
          </w:p>
        </w:tc>
      </w:tr>
      <w:tr w:rsidR="00DF3006" w:rsidRPr="00DF3006" w14:paraId="103F1181" w14:textId="77777777" w:rsidTr="0079589E">
        <w:trPr>
          <w:cantSplit/>
        </w:trPr>
        <w:tc>
          <w:tcPr>
            <w:tcW w:w="1177" w:type="pct"/>
            <w:vMerge/>
          </w:tcPr>
          <w:p w14:paraId="48921B21"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28278EEA"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Overseas travel</w:t>
            </w:r>
          </w:p>
        </w:tc>
        <w:tc>
          <w:tcPr>
            <w:tcW w:w="1103" w:type="pct"/>
            <w:shd w:val="clear" w:color="auto" w:fill="auto"/>
          </w:tcPr>
          <w:p w14:paraId="10A27D41"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31.2</w:t>
            </w:r>
          </w:p>
        </w:tc>
        <w:tc>
          <w:tcPr>
            <w:tcW w:w="882" w:type="pct"/>
            <w:shd w:val="clear" w:color="auto" w:fill="auto"/>
            <w:vAlign w:val="center"/>
          </w:tcPr>
          <w:p w14:paraId="44ABDCB6" w14:textId="000AFD5D" w:rsidR="00B267CC" w:rsidRPr="00DF3006" w:rsidRDefault="00893D3C" w:rsidP="0079589E">
            <w:pPr>
              <w:pStyle w:val="Text"/>
              <w:spacing w:before="0" w:after="0"/>
              <w:jc w:val="center"/>
              <w:rPr>
                <w:rFonts w:asciiTheme="majorHAnsi" w:hAnsiTheme="majorHAnsi" w:cstheme="majorHAnsi"/>
                <w:color w:val="414042" w:themeColor="text1"/>
                <w:sz w:val="14"/>
                <w:szCs w:val="14"/>
              </w:rPr>
            </w:pPr>
            <w:r w:rsidRPr="00DF3006">
              <w:rPr>
                <w:rStyle w:val="Hyperlink"/>
                <w:rFonts w:asciiTheme="majorHAnsi" w:hAnsiTheme="majorHAnsi" w:cstheme="majorHAnsi"/>
                <w:color w:val="414042" w:themeColor="text1"/>
                <w:sz w:val="14"/>
                <w:szCs w:val="14"/>
              </w:rPr>
              <w:t>https://data.qld.gov.au</w:t>
            </w:r>
          </w:p>
        </w:tc>
      </w:tr>
      <w:tr w:rsidR="00DF3006" w:rsidRPr="00DF3006" w14:paraId="779749E5" w14:textId="77777777" w:rsidTr="0079589E">
        <w:trPr>
          <w:cantSplit/>
        </w:trPr>
        <w:tc>
          <w:tcPr>
            <w:tcW w:w="1177" w:type="pct"/>
            <w:vMerge/>
          </w:tcPr>
          <w:p w14:paraId="5E8F3E1B"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p>
        </w:tc>
        <w:tc>
          <w:tcPr>
            <w:tcW w:w="1838" w:type="pct"/>
          </w:tcPr>
          <w:p w14:paraId="384E6D26"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Queensland Language Services Policy</w:t>
            </w:r>
          </w:p>
        </w:tc>
        <w:tc>
          <w:tcPr>
            <w:tcW w:w="1103" w:type="pct"/>
            <w:shd w:val="clear" w:color="auto" w:fill="auto"/>
          </w:tcPr>
          <w:p w14:paraId="33BE0E64"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31.3</w:t>
            </w:r>
          </w:p>
        </w:tc>
        <w:tc>
          <w:tcPr>
            <w:tcW w:w="882" w:type="pct"/>
            <w:shd w:val="clear" w:color="auto" w:fill="auto"/>
            <w:vAlign w:val="center"/>
          </w:tcPr>
          <w:p w14:paraId="1D3AE607" w14:textId="77777777" w:rsidR="00B267CC" w:rsidRPr="00DF3006" w:rsidRDefault="00B267CC" w:rsidP="0079589E">
            <w:pPr>
              <w:pStyle w:val="Text"/>
              <w:spacing w:before="0" w:after="0"/>
              <w:jc w:val="center"/>
              <w:rPr>
                <w:rFonts w:asciiTheme="majorHAnsi" w:hAnsiTheme="majorHAnsi" w:cstheme="majorHAnsi"/>
                <w:color w:val="414042" w:themeColor="text1"/>
                <w:sz w:val="14"/>
                <w:szCs w:val="14"/>
              </w:rPr>
            </w:pPr>
            <w:r w:rsidRPr="00DF3006">
              <w:rPr>
                <w:rStyle w:val="Hyperlink"/>
                <w:rFonts w:asciiTheme="majorHAnsi" w:hAnsiTheme="majorHAnsi" w:cstheme="majorHAnsi"/>
                <w:color w:val="414042" w:themeColor="text1"/>
                <w:sz w:val="14"/>
                <w:szCs w:val="14"/>
              </w:rPr>
              <w:t>https://data.qld.gov.au</w:t>
            </w:r>
          </w:p>
        </w:tc>
      </w:tr>
      <w:tr w:rsidR="00DF3006" w:rsidRPr="00DF3006" w14:paraId="4679695A" w14:textId="77777777" w:rsidTr="0079589E">
        <w:trPr>
          <w:cantSplit/>
        </w:trPr>
        <w:tc>
          <w:tcPr>
            <w:tcW w:w="1177" w:type="pct"/>
            <w:vMerge w:val="restart"/>
          </w:tcPr>
          <w:p w14:paraId="01FACE9B" w14:textId="77777777" w:rsidR="00B267CC" w:rsidRPr="00DF3006" w:rsidRDefault="00B267CC" w:rsidP="00573772">
            <w:pPr>
              <w:pStyle w:val="Text"/>
              <w:spacing w:before="0" w:after="0"/>
              <w:rPr>
                <w:rFonts w:asciiTheme="minorHAnsi" w:hAnsiTheme="minorHAnsi" w:cstheme="minorHAnsi"/>
                <w:b/>
                <w:bCs/>
                <w:color w:val="414042" w:themeColor="text1"/>
                <w:sz w:val="16"/>
                <w:szCs w:val="16"/>
              </w:rPr>
            </w:pPr>
            <w:r w:rsidRPr="00DF3006">
              <w:rPr>
                <w:rFonts w:asciiTheme="minorHAnsi" w:hAnsiTheme="minorHAnsi" w:cstheme="minorHAnsi"/>
                <w:b/>
                <w:bCs/>
                <w:color w:val="414042" w:themeColor="text1"/>
                <w:sz w:val="16"/>
                <w:szCs w:val="16"/>
              </w:rPr>
              <w:t>Financial statements</w:t>
            </w:r>
          </w:p>
        </w:tc>
        <w:tc>
          <w:tcPr>
            <w:tcW w:w="1838" w:type="pct"/>
          </w:tcPr>
          <w:p w14:paraId="0DD4BFE4"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Certification of financial statements</w:t>
            </w:r>
          </w:p>
        </w:tc>
        <w:tc>
          <w:tcPr>
            <w:tcW w:w="1103" w:type="pct"/>
            <w:shd w:val="clear" w:color="auto" w:fill="auto"/>
          </w:tcPr>
          <w:p w14:paraId="35D24E6B"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r w:rsidRPr="00DF3006">
              <w:rPr>
                <w:rFonts w:asciiTheme="minorHAnsi" w:hAnsiTheme="minorHAnsi" w:cstheme="minorHAnsi"/>
                <w:color w:val="414042" w:themeColor="text1"/>
                <w:sz w:val="14"/>
                <w:szCs w:val="14"/>
              </w:rPr>
              <w:t>FAA – section 62</w:t>
            </w:r>
          </w:p>
          <w:p w14:paraId="60173F61"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FPMS</w:t>
            </w:r>
            <w:proofErr w:type="spellEnd"/>
            <w:r w:rsidRPr="00DF3006">
              <w:rPr>
                <w:rFonts w:asciiTheme="minorHAnsi" w:hAnsiTheme="minorHAnsi" w:cstheme="minorHAnsi"/>
                <w:color w:val="414042" w:themeColor="text1"/>
                <w:sz w:val="14"/>
                <w:szCs w:val="14"/>
              </w:rPr>
              <w:t xml:space="preserve"> – sections 38, 39 and 46</w:t>
            </w:r>
          </w:p>
          <w:p w14:paraId="76E74447"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17.1</w:t>
            </w:r>
          </w:p>
        </w:tc>
        <w:tc>
          <w:tcPr>
            <w:tcW w:w="882" w:type="pct"/>
            <w:shd w:val="clear" w:color="auto" w:fill="auto"/>
            <w:vAlign w:val="center"/>
          </w:tcPr>
          <w:p w14:paraId="2133420B" w14:textId="738B0965" w:rsidR="00B267CC" w:rsidRPr="00DF3006" w:rsidRDefault="0079589E"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116</w:t>
            </w:r>
          </w:p>
        </w:tc>
      </w:tr>
      <w:tr w:rsidR="00DF3006" w:rsidRPr="00DF3006" w14:paraId="4E079AE1" w14:textId="77777777" w:rsidTr="0079589E">
        <w:trPr>
          <w:cantSplit/>
        </w:trPr>
        <w:tc>
          <w:tcPr>
            <w:tcW w:w="1177" w:type="pct"/>
            <w:vMerge/>
          </w:tcPr>
          <w:p w14:paraId="3ACB74DE" w14:textId="77777777" w:rsidR="00B267CC" w:rsidRPr="00DF3006" w:rsidRDefault="00B267CC" w:rsidP="00573772">
            <w:pPr>
              <w:pStyle w:val="Text"/>
              <w:spacing w:before="0" w:after="0"/>
              <w:rPr>
                <w:rFonts w:asciiTheme="majorHAnsi" w:hAnsiTheme="majorHAnsi" w:cstheme="majorHAnsi"/>
                <w:bCs/>
                <w:color w:val="414042" w:themeColor="text1"/>
                <w:sz w:val="16"/>
                <w:szCs w:val="16"/>
                <w:highlight w:val="red"/>
              </w:rPr>
            </w:pPr>
          </w:p>
        </w:tc>
        <w:tc>
          <w:tcPr>
            <w:tcW w:w="1838" w:type="pct"/>
          </w:tcPr>
          <w:p w14:paraId="2A4F33F4" w14:textId="77777777" w:rsidR="00B267CC" w:rsidRPr="00DF3006" w:rsidRDefault="00B267CC" w:rsidP="00573772">
            <w:pPr>
              <w:pStyle w:val="Text"/>
              <w:tabs>
                <w:tab w:val="clear" w:pos="1713"/>
              </w:tabs>
              <w:spacing w:before="0" w:after="0"/>
              <w:rPr>
                <w:rFonts w:asciiTheme="majorHAnsi" w:hAnsiTheme="majorHAnsi" w:cstheme="majorHAnsi"/>
                <w:bCs/>
                <w:color w:val="414042" w:themeColor="text1"/>
                <w:sz w:val="16"/>
                <w:szCs w:val="16"/>
              </w:rPr>
            </w:pPr>
            <w:r w:rsidRPr="00DF3006">
              <w:rPr>
                <w:rFonts w:asciiTheme="majorHAnsi" w:hAnsiTheme="majorHAnsi" w:cstheme="majorHAnsi"/>
                <w:bCs/>
                <w:color w:val="414042" w:themeColor="text1"/>
                <w:sz w:val="16"/>
                <w:szCs w:val="16"/>
              </w:rPr>
              <w:t>Independent Auditor’s Report</w:t>
            </w:r>
          </w:p>
        </w:tc>
        <w:tc>
          <w:tcPr>
            <w:tcW w:w="1103" w:type="pct"/>
            <w:shd w:val="clear" w:color="auto" w:fill="auto"/>
          </w:tcPr>
          <w:p w14:paraId="3B88E02C"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r w:rsidRPr="00DF3006">
              <w:rPr>
                <w:rFonts w:asciiTheme="minorHAnsi" w:hAnsiTheme="minorHAnsi" w:cstheme="minorHAnsi"/>
                <w:color w:val="414042" w:themeColor="text1"/>
                <w:sz w:val="14"/>
                <w:szCs w:val="14"/>
              </w:rPr>
              <w:t>FAA – section 62</w:t>
            </w:r>
          </w:p>
          <w:p w14:paraId="0D0CCB3C" w14:textId="77777777"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FPMS</w:t>
            </w:r>
            <w:proofErr w:type="spellEnd"/>
            <w:r w:rsidRPr="00DF3006">
              <w:rPr>
                <w:rFonts w:asciiTheme="minorHAnsi" w:hAnsiTheme="minorHAnsi" w:cstheme="minorHAnsi"/>
                <w:color w:val="414042" w:themeColor="text1"/>
                <w:sz w:val="14"/>
                <w:szCs w:val="14"/>
              </w:rPr>
              <w:t xml:space="preserve"> – section 46</w:t>
            </w:r>
          </w:p>
          <w:p w14:paraId="3EDD68B5" w14:textId="6FE09A0A" w:rsidR="00B267CC" w:rsidRPr="00DF3006" w:rsidRDefault="00B267CC" w:rsidP="00573772">
            <w:pPr>
              <w:pStyle w:val="Text"/>
              <w:spacing w:before="0" w:after="0"/>
              <w:rPr>
                <w:rFonts w:asciiTheme="minorHAnsi" w:hAnsiTheme="minorHAnsi" w:cstheme="minorHAnsi"/>
                <w:color w:val="414042" w:themeColor="text1"/>
                <w:sz w:val="14"/>
                <w:szCs w:val="14"/>
              </w:rPr>
            </w:pPr>
            <w:proofErr w:type="spellStart"/>
            <w:r w:rsidRPr="00DF3006">
              <w:rPr>
                <w:rFonts w:asciiTheme="minorHAnsi" w:hAnsiTheme="minorHAnsi" w:cstheme="minorHAnsi"/>
                <w:color w:val="414042" w:themeColor="text1"/>
                <w:sz w:val="14"/>
                <w:szCs w:val="14"/>
              </w:rPr>
              <w:t>ARRs</w:t>
            </w:r>
            <w:proofErr w:type="spellEnd"/>
            <w:r w:rsidRPr="00DF3006">
              <w:rPr>
                <w:rFonts w:asciiTheme="minorHAnsi" w:hAnsiTheme="minorHAnsi" w:cstheme="minorHAnsi"/>
                <w:color w:val="414042" w:themeColor="text1"/>
                <w:sz w:val="14"/>
                <w:szCs w:val="14"/>
              </w:rPr>
              <w:t xml:space="preserve"> – section 17.2</w:t>
            </w:r>
          </w:p>
        </w:tc>
        <w:tc>
          <w:tcPr>
            <w:tcW w:w="882" w:type="pct"/>
            <w:shd w:val="clear" w:color="auto" w:fill="auto"/>
            <w:vAlign w:val="center"/>
          </w:tcPr>
          <w:p w14:paraId="4F06AC2A" w14:textId="6ABA2C91" w:rsidR="00B267CC" w:rsidRPr="00DF3006" w:rsidRDefault="0079589E" w:rsidP="0079589E">
            <w:pPr>
              <w:pStyle w:val="Text"/>
              <w:spacing w:before="0" w:after="0"/>
              <w:jc w:val="center"/>
              <w:rPr>
                <w:rFonts w:asciiTheme="majorHAnsi" w:hAnsiTheme="majorHAnsi" w:cstheme="majorHAnsi"/>
                <w:color w:val="414042" w:themeColor="text1"/>
                <w:sz w:val="14"/>
                <w:szCs w:val="14"/>
              </w:rPr>
            </w:pPr>
            <w:r w:rsidRPr="00DF3006">
              <w:rPr>
                <w:rFonts w:asciiTheme="majorHAnsi" w:hAnsiTheme="majorHAnsi" w:cstheme="majorHAnsi"/>
                <w:color w:val="414042" w:themeColor="text1"/>
                <w:sz w:val="14"/>
                <w:szCs w:val="14"/>
              </w:rPr>
              <w:t>117</w:t>
            </w:r>
            <w:r w:rsidR="00136F0B" w:rsidRPr="00DF3006">
              <w:rPr>
                <w:rFonts w:asciiTheme="majorHAnsi" w:hAnsiTheme="majorHAnsi" w:cstheme="majorHAnsi"/>
                <w:color w:val="414042" w:themeColor="text1"/>
                <w:sz w:val="14"/>
                <w:szCs w:val="14"/>
              </w:rPr>
              <w:t>–</w:t>
            </w:r>
            <w:r w:rsidRPr="00DF3006">
              <w:rPr>
                <w:rFonts w:asciiTheme="majorHAnsi" w:hAnsiTheme="majorHAnsi" w:cstheme="majorHAnsi"/>
                <w:color w:val="414042" w:themeColor="text1"/>
                <w:sz w:val="14"/>
                <w:szCs w:val="14"/>
              </w:rPr>
              <w:t>119</w:t>
            </w:r>
          </w:p>
        </w:tc>
      </w:tr>
    </w:tbl>
    <w:p w14:paraId="52B20AD7" w14:textId="77777777" w:rsidR="00B267CC" w:rsidRPr="00DF3006" w:rsidRDefault="00B267CC" w:rsidP="00B267CC">
      <w:pPr>
        <w:pStyle w:val="Text"/>
        <w:spacing w:before="40" w:after="0"/>
        <w:rPr>
          <w:rFonts w:cs="Arial"/>
          <w:i/>
          <w:color w:val="414042" w:themeColor="text1"/>
          <w:sz w:val="16"/>
          <w:szCs w:val="16"/>
        </w:rPr>
      </w:pPr>
      <w:r w:rsidRPr="00DF3006">
        <w:rPr>
          <w:rFonts w:cs="Arial"/>
          <w:color w:val="414042" w:themeColor="text1"/>
          <w:sz w:val="16"/>
          <w:szCs w:val="16"/>
        </w:rPr>
        <w:t xml:space="preserve">FAA </w:t>
      </w:r>
      <w:r w:rsidRPr="00DF3006">
        <w:rPr>
          <w:rFonts w:cs="Arial"/>
          <w:color w:val="414042" w:themeColor="text1"/>
          <w:sz w:val="16"/>
          <w:szCs w:val="16"/>
        </w:rPr>
        <w:tab/>
      </w:r>
      <w:r w:rsidRPr="00DF3006">
        <w:rPr>
          <w:rFonts w:cs="Arial"/>
          <w:i/>
          <w:color w:val="414042" w:themeColor="text1"/>
          <w:sz w:val="16"/>
          <w:szCs w:val="16"/>
        </w:rPr>
        <w:t xml:space="preserve">Financial Accountability Act 2009 </w:t>
      </w:r>
    </w:p>
    <w:p w14:paraId="1356ABEE" w14:textId="77777777" w:rsidR="00B267CC" w:rsidRPr="00DF3006" w:rsidRDefault="00B267CC" w:rsidP="00B267CC">
      <w:pPr>
        <w:pStyle w:val="Text"/>
        <w:spacing w:before="40" w:after="0"/>
        <w:rPr>
          <w:rFonts w:cs="Arial"/>
          <w:i/>
          <w:color w:val="414042" w:themeColor="text1"/>
          <w:sz w:val="16"/>
          <w:szCs w:val="16"/>
        </w:rPr>
      </w:pPr>
      <w:proofErr w:type="spellStart"/>
      <w:r w:rsidRPr="00DF3006">
        <w:rPr>
          <w:rFonts w:cs="Arial"/>
          <w:color w:val="414042" w:themeColor="text1"/>
          <w:sz w:val="16"/>
          <w:szCs w:val="16"/>
        </w:rPr>
        <w:t>FPMS</w:t>
      </w:r>
      <w:proofErr w:type="spellEnd"/>
      <w:r w:rsidRPr="00DF3006">
        <w:rPr>
          <w:rFonts w:cs="Arial"/>
          <w:color w:val="414042" w:themeColor="text1"/>
          <w:sz w:val="16"/>
          <w:szCs w:val="16"/>
        </w:rPr>
        <w:t xml:space="preserve"> </w:t>
      </w:r>
      <w:r w:rsidRPr="00DF3006">
        <w:rPr>
          <w:rFonts w:cs="Arial"/>
          <w:color w:val="414042" w:themeColor="text1"/>
          <w:sz w:val="16"/>
          <w:szCs w:val="16"/>
        </w:rPr>
        <w:tab/>
      </w:r>
      <w:r w:rsidRPr="00DF3006">
        <w:rPr>
          <w:rFonts w:cs="Arial"/>
          <w:i/>
          <w:color w:val="414042" w:themeColor="text1"/>
          <w:sz w:val="16"/>
          <w:szCs w:val="16"/>
        </w:rPr>
        <w:t>Financial and Performance Management Standard 2019</w:t>
      </w:r>
    </w:p>
    <w:p w14:paraId="7F0E8A6C" w14:textId="77777777" w:rsidR="00B267CC" w:rsidRPr="00DF3006" w:rsidRDefault="00B267CC" w:rsidP="00B267CC">
      <w:pPr>
        <w:pStyle w:val="Text"/>
        <w:spacing w:before="40" w:after="0"/>
        <w:rPr>
          <w:rFonts w:cs="Arial"/>
          <w:color w:val="414042" w:themeColor="text1"/>
          <w:sz w:val="16"/>
          <w:szCs w:val="16"/>
        </w:rPr>
      </w:pPr>
      <w:proofErr w:type="spellStart"/>
      <w:r w:rsidRPr="00DF3006">
        <w:rPr>
          <w:rFonts w:cs="Arial"/>
          <w:color w:val="414042" w:themeColor="text1"/>
          <w:sz w:val="16"/>
          <w:szCs w:val="16"/>
        </w:rPr>
        <w:t>ARRs</w:t>
      </w:r>
      <w:proofErr w:type="spellEnd"/>
      <w:r w:rsidRPr="00DF3006">
        <w:rPr>
          <w:rFonts w:cs="Arial"/>
          <w:color w:val="414042" w:themeColor="text1"/>
          <w:sz w:val="16"/>
          <w:szCs w:val="16"/>
        </w:rPr>
        <w:tab/>
      </w:r>
      <w:r w:rsidRPr="00DF3006">
        <w:rPr>
          <w:rFonts w:cs="Arial"/>
          <w:i/>
          <w:color w:val="414042" w:themeColor="text1"/>
          <w:sz w:val="16"/>
          <w:szCs w:val="16"/>
        </w:rPr>
        <w:t>Annual report requirements for Queensland Government agencies</w:t>
      </w:r>
    </w:p>
    <w:p w14:paraId="68E62E55" w14:textId="21245EF8" w:rsidR="00980434" w:rsidRPr="00DF3006" w:rsidRDefault="00980434" w:rsidP="00714F06">
      <w:pPr>
        <w:spacing w:before="120" w:after="0" w:line="260" w:lineRule="exact"/>
        <w:rPr>
          <w:color w:val="414042" w:themeColor="text1"/>
        </w:rPr>
      </w:pPr>
      <w:r w:rsidRPr="00DF3006">
        <w:rPr>
          <w:color w:val="414042" w:themeColor="text1"/>
        </w:rPr>
        <w:br w:type="page"/>
      </w:r>
    </w:p>
    <w:p w14:paraId="3071A11C" w14:textId="77777777" w:rsidR="00707720" w:rsidRPr="00DF3006" w:rsidRDefault="00707720">
      <w:pPr>
        <w:spacing w:before="120" w:after="0" w:line="260" w:lineRule="exact"/>
        <w:rPr>
          <w:color w:val="414042" w:themeColor="text1"/>
        </w:rPr>
      </w:pPr>
    </w:p>
    <w:p w14:paraId="7FCE1B4A" w14:textId="77777777" w:rsidR="00707720" w:rsidRPr="00DF3006" w:rsidRDefault="00707720">
      <w:pPr>
        <w:spacing w:before="120" w:after="0" w:line="260" w:lineRule="exact"/>
        <w:rPr>
          <w:color w:val="414042" w:themeColor="text1"/>
        </w:rPr>
      </w:pPr>
    </w:p>
    <w:p w14:paraId="2EBD4327" w14:textId="77777777" w:rsidR="00707720" w:rsidRPr="00DF3006" w:rsidRDefault="00707720">
      <w:pPr>
        <w:spacing w:before="120" w:after="0" w:line="260" w:lineRule="exact"/>
        <w:rPr>
          <w:color w:val="414042" w:themeColor="text1"/>
        </w:rPr>
      </w:pPr>
    </w:p>
    <w:p w14:paraId="1C77BB66" w14:textId="77777777" w:rsidR="00707720" w:rsidRPr="00DF3006" w:rsidRDefault="00707720">
      <w:pPr>
        <w:spacing w:before="120" w:after="0" w:line="260" w:lineRule="exact"/>
        <w:rPr>
          <w:color w:val="414042" w:themeColor="text1"/>
        </w:rPr>
      </w:pPr>
    </w:p>
    <w:p w14:paraId="62A750D7" w14:textId="77777777" w:rsidR="00707720" w:rsidRPr="00DF3006" w:rsidRDefault="00707720">
      <w:pPr>
        <w:spacing w:before="120" w:after="0" w:line="260" w:lineRule="exact"/>
        <w:rPr>
          <w:color w:val="414042" w:themeColor="text1"/>
        </w:rPr>
      </w:pPr>
    </w:p>
    <w:p w14:paraId="58B4995E" w14:textId="77777777" w:rsidR="00707720" w:rsidRPr="00DF3006" w:rsidRDefault="00707720">
      <w:pPr>
        <w:spacing w:before="120" w:after="0" w:line="260" w:lineRule="exact"/>
        <w:rPr>
          <w:color w:val="414042" w:themeColor="text1"/>
        </w:rPr>
      </w:pPr>
    </w:p>
    <w:p w14:paraId="15730CDE" w14:textId="77777777" w:rsidR="00707720" w:rsidRPr="00DF3006" w:rsidRDefault="00707720">
      <w:pPr>
        <w:spacing w:before="120" w:after="0" w:line="260" w:lineRule="exact"/>
        <w:rPr>
          <w:color w:val="414042" w:themeColor="text1"/>
        </w:rPr>
      </w:pPr>
    </w:p>
    <w:p w14:paraId="0CFB10CE" w14:textId="77777777" w:rsidR="00707720" w:rsidRPr="00DF3006" w:rsidRDefault="00707720">
      <w:pPr>
        <w:spacing w:before="120" w:after="0" w:line="260" w:lineRule="exact"/>
        <w:rPr>
          <w:color w:val="414042" w:themeColor="text1"/>
        </w:rPr>
      </w:pPr>
    </w:p>
    <w:p w14:paraId="6BD93C22" w14:textId="77777777" w:rsidR="00707720" w:rsidRPr="00DF3006" w:rsidRDefault="00707720">
      <w:pPr>
        <w:spacing w:before="120" w:after="0" w:line="260" w:lineRule="exact"/>
        <w:rPr>
          <w:color w:val="414042" w:themeColor="text1"/>
        </w:rPr>
      </w:pPr>
    </w:p>
    <w:p w14:paraId="6DF6A8D2" w14:textId="77777777" w:rsidR="00707720" w:rsidRPr="00DF3006" w:rsidRDefault="00707720">
      <w:pPr>
        <w:spacing w:before="120" w:after="0" w:line="260" w:lineRule="exact"/>
        <w:rPr>
          <w:color w:val="414042" w:themeColor="text1"/>
        </w:rPr>
      </w:pPr>
    </w:p>
    <w:p w14:paraId="5A64EF24" w14:textId="77777777" w:rsidR="00707720" w:rsidRPr="00DF3006" w:rsidRDefault="00707720">
      <w:pPr>
        <w:spacing w:before="120" w:after="0" w:line="260" w:lineRule="exact"/>
        <w:rPr>
          <w:color w:val="414042" w:themeColor="text1"/>
        </w:rPr>
      </w:pPr>
    </w:p>
    <w:p w14:paraId="760D46A6" w14:textId="77777777" w:rsidR="00707720" w:rsidRPr="00DF3006" w:rsidRDefault="00707720">
      <w:pPr>
        <w:spacing w:before="120" w:after="0" w:line="260" w:lineRule="exact"/>
        <w:rPr>
          <w:color w:val="414042" w:themeColor="text1"/>
        </w:rPr>
      </w:pPr>
    </w:p>
    <w:p w14:paraId="4F6D5544" w14:textId="77777777" w:rsidR="00707720" w:rsidRPr="00DF3006" w:rsidRDefault="00707720">
      <w:pPr>
        <w:spacing w:before="120" w:after="0" w:line="260" w:lineRule="exact"/>
        <w:rPr>
          <w:color w:val="414042" w:themeColor="text1"/>
        </w:rPr>
      </w:pPr>
    </w:p>
    <w:p w14:paraId="5C58D364" w14:textId="77777777" w:rsidR="00707720" w:rsidRPr="00DF3006" w:rsidRDefault="00707720">
      <w:pPr>
        <w:spacing w:before="120" w:after="0" w:line="260" w:lineRule="exact"/>
        <w:rPr>
          <w:color w:val="414042" w:themeColor="text1"/>
        </w:rPr>
      </w:pPr>
    </w:p>
    <w:p w14:paraId="1D18F703" w14:textId="77777777" w:rsidR="00707720" w:rsidRPr="00DF3006" w:rsidRDefault="00707720">
      <w:pPr>
        <w:spacing w:before="120" w:after="0" w:line="260" w:lineRule="exact"/>
        <w:rPr>
          <w:color w:val="414042" w:themeColor="text1"/>
        </w:rPr>
      </w:pPr>
    </w:p>
    <w:p w14:paraId="76B558FA" w14:textId="77777777" w:rsidR="00707720" w:rsidRPr="00DF3006" w:rsidRDefault="00707720">
      <w:pPr>
        <w:spacing w:before="120" w:after="0" w:line="260" w:lineRule="exact"/>
        <w:rPr>
          <w:color w:val="414042" w:themeColor="text1"/>
        </w:rPr>
      </w:pPr>
    </w:p>
    <w:p w14:paraId="37531758" w14:textId="77777777" w:rsidR="00707720" w:rsidRPr="00DF3006" w:rsidRDefault="00707720">
      <w:pPr>
        <w:spacing w:before="120" w:after="0" w:line="260" w:lineRule="exact"/>
        <w:rPr>
          <w:color w:val="414042" w:themeColor="text1"/>
        </w:rPr>
      </w:pPr>
    </w:p>
    <w:p w14:paraId="3F356D25" w14:textId="77777777" w:rsidR="00707720" w:rsidRPr="00DF3006" w:rsidRDefault="00707720">
      <w:pPr>
        <w:spacing w:before="120" w:after="0" w:line="260" w:lineRule="exact"/>
        <w:rPr>
          <w:color w:val="414042" w:themeColor="text1"/>
        </w:rPr>
      </w:pPr>
    </w:p>
    <w:p w14:paraId="0E0DE5EA" w14:textId="77777777" w:rsidR="00707720" w:rsidRPr="00DF3006" w:rsidRDefault="00707720">
      <w:pPr>
        <w:spacing w:before="120" w:after="0" w:line="260" w:lineRule="exact"/>
        <w:rPr>
          <w:color w:val="414042" w:themeColor="text1"/>
        </w:rPr>
      </w:pPr>
    </w:p>
    <w:p w14:paraId="3851EA4E" w14:textId="77777777" w:rsidR="00707720" w:rsidRPr="00DF3006" w:rsidRDefault="00707720">
      <w:pPr>
        <w:spacing w:before="120" w:after="0" w:line="260" w:lineRule="exact"/>
        <w:rPr>
          <w:color w:val="414042" w:themeColor="text1"/>
        </w:rPr>
      </w:pPr>
    </w:p>
    <w:p w14:paraId="6055A2F7" w14:textId="77777777" w:rsidR="00707720" w:rsidRPr="00DF3006" w:rsidRDefault="00707720">
      <w:pPr>
        <w:spacing w:before="120" w:after="0" w:line="260" w:lineRule="exact"/>
        <w:rPr>
          <w:color w:val="414042" w:themeColor="text1"/>
        </w:rPr>
      </w:pPr>
    </w:p>
    <w:p w14:paraId="1F960EAD" w14:textId="77777777" w:rsidR="00707720" w:rsidRPr="00DF3006" w:rsidRDefault="00707720">
      <w:pPr>
        <w:spacing w:before="120" w:after="0" w:line="260" w:lineRule="exact"/>
        <w:rPr>
          <w:color w:val="414042" w:themeColor="text1"/>
        </w:rPr>
      </w:pPr>
    </w:p>
    <w:p w14:paraId="3C39121E" w14:textId="77777777" w:rsidR="00707720" w:rsidRPr="00DF3006" w:rsidRDefault="00707720">
      <w:pPr>
        <w:spacing w:before="120" w:after="0" w:line="260" w:lineRule="exact"/>
        <w:rPr>
          <w:color w:val="414042" w:themeColor="text1"/>
        </w:rPr>
      </w:pPr>
    </w:p>
    <w:p w14:paraId="5A54D8B7" w14:textId="77777777" w:rsidR="00707720" w:rsidRPr="00DF3006" w:rsidRDefault="00707720">
      <w:pPr>
        <w:spacing w:before="120" w:after="0" w:line="260" w:lineRule="exact"/>
        <w:rPr>
          <w:color w:val="414042" w:themeColor="text1"/>
        </w:rPr>
      </w:pPr>
    </w:p>
    <w:p w14:paraId="2AAA27AC" w14:textId="77777777" w:rsidR="00707720" w:rsidRPr="00DF3006" w:rsidRDefault="00707720">
      <w:pPr>
        <w:spacing w:before="120" w:after="0" w:line="260" w:lineRule="exact"/>
        <w:rPr>
          <w:color w:val="414042" w:themeColor="text1"/>
        </w:rPr>
      </w:pPr>
    </w:p>
    <w:p w14:paraId="6659F978" w14:textId="77777777" w:rsidR="00707720" w:rsidRPr="00DF3006" w:rsidRDefault="00707720">
      <w:pPr>
        <w:spacing w:before="120" w:after="0" w:line="260" w:lineRule="exact"/>
        <w:rPr>
          <w:color w:val="414042" w:themeColor="text1"/>
        </w:rPr>
      </w:pPr>
    </w:p>
    <w:p w14:paraId="19A1D36A" w14:textId="77777777" w:rsidR="00707720" w:rsidRPr="00DF3006" w:rsidRDefault="00707720">
      <w:pPr>
        <w:spacing w:before="120" w:after="0" w:line="260" w:lineRule="exact"/>
        <w:rPr>
          <w:color w:val="414042" w:themeColor="text1"/>
        </w:rPr>
      </w:pPr>
    </w:p>
    <w:p w14:paraId="379CABD3" w14:textId="77777777" w:rsidR="00707720" w:rsidRPr="00DF3006" w:rsidRDefault="00707720">
      <w:pPr>
        <w:spacing w:before="120" w:after="0" w:line="260" w:lineRule="exact"/>
        <w:rPr>
          <w:color w:val="414042" w:themeColor="text1"/>
        </w:rPr>
      </w:pPr>
    </w:p>
    <w:p w14:paraId="7C2D9BE4" w14:textId="77777777" w:rsidR="00707720" w:rsidRPr="00DF3006" w:rsidRDefault="00707720">
      <w:pPr>
        <w:spacing w:before="120" w:after="0" w:line="260" w:lineRule="exact"/>
        <w:rPr>
          <w:color w:val="414042" w:themeColor="text1"/>
        </w:rPr>
      </w:pPr>
    </w:p>
    <w:p w14:paraId="4CBC0C0C" w14:textId="77777777" w:rsidR="00707720" w:rsidRPr="00DF3006" w:rsidRDefault="00707720">
      <w:pPr>
        <w:spacing w:before="120" w:after="0" w:line="260" w:lineRule="exact"/>
        <w:rPr>
          <w:color w:val="414042" w:themeColor="text1"/>
        </w:rPr>
      </w:pPr>
    </w:p>
    <w:p w14:paraId="26A2D825" w14:textId="77777777" w:rsidR="00707720" w:rsidRPr="00DF3006" w:rsidRDefault="00707720">
      <w:pPr>
        <w:spacing w:before="120" w:after="0" w:line="260" w:lineRule="exact"/>
        <w:rPr>
          <w:color w:val="414042" w:themeColor="text1"/>
        </w:rPr>
      </w:pPr>
    </w:p>
    <w:p w14:paraId="6323644F" w14:textId="77777777" w:rsidR="00707720" w:rsidRPr="00DF3006" w:rsidRDefault="00707720">
      <w:pPr>
        <w:spacing w:before="120" w:after="0" w:line="260" w:lineRule="exact"/>
        <w:rPr>
          <w:color w:val="414042" w:themeColor="text1"/>
        </w:rPr>
      </w:pPr>
    </w:p>
    <w:p w14:paraId="340D0ED2" w14:textId="77777777" w:rsidR="00707720" w:rsidRPr="00DF3006" w:rsidRDefault="00707720">
      <w:pPr>
        <w:spacing w:before="120" w:after="0" w:line="260" w:lineRule="exact"/>
        <w:rPr>
          <w:color w:val="414042" w:themeColor="text1"/>
        </w:rPr>
      </w:pPr>
    </w:p>
    <w:p w14:paraId="43CA571B" w14:textId="5FCC19F7" w:rsidR="00980434" w:rsidRPr="00DF3006" w:rsidRDefault="00965624" w:rsidP="00820EDD">
      <w:pPr>
        <w:spacing w:before="120" w:after="0" w:line="260" w:lineRule="exact"/>
        <w:jc w:val="center"/>
        <w:rPr>
          <w:color w:val="414042" w:themeColor="text1"/>
        </w:rPr>
        <w:sectPr w:rsidR="00980434" w:rsidRPr="00DF3006" w:rsidSect="00C77834">
          <w:headerReference w:type="even" r:id="rId360"/>
          <w:headerReference w:type="default" r:id="rId361"/>
          <w:footerReference w:type="even" r:id="rId362"/>
          <w:headerReference w:type="first" r:id="rId363"/>
          <w:pgSz w:w="11906" w:h="16838" w:code="9"/>
          <w:pgMar w:top="2155" w:right="1134" w:bottom="964" w:left="1134" w:header="720" w:footer="284" w:gutter="0"/>
          <w:cols w:space="567"/>
          <w:noEndnote/>
          <w:docGrid w:linePitch="272"/>
        </w:sectPr>
      </w:pPr>
      <w:r w:rsidRPr="00DF3006">
        <w:rPr>
          <w:color w:val="414042" w:themeColor="text1"/>
        </w:rPr>
        <w:t>This page has been left intentionally blank.</w:t>
      </w:r>
      <w:r w:rsidR="00CA7F44" w:rsidRPr="00DF3006">
        <w:rPr>
          <w:color w:val="414042" w:themeColor="text1"/>
        </w:rPr>
        <w:br w:type="page"/>
      </w:r>
    </w:p>
    <w:tbl>
      <w:tblPr>
        <w:tblStyle w:val="TableGrid1"/>
        <w:tblpPr w:leftFromText="181" w:rightFromText="181" w:vertAnchor="text" w:horzAnchor="margin" w:tblpY="80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541"/>
        <w:gridCol w:w="425"/>
        <w:gridCol w:w="3969"/>
      </w:tblGrid>
      <w:tr w:rsidR="00DF3006" w:rsidRPr="00F77DDC" w14:paraId="6A25E02A" w14:textId="77777777" w:rsidTr="00A24A31">
        <w:trPr>
          <w:trHeight w:val="568"/>
        </w:trPr>
        <w:tc>
          <w:tcPr>
            <w:tcW w:w="4962" w:type="dxa"/>
            <w:gridSpan w:val="2"/>
          </w:tcPr>
          <w:p w14:paraId="501E7B28" w14:textId="1049BABE" w:rsidR="009B6496" w:rsidRPr="00F77DDC" w:rsidRDefault="00A3673F" w:rsidP="00247441">
            <w:pPr>
              <w:spacing w:after="60" w:line="400" w:lineRule="exact"/>
              <w:jc w:val="left"/>
              <w:rPr>
                <w:rFonts w:asciiTheme="minorHAnsi" w:hAnsiTheme="minorHAnsi" w:cstheme="minorHAnsi"/>
                <w:color w:val="414042" w:themeColor="text1"/>
                <w:sz w:val="28"/>
                <w14:textOutline w14:w="9525" w14:cap="flat" w14:cmpd="sng" w14:algn="ctr">
                  <w14:noFill/>
                  <w14:prstDash w14:val="solid"/>
                  <w14:round/>
                </w14:textOutline>
              </w:rPr>
            </w:pPr>
            <w:r w:rsidRPr="00F77DDC">
              <w:rPr>
                <w:rFonts w:asciiTheme="minorHAnsi" w:hAnsiTheme="minorHAnsi" w:cstheme="minorHAnsi"/>
                <w:b/>
                <w:color w:val="414042" w:themeColor="text1"/>
                <w:sz w:val="28"/>
                <w:szCs w:val="36"/>
              </w:rPr>
              <w:t>Contact details</w:t>
            </w:r>
          </w:p>
        </w:tc>
        <w:tc>
          <w:tcPr>
            <w:tcW w:w="4394" w:type="dxa"/>
            <w:gridSpan w:val="2"/>
          </w:tcPr>
          <w:p w14:paraId="3C678353" w14:textId="6EE36866" w:rsidR="009B6496" w:rsidRPr="00F77DDC" w:rsidRDefault="009B6496" w:rsidP="00247441">
            <w:pPr>
              <w:spacing w:after="60" w:line="400" w:lineRule="exact"/>
              <w:jc w:val="left"/>
              <w:rPr>
                <w:rFonts w:asciiTheme="minorHAnsi" w:hAnsiTheme="minorHAnsi" w:cstheme="minorHAnsi"/>
                <w:b/>
                <w:color w:val="414042" w:themeColor="text1"/>
                <w:sz w:val="28"/>
                <w14:textOutline w14:w="9525" w14:cap="flat" w14:cmpd="sng" w14:algn="ctr">
                  <w14:noFill/>
                  <w14:prstDash w14:val="solid"/>
                  <w14:round/>
                </w14:textOutline>
              </w:rPr>
            </w:pPr>
            <w:r w:rsidRPr="00F77DDC">
              <w:rPr>
                <w:rFonts w:asciiTheme="minorHAnsi" w:hAnsiTheme="minorHAnsi" w:cstheme="minorHAnsi"/>
                <w:b/>
                <w:color w:val="414042" w:themeColor="text1"/>
                <w:sz w:val="28"/>
                <w:szCs w:val="36"/>
              </w:rPr>
              <w:t>More information</w:t>
            </w:r>
          </w:p>
        </w:tc>
      </w:tr>
      <w:tr w:rsidR="00DF3006" w:rsidRPr="00F77DDC" w14:paraId="41E6E82F" w14:textId="77777777" w:rsidTr="00A24A31">
        <w:trPr>
          <w:trHeight w:val="624"/>
        </w:trPr>
        <w:tc>
          <w:tcPr>
            <w:tcW w:w="421" w:type="dxa"/>
          </w:tcPr>
          <w:p w14:paraId="4A15A35E" w14:textId="1C3B5312" w:rsidR="009B6496" w:rsidRPr="00F77DDC" w:rsidRDefault="00D47A43" w:rsidP="00247441">
            <w:pPr>
              <w:suppressAutoHyphens/>
              <w:autoSpaceDE w:val="0"/>
              <w:autoSpaceDN w:val="0"/>
              <w:adjustRightInd w:val="0"/>
              <w:spacing w:before="100" w:beforeAutospacing="1" w:after="100" w:afterAutospacing="1" w:line="240" w:lineRule="atLeast"/>
              <w:contextualSpacing/>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noProof/>
                <w:color w:val="414042" w:themeColor="text1"/>
              </w:rPr>
              <w:drawing>
                <wp:anchor distT="0" distB="0" distL="114300" distR="114300" simplePos="0" relativeHeight="252205056" behindDoc="0" locked="0" layoutInCell="1" allowOverlap="0" wp14:anchorId="6B5854D3" wp14:editId="0FC972E5">
                  <wp:simplePos x="0" y="0"/>
                  <wp:positionH relativeFrom="column">
                    <wp:posOffset>13335</wp:posOffset>
                  </wp:positionH>
                  <wp:positionV relativeFrom="paragraph">
                    <wp:posOffset>57785</wp:posOffset>
                  </wp:positionV>
                  <wp:extent cx="121920" cy="93345"/>
                  <wp:effectExtent l="0" t="0" r="0" b="1905"/>
                  <wp:wrapSquare wrapText="bothSides"/>
                  <wp:docPr id="929" name="Graphic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extLst>
                              <a:ext uri="{28A0092B-C50C-407E-A947-70E740481C1C}">
                                <a14:useLocalDpi xmlns:a14="http://schemas.microsoft.com/office/drawing/2010/main" val="0"/>
                              </a:ext>
                              <a:ext uri="{96DAC541-7B7A-43D3-8B79-37D633B846F1}">
                                <asvg:svgBlip xmlns:asvg="http://schemas.microsoft.com/office/drawing/2016/SVG/main" r:embed="rId365"/>
                              </a:ext>
                            </a:extLst>
                          </a:blip>
                          <a:stretch>
                            <a:fillRect/>
                          </a:stretch>
                        </pic:blipFill>
                        <pic:spPr>
                          <a:xfrm>
                            <a:off x="0" y="0"/>
                            <a:ext cx="121920" cy="93345"/>
                          </a:xfrm>
                          <a:prstGeom prst="rect">
                            <a:avLst/>
                          </a:prstGeom>
                        </pic:spPr>
                      </pic:pic>
                    </a:graphicData>
                  </a:graphic>
                  <wp14:sizeRelH relativeFrom="margin">
                    <wp14:pctWidth>0</wp14:pctWidth>
                  </wp14:sizeRelH>
                  <wp14:sizeRelV relativeFrom="margin">
                    <wp14:pctHeight>0</wp14:pctHeight>
                  </wp14:sizeRelV>
                </wp:anchor>
              </w:drawing>
            </w:r>
          </w:p>
        </w:tc>
        <w:tc>
          <w:tcPr>
            <w:tcW w:w="4541" w:type="dxa"/>
          </w:tcPr>
          <w:p w14:paraId="3B292D82" w14:textId="3A2B06A3" w:rsidR="009B6496" w:rsidRPr="00F77DDC" w:rsidRDefault="009B6496" w:rsidP="00247441">
            <w:pPr>
              <w:suppressAutoHyphens/>
              <w:autoSpaceDE w:val="0"/>
              <w:autoSpaceDN w:val="0"/>
              <w:adjustRightInd w:val="0"/>
              <w:spacing w:before="100" w:beforeAutospacing="1" w:after="100" w:afterAutospacing="1" w:line="240" w:lineRule="atLeast"/>
              <w:contextualSpacing/>
              <w:jc w:val="left"/>
              <w:textAlignment w:val="center"/>
              <w:rPr>
                <w:rFonts w:asciiTheme="minorHAnsi" w:eastAsia="Calibri" w:hAnsiTheme="minorHAnsi" w:cstheme="minorHAnsi"/>
                <w:color w:val="414042" w:themeColor="text1"/>
                <w:sz w:val="2"/>
                <w:szCs w:val="2"/>
              </w:rPr>
            </w:pPr>
            <w:r w:rsidRPr="00F77DDC">
              <w:rPr>
                <w:rFonts w:asciiTheme="minorHAnsi" w:eastAsia="Calibri" w:hAnsiTheme="minorHAnsi" w:cstheme="minorHAnsi"/>
                <w:color w:val="414042" w:themeColor="text1"/>
                <w14:textOutline w14:w="9525" w14:cap="flat" w14:cmpd="sng" w14:algn="ctr">
                  <w14:noFill/>
                  <w14:prstDash w14:val="solid"/>
                  <w14:round/>
                </w14:textOutline>
              </w:rPr>
              <w:t>Crime and Corruption Commission</w:t>
            </w:r>
            <w:r w:rsidRPr="00F77DDC">
              <w:rPr>
                <w:rFonts w:asciiTheme="minorHAnsi" w:eastAsia="Calibri" w:hAnsiTheme="minorHAnsi" w:cstheme="minorHAnsi"/>
                <w:color w:val="414042" w:themeColor="text1"/>
                <w14:textOutline w14:w="9525" w14:cap="flat" w14:cmpd="sng" w14:algn="ctr">
                  <w14:noFill/>
                  <w14:prstDash w14:val="solid"/>
                  <w14:round/>
                </w14:textOutline>
              </w:rPr>
              <w:br/>
              <w:t>GPO Box 3123, Brisbane QLD 4001</w:t>
            </w:r>
          </w:p>
        </w:tc>
        <w:tc>
          <w:tcPr>
            <w:tcW w:w="425" w:type="dxa"/>
          </w:tcPr>
          <w:p w14:paraId="35C39E55" w14:textId="4D8CA692" w:rsidR="009B6496" w:rsidRPr="00F77DDC" w:rsidRDefault="009B6496" w:rsidP="00247441">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noProof/>
                <w:color w:val="414042" w:themeColor="text1"/>
              </w:rPr>
              <w:drawing>
                <wp:anchor distT="0" distB="0" distL="114300" distR="114300" simplePos="0" relativeHeight="252208128" behindDoc="1" locked="0" layoutInCell="1" allowOverlap="1" wp14:anchorId="4127207B" wp14:editId="762B58CF">
                  <wp:simplePos x="0" y="0"/>
                  <wp:positionH relativeFrom="column">
                    <wp:posOffset>-5715</wp:posOffset>
                  </wp:positionH>
                  <wp:positionV relativeFrom="paragraph">
                    <wp:posOffset>41275</wp:posOffset>
                  </wp:positionV>
                  <wp:extent cx="160655" cy="120015"/>
                  <wp:effectExtent l="0" t="0" r="0" b="0"/>
                  <wp:wrapTight wrapText="bothSides">
                    <wp:wrapPolygon edited="0">
                      <wp:start x="0" y="0"/>
                      <wp:lineTo x="0" y="17143"/>
                      <wp:lineTo x="17929" y="17143"/>
                      <wp:lineTo x="17929" y="0"/>
                      <wp:lineTo x="0" y="0"/>
                    </wp:wrapPolygon>
                  </wp:wrapTight>
                  <wp:docPr id="304" name="Graphic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 uri="{96DAC541-7B7A-43D3-8B79-37D633B846F1}">
                                <asvg:svgBlip xmlns:asvg="http://schemas.microsoft.com/office/drawing/2016/SVG/main" r:embed="rId367"/>
                              </a:ext>
                            </a:extLst>
                          </a:blip>
                          <a:stretch>
                            <a:fillRect/>
                          </a:stretch>
                        </pic:blipFill>
                        <pic:spPr>
                          <a:xfrm>
                            <a:off x="0" y="0"/>
                            <a:ext cx="160655" cy="12001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2C9DEF02" w14:textId="5CF0C3AA" w:rsidR="009B6496" w:rsidRPr="00F77DDC" w:rsidRDefault="00086D38" w:rsidP="00247441">
            <w:pPr>
              <w:spacing w:before="100" w:beforeAutospacing="1" w:after="100" w:afterAutospacing="1" w:line="240" w:lineRule="atLeast"/>
              <w:jc w:val="left"/>
              <w:rPr>
                <w:rFonts w:asciiTheme="minorHAnsi" w:eastAsia="Calibri" w:hAnsiTheme="minorHAnsi" w:cstheme="minorHAnsi"/>
                <w:color w:val="414042" w:themeColor="text1"/>
              </w:rPr>
            </w:pPr>
            <w:hyperlink r:id="rId368" w:history="1">
              <w:r w:rsidR="00E54D58" w:rsidRPr="00F77DDC">
                <w:rPr>
                  <w:rFonts w:asciiTheme="minorHAnsi" w:hAnsiTheme="minorHAnsi" w:cstheme="minorHAnsi"/>
                  <w:color w:val="414042" w:themeColor="text1"/>
                  <w14:textOutline w14:w="9525" w14:cap="flat" w14:cmpd="sng" w14:algn="ctr">
                    <w14:noFill/>
                    <w14:prstDash w14:val="solid"/>
                    <w14:round/>
                  </w14:textOutline>
                </w:rPr>
                <w:t>www.ccc.qld.gov.au</w:t>
              </w:r>
            </w:hyperlink>
          </w:p>
        </w:tc>
      </w:tr>
      <w:tr w:rsidR="00DF3006" w:rsidRPr="00F77DDC" w14:paraId="6FAE13B8" w14:textId="77777777" w:rsidTr="00A24A31">
        <w:trPr>
          <w:trHeight w:val="964"/>
        </w:trPr>
        <w:tc>
          <w:tcPr>
            <w:tcW w:w="421" w:type="dxa"/>
          </w:tcPr>
          <w:p w14:paraId="52661F5A" w14:textId="41F0F12D" w:rsidR="009B6496" w:rsidRPr="00F77DDC" w:rsidRDefault="009B6496" w:rsidP="00247441">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noProof/>
                <w:color w:val="414042" w:themeColor="text1"/>
              </w:rPr>
              <w:drawing>
                <wp:anchor distT="0" distB="0" distL="114300" distR="114300" simplePos="0" relativeHeight="252381184" behindDoc="0" locked="0" layoutInCell="1" allowOverlap="1" wp14:anchorId="06C2349F" wp14:editId="36CB4915">
                  <wp:simplePos x="0" y="0"/>
                  <wp:positionH relativeFrom="column">
                    <wp:posOffset>-1270</wp:posOffset>
                  </wp:positionH>
                  <wp:positionV relativeFrom="paragraph">
                    <wp:posOffset>19685</wp:posOffset>
                  </wp:positionV>
                  <wp:extent cx="152400" cy="152400"/>
                  <wp:effectExtent l="0" t="0" r="0" b="0"/>
                  <wp:wrapSquare wrapText="bothSides"/>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369" cstate="hq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p>
        </w:tc>
        <w:tc>
          <w:tcPr>
            <w:tcW w:w="4541" w:type="dxa"/>
          </w:tcPr>
          <w:p w14:paraId="32CD9617" w14:textId="7A98D37C" w:rsidR="009B6496" w:rsidRPr="00F77DDC" w:rsidRDefault="009B6496" w:rsidP="00247441">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sz w:val="2"/>
                <w:szCs w:val="2"/>
              </w:rPr>
            </w:pPr>
            <w:r w:rsidRPr="00F77DDC">
              <w:rPr>
                <w:rFonts w:asciiTheme="minorHAnsi" w:eastAsia="Calibri" w:hAnsiTheme="minorHAnsi" w:cstheme="minorHAnsi"/>
                <w:color w:val="414042" w:themeColor="text1"/>
                <w14:textOutline w14:w="9525" w14:cap="flat" w14:cmpd="sng" w14:algn="ctr">
                  <w14:noFill/>
                  <w14:prstDash w14:val="solid"/>
                  <w14:round/>
                </w14:textOutline>
              </w:rPr>
              <w:t>Level 2, North Tower Green Square</w:t>
            </w:r>
            <w:r w:rsidRPr="00F77DDC">
              <w:rPr>
                <w:rFonts w:asciiTheme="minorHAnsi" w:eastAsia="Calibri" w:hAnsiTheme="minorHAnsi" w:cstheme="minorHAnsi"/>
                <w:color w:val="414042" w:themeColor="text1"/>
                <w14:textOutline w14:w="9525" w14:cap="flat" w14:cmpd="sng" w14:algn="ctr">
                  <w14:noFill/>
                  <w14:prstDash w14:val="solid"/>
                  <w14:round/>
                </w14:textOutline>
              </w:rPr>
              <w:br/>
              <w:t>515 St Pauls Terrace,</w:t>
            </w:r>
            <w:r w:rsidRPr="00F77DDC">
              <w:rPr>
                <w:rFonts w:asciiTheme="minorHAnsi" w:eastAsia="Calibri" w:hAnsiTheme="minorHAnsi" w:cstheme="minorHAnsi"/>
                <w:color w:val="414042" w:themeColor="text1"/>
                <w14:textOutline w14:w="9525" w14:cap="flat" w14:cmpd="sng" w14:algn="ctr">
                  <w14:noFill/>
                  <w14:prstDash w14:val="solid"/>
                  <w14:round/>
                </w14:textOutline>
              </w:rPr>
              <w:br/>
              <w:t>Fortitude Valley QLD 4006</w:t>
            </w:r>
          </w:p>
        </w:tc>
        <w:tc>
          <w:tcPr>
            <w:tcW w:w="425" w:type="dxa"/>
          </w:tcPr>
          <w:p w14:paraId="1403B465" w14:textId="52C3E1B8" w:rsidR="009B6496" w:rsidRPr="00F77DDC" w:rsidRDefault="00D47A43" w:rsidP="00247441">
            <w:pPr>
              <w:spacing w:before="100" w:beforeAutospacing="1" w:after="100" w:afterAutospacing="1" w:line="240" w:lineRule="atLeast"/>
              <w:jc w:val="left"/>
              <w:rPr>
                <w:rFonts w:asciiTheme="minorHAns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noProof/>
                <w:color w:val="414042" w:themeColor="text1"/>
              </w:rPr>
              <w:drawing>
                <wp:anchor distT="0" distB="0" distL="114300" distR="114300" simplePos="0" relativeHeight="252377088" behindDoc="0" locked="0" layoutInCell="1" allowOverlap="1" wp14:anchorId="4DB43D4D" wp14:editId="098D7FE2">
                  <wp:simplePos x="0" y="0"/>
                  <wp:positionH relativeFrom="column">
                    <wp:posOffset>-635</wp:posOffset>
                  </wp:positionH>
                  <wp:positionV relativeFrom="paragraph">
                    <wp:posOffset>394970</wp:posOffset>
                  </wp:positionV>
                  <wp:extent cx="153670" cy="1536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0" cstate="hqprint">
                            <a:extLst>
                              <a:ext uri="{28A0092B-C50C-407E-A947-70E740481C1C}">
                                <a14:useLocalDpi xmlns:a14="http://schemas.microsoft.com/office/drawing/2010/main" val="0"/>
                              </a:ext>
                            </a:extLst>
                          </a:blip>
                          <a:stretch>
                            <a:fillRect/>
                          </a:stretch>
                        </pic:blipFill>
                        <pic:spPr>
                          <a:xfrm>
                            <a:off x="0" y="0"/>
                            <a:ext cx="153670" cy="153670"/>
                          </a:xfrm>
                          <a:prstGeom prst="rect">
                            <a:avLst/>
                          </a:prstGeom>
                        </pic:spPr>
                      </pic:pic>
                    </a:graphicData>
                  </a:graphic>
                  <wp14:sizeRelH relativeFrom="page">
                    <wp14:pctWidth>0</wp14:pctWidth>
                  </wp14:sizeRelH>
                  <wp14:sizeRelV relativeFrom="page">
                    <wp14:pctHeight>0</wp14:pctHeight>
                  </wp14:sizeRelV>
                </wp:anchor>
              </w:drawing>
            </w:r>
            <w:r w:rsidR="009B6496" w:rsidRPr="00F77DDC">
              <w:rPr>
                <w:rFonts w:asciiTheme="minorHAnsi" w:hAnsiTheme="minorHAnsi" w:cstheme="minorHAnsi"/>
                <w:noProof/>
                <w:color w:val="414042" w:themeColor="text1"/>
              </w:rPr>
              <w:drawing>
                <wp:anchor distT="0" distB="0" distL="114300" distR="114300" simplePos="0" relativeHeight="252209152" behindDoc="1" locked="0" layoutInCell="1" allowOverlap="1" wp14:anchorId="51F8A371" wp14:editId="186F56D1">
                  <wp:simplePos x="0" y="0"/>
                  <wp:positionH relativeFrom="column">
                    <wp:posOffset>8255</wp:posOffset>
                  </wp:positionH>
                  <wp:positionV relativeFrom="paragraph">
                    <wp:posOffset>19685</wp:posOffset>
                  </wp:positionV>
                  <wp:extent cx="135255" cy="135255"/>
                  <wp:effectExtent l="0" t="0" r="0" b="0"/>
                  <wp:wrapTight wrapText="bothSides">
                    <wp:wrapPolygon edited="0">
                      <wp:start x="0" y="0"/>
                      <wp:lineTo x="0" y="18254"/>
                      <wp:lineTo x="18254" y="18254"/>
                      <wp:lineTo x="18254" y="0"/>
                      <wp:lineTo x="0" y="0"/>
                    </wp:wrapPolygon>
                  </wp:wrapTight>
                  <wp:docPr id="306" name="Graphic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extLst>
                              <a:ext uri="{28A0092B-C50C-407E-A947-70E740481C1C}">
                                <a14:useLocalDpi xmlns:a14="http://schemas.microsoft.com/office/drawing/2010/main" val="0"/>
                              </a:ext>
                              <a:ext uri="{96DAC541-7B7A-43D3-8B79-37D633B846F1}">
                                <asvg:svgBlip xmlns:asvg="http://schemas.microsoft.com/office/drawing/2016/SVG/main" r:embed="rId372"/>
                              </a:ext>
                            </a:extLst>
                          </a:blip>
                          <a:stretch>
                            <a:fillRect/>
                          </a:stretch>
                        </pic:blipFill>
                        <pic:spPr>
                          <a:xfrm>
                            <a:off x="0" y="0"/>
                            <a:ext cx="135255" cy="135255"/>
                          </a:xfrm>
                          <a:prstGeom prst="rect">
                            <a:avLst/>
                          </a:prstGeom>
                        </pic:spPr>
                      </pic:pic>
                    </a:graphicData>
                  </a:graphic>
                </wp:anchor>
              </w:drawing>
            </w:r>
          </w:p>
        </w:tc>
        <w:tc>
          <w:tcPr>
            <w:tcW w:w="3969" w:type="dxa"/>
          </w:tcPr>
          <w:p w14:paraId="6D2C3778" w14:textId="58C3E991" w:rsidR="009B6496" w:rsidRPr="00F77DDC" w:rsidRDefault="00086D38" w:rsidP="00247441">
            <w:pPr>
              <w:spacing w:before="100" w:beforeAutospacing="1" w:after="100" w:afterAutospacing="1" w:line="240" w:lineRule="atLeast"/>
              <w:jc w:val="left"/>
              <w:rPr>
                <w:rFonts w:asciiTheme="minorHAnsi" w:hAnsiTheme="minorHAnsi" w:cstheme="minorHAnsi"/>
                <w:color w:val="414042" w:themeColor="text1"/>
                <w14:textOutline w14:w="9525" w14:cap="flat" w14:cmpd="sng" w14:algn="ctr">
                  <w14:noFill/>
                  <w14:prstDash w14:val="solid"/>
                  <w14:round/>
                </w14:textOutline>
              </w:rPr>
            </w:pPr>
            <w:hyperlink r:id="rId373" w:history="1">
              <w:r w:rsidR="009B6496" w:rsidRPr="00F77DDC">
                <w:rPr>
                  <w:rFonts w:asciiTheme="minorHAnsi" w:hAnsiTheme="minorHAnsi" w:cstheme="minorHAnsi"/>
                  <w:color w:val="414042" w:themeColor="text1"/>
                  <w14:textOutline w14:w="9525" w14:cap="flat" w14:cmpd="sng" w14:algn="ctr">
                    <w14:noFill/>
                    <w14:prstDash w14:val="solid"/>
                    <w14:round/>
                  </w14:textOutline>
                </w:rPr>
                <w:t>mailbox@ccc.qld.gov.au</w:t>
              </w:r>
            </w:hyperlink>
          </w:p>
          <w:p w14:paraId="5458D9F3" w14:textId="30CC481B" w:rsidR="009B6496" w:rsidRPr="00F77DDC" w:rsidRDefault="00086D38" w:rsidP="00247441">
            <w:pPr>
              <w:spacing w:before="360" w:after="100" w:afterAutospacing="1" w:line="240" w:lineRule="atLeast"/>
              <w:jc w:val="left"/>
              <w:rPr>
                <w:rFonts w:asciiTheme="minorHAnsi" w:hAnsiTheme="minorHAnsi" w:cstheme="minorHAnsi"/>
                <w:color w:val="414042" w:themeColor="text1"/>
              </w:rPr>
            </w:pPr>
            <w:hyperlink r:id="rId374" w:history="1">
              <w:r w:rsidR="009B6496" w:rsidRPr="00F77DDC">
                <w:rPr>
                  <w:rStyle w:val="Hyperlink"/>
                  <w:rFonts w:asciiTheme="minorHAnsi" w:hAnsiTheme="minorHAnsi" w:cstheme="minorHAnsi"/>
                  <w:color w:val="414042" w:themeColor="text1"/>
                  <w:u w:val="none"/>
                  <w14:textOutline w14:w="9525" w14:cap="flat" w14:cmpd="sng" w14:algn="ctr">
                    <w14:noFill/>
                    <w14:prstDash w14:val="solid"/>
                    <w14:round/>
                  </w14:textOutline>
                </w:rPr>
                <w:t>@CCC_QLD</w:t>
              </w:r>
            </w:hyperlink>
          </w:p>
        </w:tc>
      </w:tr>
      <w:tr w:rsidR="00DF3006" w:rsidRPr="00F77DDC" w14:paraId="5CB65226" w14:textId="77777777" w:rsidTr="00A24A31">
        <w:trPr>
          <w:trHeight w:val="964"/>
        </w:trPr>
        <w:tc>
          <w:tcPr>
            <w:tcW w:w="421" w:type="dxa"/>
          </w:tcPr>
          <w:p w14:paraId="662F225C" w14:textId="0AA3308E" w:rsidR="00D47A43" w:rsidRPr="00F77DDC" w:rsidRDefault="00D47A43" w:rsidP="00247441">
            <w:pPr>
              <w:suppressAutoHyphens/>
              <w:autoSpaceDE w:val="0"/>
              <w:autoSpaceDN w:val="0"/>
              <w:adjustRightInd w:val="0"/>
              <w:spacing w:before="100" w:beforeAutospacing="1" w:after="100" w:afterAutospacing="1" w:line="240" w:lineRule="atLeast"/>
              <w:textAlignment w:val="center"/>
              <w:rPr>
                <w:rFonts w:asciiTheme="minorHAnsi" w:hAnsiTheme="minorHAnsi" w:cstheme="minorHAnsi"/>
                <w:noProof/>
                <w:color w:val="414042" w:themeColor="text1"/>
              </w:rPr>
            </w:pPr>
            <w:r w:rsidRPr="00F77DDC">
              <w:rPr>
                <w:rFonts w:asciiTheme="minorHAnsi" w:hAnsiTheme="minorHAnsi" w:cstheme="minorHAnsi"/>
                <w:noProof/>
                <w:color w:val="414042" w:themeColor="text1"/>
              </w:rPr>
              <w:drawing>
                <wp:anchor distT="0" distB="0" distL="114300" distR="114300" simplePos="0" relativeHeight="252206080" behindDoc="0" locked="0" layoutInCell="1" allowOverlap="1" wp14:anchorId="69AD0618" wp14:editId="1CB15DCB">
                  <wp:simplePos x="0" y="0"/>
                  <wp:positionH relativeFrom="column">
                    <wp:posOffset>31115</wp:posOffset>
                  </wp:positionH>
                  <wp:positionV relativeFrom="paragraph">
                    <wp:posOffset>55880</wp:posOffset>
                  </wp:positionV>
                  <wp:extent cx="99695" cy="124460"/>
                  <wp:effectExtent l="0" t="0" r="0" b="8890"/>
                  <wp:wrapNone/>
                  <wp:docPr id="930" name="Graphic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extLst>
                              <a:ext uri="{28A0092B-C50C-407E-A947-70E740481C1C}">
                                <a14:useLocalDpi xmlns:a14="http://schemas.microsoft.com/office/drawing/2010/main" val="0"/>
                              </a:ext>
                              <a:ext uri="{96DAC541-7B7A-43D3-8B79-37D633B846F1}">
                                <asvg:svgBlip xmlns:asvg="http://schemas.microsoft.com/office/drawing/2016/SVG/main" r:embed="rId376"/>
                              </a:ext>
                            </a:extLst>
                          </a:blip>
                          <a:stretch>
                            <a:fillRect/>
                          </a:stretch>
                        </pic:blipFill>
                        <pic:spPr>
                          <a:xfrm>
                            <a:off x="0" y="0"/>
                            <a:ext cx="99695" cy="124460"/>
                          </a:xfrm>
                          <a:prstGeom prst="rect">
                            <a:avLst/>
                          </a:prstGeom>
                        </pic:spPr>
                      </pic:pic>
                    </a:graphicData>
                  </a:graphic>
                </wp:anchor>
              </w:drawing>
            </w:r>
          </w:p>
        </w:tc>
        <w:tc>
          <w:tcPr>
            <w:tcW w:w="4541" w:type="dxa"/>
          </w:tcPr>
          <w:p w14:paraId="3946196F" w14:textId="5F7B980B" w:rsidR="00D47A43" w:rsidRPr="00F77DDC" w:rsidRDefault="00D47A43" w:rsidP="00247441">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color w:val="414042" w:themeColor="text1"/>
                <w14:textOutline w14:w="9525" w14:cap="flat" w14:cmpd="sng" w14:algn="ctr">
                  <w14:noFill/>
                  <w14:prstDash w14:val="solid"/>
                  <w14:round/>
                </w14:textOutline>
              </w:rPr>
              <w:t>07 3360 6060 or</w:t>
            </w:r>
            <w:r w:rsidRPr="00F77DDC">
              <w:rPr>
                <w:rFonts w:asciiTheme="minorHAnsi" w:hAnsiTheme="minorHAnsi" w:cstheme="minorHAnsi"/>
                <w:color w:val="414042" w:themeColor="text1"/>
                <w14:textOutline w14:w="9525" w14:cap="flat" w14:cmpd="sng" w14:algn="ctr">
                  <w14:noFill/>
                  <w14:prstDash w14:val="solid"/>
                  <w14:round/>
                </w14:textOutline>
              </w:rPr>
              <w:br/>
              <w:t>Toll-free 1800 061 611</w:t>
            </w:r>
            <w:r w:rsidRPr="00F77DDC">
              <w:rPr>
                <w:rFonts w:asciiTheme="minorHAnsi" w:hAnsiTheme="minorHAnsi" w:cstheme="minorHAnsi"/>
                <w:color w:val="414042" w:themeColor="text1"/>
                <w14:textOutline w14:w="9525" w14:cap="flat" w14:cmpd="sng" w14:algn="ctr">
                  <w14:noFill/>
                  <w14:prstDash w14:val="solid"/>
                  <w14:round/>
                </w14:textOutline>
              </w:rPr>
              <w:br/>
            </w:r>
            <w:r w:rsidRPr="00F77DDC">
              <w:rPr>
                <w:rFonts w:asciiTheme="minorHAnsi" w:hAnsiTheme="minorHAnsi" w:cstheme="minorHAnsi"/>
                <w:color w:val="414042" w:themeColor="text1"/>
              </w:rPr>
              <w:t>(in Queensland outside Brisbane)</w:t>
            </w:r>
          </w:p>
        </w:tc>
        <w:tc>
          <w:tcPr>
            <w:tcW w:w="425" w:type="dxa"/>
          </w:tcPr>
          <w:p w14:paraId="514A9462" w14:textId="6221D48E" w:rsidR="00D47A43" w:rsidRPr="00F77DDC" w:rsidRDefault="00A24A31" w:rsidP="00247441">
            <w:pPr>
              <w:spacing w:before="100" w:beforeAutospacing="1" w:after="100" w:afterAutospacing="1" w:line="240" w:lineRule="atLeast"/>
              <w:rPr>
                <w:rFonts w:asciiTheme="minorHAnsi" w:hAnsiTheme="minorHAnsi" w:cstheme="minorHAnsi"/>
                <w:noProof/>
                <w:color w:val="414042" w:themeColor="text1"/>
              </w:rPr>
            </w:pPr>
            <w:r w:rsidRPr="00F77DDC">
              <w:rPr>
                <w:rFonts w:asciiTheme="minorHAnsi" w:eastAsia="Calibri" w:hAnsiTheme="minorHAnsi" w:cstheme="minorHAnsi"/>
                <w:noProof/>
                <w:color w:val="414042" w:themeColor="text1"/>
              </w:rPr>
              <w:drawing>
                <wp:anchor distT="0" distB="0" distL="114300" distR="114300" simplePos="0" relativeHeight="252379136" behindDoc="0" locked="0" layoutInCell="1" allowOverlap="1" wp14:anchorId="3711C0C6" wp14:editId="46E43097">
                  <wp:simplePos x="0" y="0"/>
                  <wp:positionH relativeFrom="column">
                    <wp:posOffset>8255</wp:posOffset>
                  </wp:positionH>
                  <wp:positionV relativeFrom="paragraph">
                    <wp:posOffset>166370</wp:posOffset>
                  </wp:positionV>
                  <wp:extent cx="143510" cy="143510"/>
                  <wp:effectExtent l="0" t="0" r="889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7" cstate="hqprint">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Pr>
          <w:p w14:paraId="6834666B" w14:textId="1B0DA8D5" w:rsidR="00D47A43" w:rsidRPr="00F77DDC" w:rsidRDefault="00086D38" w:rsidP="00247441">
            <w:pPr>
              <w:suppressAutoHyphens/>
              <w:autoSpaceDE w:val="0"/>
              <w:autoSpaceDN w:val="0"/>
              <w:adjustRightInd w:val="0"/>
              <w:spacing w:before="240" w:after="100" w:afterAutospacing="1"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hyperlink r:id="rId378" w:history="1">
              <w:proofErr w:type="spellStart"/>
              <w:r w:rsidR="00D47A43" w:rsidRPr="00F77DDC">
                <w:rPr>
                  <w:rStyle w:val="Hyperlink"/>
                  <w:rFonts w:asciiTheme="minorHAnsi" w:eastAsia="Calibri" w:hAnsiTheme="minorHAnsi" w:cstheme="minorHAnsi"/>
                  <w:color w:val="414042" w:themeColor="text1"/>
                  <w:u w:val="none"/>
                  <w14:textOutline w14:w="9525" w14:cap="flat" w14:cmpd="sng" w14:algn="ctr">
                    <w14:noFill/>
                    <w14:prstDash w14:val="solid"/>
                    <w14:round/>
                  </w14:textOutline>
                </w:rPr>
                <w:t>CrimeandCorruptionCommission</w:t>
              </w:r>
              <w:proofErr w:type="spellEnd"/>
            </w:hyperlink>
          </w:p>
          <w:p w14:paraId="352B645F" w14:textId="4CC03FB1" w:rsidR="00D47A43" w:rsidRPr="00F77DDC" w:rsidRDefault="00D47A43" w:rsidP="00247441">
            <w:pPr>
              <w:spacing w:before="100" w:beforeAutospacing="1" w:after="100" w:afterAutospacing="1" w:line="240" w:lineRule="atLeast"/>
              <w:rPr>
                <w:rFonts w:asciiTheme="minorHAnsi" w:hAnsiTheme="minorHAnsi" w:cstheme="minorHAnsi"/>
                <w:color w:val="414042" w:themeColor="text1"/>
              </w:rPr>
            </w:pPr>
          </w:p>
        </w:tc>
      </w:tr>
      <w:tr w:rsidR="00DF3006" w:rsidRPr="00F77DDC" w14:paraId="6EA52F81" w14:textId="77777777" w:rsidTr="00A24A31">
        <w:trPr>
          <w:trHeight w:val="615"/>
        </w:trPr>
        <w:tc>
          <w:tcPr>
            <w:tcW w:w="421" w:type="dxa"/>
          </w:tcPr>
          <w:p w14:paraId="2F8F18DE" w14:textId="4D6EA35B" w:rsidR="00247441" w:rsidRPr="00F77DDC" w:rsidRDefault="00247441" w:rsidP="00247441">
            <w:pPr>
              <w:suppressAutoHyphens/>
              <w:autoSpaceDE w:val="0"/>
              <w:autoSpaceDN w:val="0"/>
              <w:adjustRightInd w:val="0"/>
              <w:spacing w:before="100" w:beforeAutospacing="1" w:after="100" w:afterAutospacing="1" w:line="240" w:lineRule="atLeast"/>
              <w:textAlignment w:val="center"/>
              <w:rPr>
                <w:rFonts w:asciiTheme="minorHAnsi" w:hAnsiTheme="minorHAnsi" w:cstheme="minorHAnsi"/>
                <w:noProof/>
                <w:color w:val="414042" w:themeColor="text1"/>
              </w:rPr>
            </w:pPr>
            <w:r w:rsidRPr="00F77DDC">
              <w:rPr>
                <w:rFonts w:asciiTheme="minorHAnsi" w:hAnsiTheme="minorHAnsi" w:cstheme="minorHAnsi"/>
                <w:noProof/>
                <w:color w:val="414042" w:themeColor="text1"/>
              </w:rPr>
              <w:drawing>
                <wp:anchor distT="0" distB="0" distL="114300" distR="114300" simplePos="0" relativeHeight="252207104" behindDoc="0" locked="0" layoutInCell="1" allowOverlap="1" wp14:anchorId="0EC6F6DC" wp14:editId="77D60275">
                  <wp:simplePos x="0" y="0"/>
                  <wp:positionH relativeFrom="column">
                    <wp:posOffset>1922</wp:posOffset>
                  </wp:positionH>
                  <wp:positionV relativeFrom="paragraph">
                    <wp:posOffset>7603</wp:posOffset>
                  </wp:positionV>
                  <wp:extent cx="121920" cy="183515"/>
                  <wp:effectExtent l="0" t="0" r="0" b="6985"/>
                  <wp:wrapSquare wrapText="bothSides"/>
                  <wp:docPr id="303" name="Graphic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 uri="{96DAC541-7B7A-43D3-8B79-37D633B846F1}">
                                <asvg:svgBlip xmlns:asvg="http://schemas.microsoft.com/office/drawing/2016/SVG/main" r:embed="rId380"/>
                              </a:ext>
                            </a:extLst>
                          </a:blip>
                          <a:stretch>
                            <a:fillRect/>
                          </a:stretch>
                        </pic:blipFill>
                        <pic:spPr>
                          <a:xfrm>
                            <a:off x="0" y="0"/>
                            <a:ext cx="121920" cy="183515"/>
                          </a:xfrm>
                          <a:prstGeom prst="rect">
                            <a:avLst/>
                          </a:prstGeom>
                        </pic:spPr>
                      </pic:pic>
                    </a:graphicData>
                  </a:graphic>
                  <wp14:sizeRelH relativeFrom="margin">
                    <wp14:pctWidth>0</wp14:pctWidth>
                  </wp14:sizeRelH>
                  <wp14:sizeRelV relativeFrom="margin">
                    <wp14:pctHeight>0</wp14:pctHeight>
                  </wp14:sizeRelV>
                </wp:anchor>
              </w:drawing>
            </w:r>
          </w:p>
        </w:tc>
        <w:tc>
          <w:tcPr>
            <w:tcW w:w="4541" w:type="dxa"/>
          </w:tcPr>
          <w:p w14:paraId="1FB9BD2A" w14:textId="67195984" w:rsidR="00247441" w:rsidRPr="00F77DDC" w:rsidRDefault="00247441" w:rsidP="00247441">
            <w:pPr>
              <w:suppressAutoHyphens/>
              <w:autoSpaceDE w:val="0"/>
              <w:autoSpaceDN w:val="0"/>
              <w:adjustRightInd w:val="0"/>
              <w:spacing w:before="100" w:beforeAutospacing="1" w:after="100" w:afterAutospacing="1" w:line="240" w:lineRule="atLeast"/>
              <w:textAlignment w:val="center"/>
              <w:rPr>
                <w:rFonts w:asciiTheme="minorHAnsi" w:eastAsia="Calibri" w:hAnsiTheme="minorHAnsi" w:cstheme="minorHAnsi"/>
                <w:noProof/>
                <w:color w:val="414042" w:themeColor="text1"/>
              </w:rPr>
            </w:pPr>
            <w:r w:rsidRPr="00F77DDC">
              <w:rPr>
                <w:rFonts w:asciiTheme="minorHAnsi" w:hAnsiTheme="minorHAnsi" w:cstheme="minorHAnsi"/>
                <w:color w:val="414042" w:themeColor="text1"/>
                <w14:textOutline w14:w="9525" w14:cap="flat" w14:cmpd="sng" w14:algn="ctr">
                  <w14:noFill/>
                  <w14:prstDash w14:val="solid"/>
                  <w14:round/>
                </w14:textOutline>
              </w:rPr>
              <w:t>07 3360 6333</w:t>
            </w:r>
          </w:p>
        </w:tc>
        <w:tc>
          <w:tcPr>
            <w:tcW w:w="425" w:type="dxa"/>
          </w:tcPr>
          <w:p w14:paraId="339AB6CC" w14:textId="39ED1AEF" w:rsidR="00247441" w:rsidRPr="00F77DDC" w:rsidRDefault="00A24A31" w:rsidP="00247441">
            <w:pPr>
              <w:spacing w:before="100" w:beforeAutospacing="1" w:after="100" w:afterAutospacing="1" w:line="240" w:lineRule="atLeast"/>
              <w:rPr>
                <w:rFonts w:asciiTheme="minorHAnsi" w:eastAsia="Calibri" w:hAnsiTheme="minorHAnsi" w:cstheme="minorHAnsi"/>
                <w:noProof/>
                <w:color w:val="414042" w:themeColor="text1"/>
              </w:rPr>
            </w:pPr>
            <w:r w:rsidRPr="00F77DDC">
              <w:rPr>
                <w:rFonts w:asciiTheme="minorHAnsi" w:eastAsia="Calibri" w:hAnsiTheme="minorHAnsi" w:cstheme="minorHAnsi"/>
                <w:noProof/>
                <w:color w:val="414042" w:themeColor="text1"/>
              </w:rPr>
              <w:drawing>
                <wp:anchor distT="0" distB="0" distL="114300" distR="114300" simplePos="0" relativeHeight="252394496" behindDoc="0" locked="0" layoutInCell="1" allowOverlap="1" wp14:anchorId="7636E02F" wp14:editId="5C584882">
                  <wp:simplePos x="0" y="0"/>
                  <wp:positionH relativeFrom="column">
                    <wp:posOffset>7620</wp:posOffset>
                  </wp:positionH>
                  <wp:positionV relativeFrom="paragraph">
                    <wp:posOffset>17145</wp:posOffset>
                  </wp:positionV>
                  <wp:extent cx="146685" cy="146685"/>
                  <wp:effectExtent l="0" t="0" r="5715"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1" cstate="hqprint">
                            <a:extLst>
                              <a:ext uri="{28A0092B-C50C-407E-A947-70E740481C1C}">
                                <a14:useLocalDpi xmlns:a14="http://schemas.microsoft.com/office/drawing/2010/main" val="0"/>
                              </a:ext>
                            </a:extLst>
                          </a:blip>
                          <a:stretch>
                            <a:fillRect/>
                          </a:stretch>
                        </pic:blipFill>
                        <pic:spPr>
                          <a:xfrm>
                            <a:off x="0" y="0"/>
                            <a:ext cx="146685" cy="146685"/>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Pr>
          <w:p w14:paraId="51636EF9" w14:textId="3BC50E40" w:rsidR="00247441" w:rsidRPr="00F77DDC" w:rsidRDefault="00086D38" w:rsidP="00247441">
            <w:pPr>
              <w:suppressAutoHyphens/>
              <w:autoSpaceDE w:val="0"/>
              <w:autoSpaceDN w:val="0"/>
              <w:adjustRightInd w:val="0"/>
              <w:spacing w:after="100" w:afterAutospacing="1" w:line="240" w:lineRule="atLeast"/>
              <w:textAlignment w:val="center"/>
              <w:rPr>
                <w:rFonts w:asciiTheme="minorHAnsi" w:hAnsiTheme="minorHAnsi" w:cstheme="minorHAnsi"/>
                <w:color w:val="414042" w:themeColor="text1"/>
              </w:rPr>
            </w:pPr>
            <w:hyperlink r:id="rId382" w:history="1">
              <w:r w:rsidR="00247441" w:rsidRPr="00F77DDC">
                <w:rPr>
                  <w:rStyle w:val="Hyperlink"/>
                  <w:rFonts w:asciiTheme="minorHAnsi" w:hAnsiTheme="minorHAnsi" w:cstheme="minorHAnsi"/>
                  <w:u w:val="none"/>
                  <w:shd w:val="clear" w:color="auto" w:fill="FFFFFF"/>
                </w:rPr>
                <w:t>@CCC_QLD</w:t>
              </w:r>
            </w:hyperlink>
          </w:p>
        </w:tc>
      </w:tr>
      <w:tr w:rsidR="00DF3006" w:rsidRPr="00F77DDC" w14:paraId="0E5C624B" w14:textId="77777777" w:rsidTr="00A24A31">
        <w:trPr>
          <w:trHeight w:val="1082"/>
        </w:trPr>
        <w:tc>
          <w:tcPr>
            <w:tcW w:w="421" w:type="dxa"/>
          </w:tcPr>
          <w:p w14:paraId="04376EE3" w14:textId="092E781F" w:rsidR="00247441" w:rsidRPr="00F77DDC" w:rsidRDefault="00247441" w:rsidP="00247441">
            <w:pPr>
              <w:spacing w:before="100" w:beforeAutospacing="1" w:after="100" w:afterAutospacing="1" w:line="240" w:lineRule="atLeast"/>
              <w:jc w:val="center"/>
              <w:rPr>
                <w:rFonts w:asciiTheme="minorHAns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noProof/>
                <w:color w:val="414042" w:themeColor="text1"/>
              </w:rPr>
              <w:drawing>
                <wp:anchor distT="0" distB="0" distL="114300" distR="114300" simplePos="0" relativeHeight="252391424" behindDoc="1" locked="0" layoutInCell="1" allowOverlap="1" wp14:anchorId="48271408" wp14:editId="107B20E8">
                  <wp:simplePos x="0" y="0"/>
                  <wp:positionH relativeFrom="column">
                    <wp:posOffset>5492</wp:posOffset>
                  </wp:positionH>
                  <wp:positionV relativeFrom="paragraph">
                    <wp:posOffset>49754</wp:posOffset>
                  </wp:positionV>
                  <wp:extent cx="125095" cy="137795"/>
                  <wp:effectExtent l="0" t="0" r="8255" b="0"/>
                  <wp:wrapTight wrapText="bothSides">
                    <wp:wrapPolygon edited="0">
                      <wp:start x="0" y="0"/>
                      <wp:lineTo x="0" y="17917"/>
                      <wp:lineTo x="19736" y="17917"/>
                      <wp:lineTo x="19736" y="0"/>
                      <wp:lineTo x="0" y="0"/>
                    </wp:wrapPolygon>
                  </wp:wrapTight>
                  <wp:docPr id="313" name="Graphic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extLst>
                              <a:ext uri="{28A0092B-C50C-407E-A947-70E740481C1C}">
                                <a14:useLocalDpi xmlns:a14="http://schemas.microsoft.com/office/drawing/2010/main" val="0"/>
                              </a:ext>
                              <a:ext uri="{96DAC541-7B7A-43D3-8B79-37D633B846F1}">
                                <asvg:svgBlip xmlns:asvg="http://schemas.microsoft.com/office/drawing/2016/SVG/main" r:embed="rId384"/>
                              </a:ext>
                            </a:extLst>
                          </a:blip>
                          <a:stretch>
                            <a:fillRect/>
                          </a:stretch>
                        </pic:blipFill>
                        <pic:spPr>
                          <a:xfrm>
                            <a:off x="0" y="0"/>
                            <a:ext cx="125095" cy="137795"/>
                          </a:xfrm>
                          <a:prstGeom prst="rect">
                            <a:avLst/>
                          </a:prstGeom>
                        </pic:spPr>
                      </pic:pic>
                    </a:graphicData>
                  </a:graphic>
                  <wp14:sizeRelH relativeFrom="margin">
                    <wp14:pctWidth>0</wp14:pctWidth>
                  </wp14:sizeRelH>
                  <wp14:sizeRelV relativeFrom="margin">
                    <wp14:pctHeight>0</wp14:pctHeight>
                  </wp14:sizeRelV>
                </wp:anchor>
              </w:drawing>
            </w:r>
            <w:r w:rsidRPr="00F77DDC">
              <w:rPr>
                <w:rFonts w:asciiTheme="minorHAnsi" w:hAnsiTheme="minorHAnsi" w:cstheme="minorHAnsi"/>
                <w:noProof/>
                <w:color w:val="414042" w:themeColor="text1"/>
              </w:rPr>
              <w:drawing>
                <wp:inline distT="0" distB="0" distL="0" distR="0" wp14:anchorId="13FE60B7" wp14:editId="14910B1C">
                  <wp:extent cx="188874" cy="140043"/>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hone_icon.pn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191733" cy="142163"/>
                          </a:xfrm>
                          <a:prstGeom prst="rect">
                            <a:avLst/>
                          </a:prstGeom>
                        </pic:spPr>
                      </pic:pic>
                    </a:graphicData>
                  </a:graphic>
                </wp:inline>
              </w:drawing>
            </w:r>
          </w:p>
          <w:p w14:paraId="5DA5A373" w14:textId="145BDB13" w:rsidR="00247441" w:rsidRPr="00F77DDC" w:rsidRDefault="00247441" w:rsidP="00247441">
            <w:pPr>
              <w:spacing w:before="100" w:beforeAutospacing="1" w:after="100" w:afterAutospacing="1" w:line="240" w:lineRule="atLeast"/>
              <w:jc w:val="center"/>
              <w:rPr>
                <w:rFonts w:asciiTheme="minorHAnsi" w:hAnsiTheme="minorHAnsi" w:cstheme="minorHAnsi"/>
                <w:color w:val="414042" w:themeColor="text1"/>
                <w14:textOutline w14:w="9525" w14:cap="flat" w14:cmpd="sng" w14:algn="ctr">
                  <w14:noFill/>
                  <w14:prstDash w14:val="solid"/>
                  <w14:round/>
                </w14:textOutline>
              </w:rPr>
            </w:pPr>
          </w:p>
        </w:tc>
        <w:tc>
          <w:tcPr>
            <w:tcW w:w="4541" w:type="dxa"/>
          </w:tcPr>
          <w:p w14:paraId="367C5A54" w14:textId="07DEF593" w:rsidR="00247441" w:rsidRPr="00F77DDC" w:rsidRDefault="00247441" w:rsidP="00A24A31">
            <w:pPr>
              <w:suppressAutoHyphens/>
              <w:autoSpaceDE w:val="0"/>
              <w:autoSpaceDN w:val="0"/>
              <w:adjustRightInd w:val="0"/>
              <w:spacing w:before="100" w:beforeAutospacing="1" w:after="100" w:afterAutospacing="1" w:line="240" w:lineRule="atLeast"/>
              <w:jc w:val="left"/>
              <w:textAlignment w:val="center"/>
              <w:rPr>
                <w:rFonts w:asciiTheme="minorHAnsi" w:hAnsiTheme="minorHAnsi" w:cstheme="minorHAnsi"/>
                <w:color w:val="414042" w:themeColor="text1"/>
                <w14:textOutline w14:w="9525" w14:cap="flat" w14:cmpd="sng" w14:algn="ctr">
                  <w14:noFill/>
                  <w14:prstDash w14:val="solid"/>
                  <w14:round/>
                </w14:textOutline>
              </w:rPr>
            </w:pPr>
            <w:r w:rsidRPr="00F77DDC">
              <w:rPr>
                <w:rFonts w:asciiTheme="minorHAnsi" w:hAnsiTheme="minorHAnsi" w:cstheme="minorHAnsi"/>
                <w:color w:val="414042" w:themeColor="text1"/>
                <w14:textOutline w14:w="9525" w14:cap="flat" w14:cmpd="sng" w14:algn="ctr">
                  <w14:noFill/>
                  <w14:prstDash w14:val="solid"/>
                  <w14:round/>
                </w14:textOutline>
              </w:rPr>
              <w:t>CCC email updates</w:t>
            </w:r>
            <w:r w:rsidRPr="00F77DDC">
              <w:rPr>
                <w:rFonts w:asciiTheme="minorHAnsi" w:hAnsiTheme="minorHAnsi" w:cstheme="minorHAnsi"/>
                <w:color w:val="414042" w:themeColor="text1"/>
                <w14:textOutline w14:w="9525" w14:cap="flat" w14:cmpd="sng" w14:algn="ctr">
                  <w14:noFill/>
                  <w14:prstDash w14:val="solid"/>
                  <w14:round/>
                </w14:textOutline>
              </w:rPr>
              <w:br/>
            </w:r>
            <w:hyperlink r:id="rId386" w:history="1">
              <w:r w:rsidRPr="00F77DDC">
                <w:rPr>
                  <w:rFonts w:asciiTheme="minorHAnsi" w:hAnsiTheme="minorHAnsi" w:cstheme="minorHAnsi"/>
                  <w:color w:val="414042" w:themeColor="text1"/>
                </w:rPr>
                <w:t>www.ccc.qld.gov.au/subscribe</w:t>
              </w:r>
            </w:hyperlink>
          </w:p>
        </w:tc>
        <w:tc>
          <w:tcPr>
            <w:tcW w:w="425" w:type="dxa"/>
          </w:tcPr>
          <w:p w14:paraId="5BA22367" w14:textId="582F09A1" w:rsidR="00247441" w:rsidRPr="00F77DDC" w:rsidRDefault="00A24A31" w:rsidP="00247441">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F77DDC">
              <w:rPr>
                <w:rFonts w:asciiTheme="minorHAnsi" w:eastAsia="Calibri" w:hAnsiTheme="minorHAnsi" w:cstheme="minorHAnsi"/>
                <w:noProof/>
                <w:color w:val="414042" w:themeColor="text1"/>
              </w:rPr>
              <w:drawing>
                <wp:anchor distT="0" distB="0" distL="114300" distR="114300" simplePos="0" relativeHeight="252386304" behindDoc="0" locked="0" layoutInCell="1" allowOverlap="1" wp14:anchorId="1440B18D" wp14:editId="672B49FC">
                  <wp:simplePos x="0" y="0"/>
                  <wp:positionH relativeFrom="column">
                    <wp:posOffset>8255</wp:posOffset>
                  </wp:positionH>
                  <wp:positionV relativeFrom="paragraph">
                    <wp:posOffset>41910</wp:posOffset>
                  </wp:positionV>
                  <wp:extent cx="145415" cy="145415"/>
                  <wp:effectExtent l="0" t="0" r="698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7" cstate="hqprint">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Pr>
          <w:p w14:paraId="6C3D7FCA" w14:textId="294EC112" w:rsidR="00247441" w:rsidRPr="00F77DDC" w:rsidRDefault="00086D38" w:rsidP="00247441">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rPr>
            </w:pPr>
            <w:hyperlink r:id="rId388" w:history="1">
              <w:r w:rsidR="00247441" w:rsidRPr="00F77DDC">
                <w:rPr>
                  <w:rStyle w:val="Hyperlink"/>
                  <w:rFonts w:asciiTheme="minorHAnsi" w:eastAsia="Calibri" w:hAnsiTheme="minorHAnsi" w:cstheme="minorHAnsi"/>
                  <w:u w:val="none"/>
                </w:rPr>
                <w:t>crime-and-corruption-commission-</w:t>
              </w:r>
              <w:proofErr w:type="spellStart"/>
              <w:r w:rsidR="00247441" w:rsidRPr="00F77DDC">
                <w:rPr>
                  <w:rStyle w:val="Hyperlink"/>
                  <w:rFonts w:asciiTheme="minorHAnsi" w:eastAsia="Calibri" w:hAnsiTheme="minorHAnsi" w:cstheme="minorHAnsi"/>
                  <w:u w:val="none"/>
                </w:rPr>
                <w:t>queensland</w:t>
              </w:r>
              <w:proofErr w:type="spellEnd"/>
            </w:hyperlink>
          </w:p>
        </w:tc>
      </w:tr>
    </w:tbl>
    <w:p w14:paraId="31EA0553" w14:textId="4478D6A9" w:rsidR="00F83949" w:rsidRPr="00DF3006" w:rsidRDefault="00383EE9" w:rsidP="00714F06">
      <w:pPr>
        <w:spacing w:before="120" w:after="0" w:line="260" w:lineRule="exact"/>
        <w:rPr>
          <w:strike/>
          <w:color w:val="414042" w:themeColor="text1"/>
        </w:rPr>
      </w:pPr>
      <w:r w:rsidRPr="00DF3006">
        <w:rPr>
          <w:strike/>
          <w:noProof/>
          <w:color w:val="414042" w:themeColor="text1"/>
        </w:rPr>
        <w:drawing>
          <wp:anchor distT="0" distB="0" distL="114300" distR="114300" simplePos="0" relativeHeight="252213248" behindDoc="1" locked="0" layoutInCell="1" allowOverlap="1" wp14:anchorId="4FF90402" wp14:editId="0E612DAA">
            <wp:simplePos x="0" y="0"/>
            <wp:positionH relativeFrom="column">
              <wp:posOffset>2073910</wp:posOffset>
            </wp:positionH>
            <wp:positionV relativeFrom="paragraph">
              <wp:posOffset>2306320</wp:posOffset>
            </wp:positionV>
            <wp:extent cx="1948180" cy="1683385"/>
            <wp:effectExtent l="0" t="0" r="0" b="0"/>
            <wp:wrapNone/>
            <wp:docPr id="2474" name="Picture 2474" descr="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Picture 2474" descr="CCC Logo"/>
                    <pic:cNvPicPr/>
                  </pic:nvPicPr>
                  <pic:blipFill>
                    <a:blip r:embed="rId389">
                      <a:extLst>
                        <a:ext uri="{28A0092B-C50C-407E-A947-70E740481C1C}">
                          <a14:useLocalDpi xmlns:a14="http://schemas.microsoft.com/office/drawing/2010/main" val="0"/>
                        </a:ext>
                      </a:extLst>
                    </a:blip>
                    <a:stretch>
                      <a:fillRect/>
                    </a:stretch>
                  </pic:blipFill>
                  <pic:spPr>
                    <a:xfrm>
                      <a:off x="0" y="0"/>
                      <a:ext cx="1948180" cy="1683385"/>
                    </a:xfrm>
                    <a:prstGeom prst="rect">
                      <a:avLst/>
                    </a:prstGeom>
                  </pic:spPr>
                </pic:pic>
              </a:graphicData>
            </a:graphic>
            <wp14:sizeRelH relativeFrom="page">
              <wp14:pctWidth>0</wp14:pctWidth>
            </wp14:sizeRelH>
            <wp14:sizeRelV relativeFrom="page">
              <wp14:pctHeight>0</wp14:pctHeight>
            </wp14:sizeRelV>
          </wp:anchor>
        </w:drawing>
      </w:r>
    </w:p>
    <w:sectPr w:rsidR="00F83949" w:rsidRPr="00DF3006" w:rsidSect="00C77834">
      <w:headerReference w:type="even" r:id="rId390"/>
      <w:headerReference w:type="default" r:id="rId391"/>
      <w:footerReference w:type="even" r:id="rId392"/>
      <w:footerReference w:type="default" r:id="rId393"/>
      <w:headerReference w:type="first" r:id="rId394"/>
      <w:pgSz w:w="11906" w:h="16838" w:code="9"/>
      <w:pgMar w:top="2155" w:right="1134" w:bottom="964" w:left="1134" w:header="720" w:footer="284" w:gutter="0"/>
      <w:cols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99C0" w14:textId="77777777" w:rsidR="00A212F6" w:rsidRDefault="00A212F6" w:rsidP="008F384A">
      <w:pPr>
        <w:spacing w:after="0"/>
      </w:pPr>
      <w:r>
        <w:separator/>
      </w:r>
    </w:p>
  </w:endnote>
  <w:endnote w:type="continuationSeparator" w:id="0">
    <w:p w14:paraId="7A5DE05A" w14:textId="77777777" w:rsidR="00A212F6" w:rsidRDefault="00A212F6" w:rsidP="008F38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ax-Bold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4712" w14:textId="3DA5461C" w:rsidR="005F42AC" w:rsidRPr="0006746C" w:rsidRDefault="00086D38" w:rsidP="002D5AE6">
    <w:pPr>
      <w:pStyle w:val="Footer"/>
      <w:spacing w:after="0"/>
      <w:rPr>
        <w:b/>
        <w:bCs/>
        <w:color w:val="414042" w:themeColor="text1"/>
        <w:sz w:val="26"/>
        <w:szCs w:val="26"/>
      </w:rPr>
    </w:pPr>
    <w:sdt>
      <w:sdtPr>
        <w:rPr>
          <w:b/>
          <w:bCs/>
          <w:color w:val="414042" w:themeColor="text1"/>
          <w:sz w:val="28"/>
          <w:szCs w:val="28"/>
        </w:rPr>
        <w:id w:val="807902356"/>
        <w:docPartObj>
          <w:docPartGallery w:val="Page Numbers (Bottom of Page)"/>
          <w:docPartUnique/>
        </w:docPartObj>
      </w:sdtPr>
      <w:sdtEndPr>
        <w:rPr>
          <w:noProof/>
          <w:sz w:val="26"/>
          <w:szCs w:val="26"/>
        </w:rPr>
      </w:sdtEndPr>
      <w:sdtContent>
        <w:r w:rsidR="005F42AC" w:rsidRPr="009846B4">
          <w:rPr>
            <w:rStyle w:val="PagenumberChar"/>
          </w:rPr>
          <w:fldChar w:fldCharType="begin"/>
        </w:r>
        <w:r w:rsidR="005F42AC" w:rsidRPr="009846B4">
          <w:rPr>
            <w:rStyle w:val="PagenumberChar"/>
          </w:rPr>
          <w:instrText xml:space="preserve"> PAGE   \* MERGEFORMAT </w:instrText>
        </w:r>
        <w:r w:rsidR="005F42AC" w:rsidRPr="009846B4">
          <w:rPr>
            <w:rStyle w:val="PagenumberChar"/>
          </w:rPr>
          <w:fldChar w:fldCharType="separate"/>
        </w:r>
        <w:r w:rsidR="005F42AC" w:rsidRPr="009846B4">
          <w:rPr>
            <w:rStyle w:val="PagenumberChar"/>
          </w:rPr>
          <w:t>2</w:t>
        </w:r>
        <w:r w:rsidR="005F42AC" w:rsidRPr="009846B4">
          <w:rPr>
            <w:rStyle w:val="PagenumberChar"/>
          </w:rPr>
          <w:fldChar w:fldCharType="end"/>
        </w:r>
        <w:r w:rsidR="005F42AC" w:rsidRPr="005A3524">
          <w:rPr>
            <w:rFonts w:cs="Calibri Light"/>
            <w:caps/>
            <w:color w:val="58585B"/>
            <w:sz w:val="16"/>
            <w:szCs w:val="16"/>
          </w:rPr>
          <w:t xml:space="preserve"> </w:t>
        </w:r>
        <w:r w:rsidR="005F42AC">
          <w:rPr>
            <w:rFonts w:cs="Calibri Light"/>
            <w:caps/>
            <w:color w:val="58585B"/>
            <w:sz w:val="16"/>
            <w:szCs w:val="16"/>
          </w:rPr>
          <w:tab/>
          <w:t xml:space="preserve">                                            </w:t>
        </w:r>
        <w:r w:rsidR="006E7A9E">
          <w:rPr>
            <w:rFonts w:cs="Calibri Light"/>
            <w:caps/>
            <w:color w:val="58585B"/>
            <w:sz w:val="16"/>
            <w:szCs w:val="16"/>
          </w:rPr>
          <w:t>A</w:t>
        </w:r>
        <w:r w:rsidR="006E7A9E" w:rsidRPr="005A3524">
          <w:rPr>
            <w:rFonts w:cs="Calibri Light"/>
            <w:caps/>
            <w:color w:val="58585B"/>
            <w:sz w:val="16"/>
            <w:szCs w:val="16"/>
          </w:rPr>
          <w:t>nnual report 202</w:t>
        </w:r>
        <w:r w:rsidR="006E7A9E">
          <w:rPr>
            <w:rFonts w:cs="Calibri Light"/>
            <w:caps/>
            <w:color w:val="58585B"/>
            <w:sz w:val="16"/>
            <w:szCs w:val="16"/>
          </w:rPr>
          <w:t>2–</w:t>
        </w:r>
        <w:r w:rsidR="006E7A9E" w:rsidRPr="005A3524">
          <w:rPr>
            <w:rFonts w:cs="Calibri Light"/>
            <w:caps/>
            <w:color w:val="58585B"/>
            <w:sz w:val="16"/>
            <w:szCs w:val="16"/>
          </w:rPr>
          <w:t>2</w:t>
        </w:r>
        <w:r w:rsidR="006E7A9E">
          <w:rPr>
            <w:rFonts w:cs="Calibri Light"/>
            <w:caps/>
            <w:color w:val="58585B"/>
            <w:sz w:val="16"/>
            <w:szCs w:val="16"/>
          </w:rPr>
          <w:t>3</w:t>
        </w:r>
        <w:r w:rsidR="006E7A9E" w:rsidRPr="005A3524">
          <w:rPr>
            <w:rFonts w:cs="Calibri Light"/>
            <w:caps/>
            <w:color w:val="58585B"/>
            <w:sz w:val="16"/>
            <w:szCs w:val="16"/>
          </w:rPr>
          <w:t xml:space="preserve">    </w:t>
        </w:r>
        <w:r w:rsidR="006E7A9E">
          <w:rPr>
            <w:rFonts w:cs="Calibri Light"/>
            <w:caps/>
            <w:color w:val="58585B"/>
            <w:sz w:val="16"/>
            <w:szCs w:val="16"/>
          </w:rPr>
          <w:t xml:space="preserve">  </w:t>
        </w:r>
        <w:r w:rsidR="006E7A9E" w:rsidRPr="005A3524">
          <w:rPr>
            <w:rFonts w:cs="Calibri Light"/>
            <w:caps/>
            <w:color w:val="58585B"/>
            <w:sz w:val="16"/>
            <w:szCs w:val="16"/>
          </w:rPr>
          <w:t xml:space="preserve">   </w:t>
        </w:r>
        <w:r w:rsidR="006E7A9E" w:rsidRPr="005A3524">
          <w:rPr>
            <w:rFonts w:ascii="Calibri" w:hAnsi="Calibri" w:cs="Calibri"/>
            <w:b/>
            <w:bCs/>
            <w:caps/>
            <w:color w:val="404041"/>
            <w:sz w:val="16"/>
            <w:szCs w:val="16"/>
          </w:rPr>
          <w:t>crime and corruption commission</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121" w14:textId="77777777" w:rsidR="007A3E39" w:rsidRDefault="007A3E3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E0BD" w14:textId="4CF28B33" w:rsidR="00507AF5" w:rsidRPr="00AF2677" w:rsidRDefault="00086D38" w:rsidP="00AF2677">
    <w:pPr>
      <w:pStyle w:val="Footer"/>
      <w:spacing w:after="0"/>
      <w:rPr>
        <w:b/>
        <w:bCs/>
        <w:color w:val="414042" w:themeColor="text1"/>
        <w:sz w:val="26"/>
        <w:szCs w:val="26"/>
      </w:rPr>
    </w:pPr>
    <w:sdt>
      <w:sdtPr>
        <w:rPr>
          <w:b/>
          <w:bCs/>
          <w:color w:val="414042" w:themeColor="text1"/>
          <w:sz w:val="28"/>
          <w:szCs w:val="28"/>
        </w:rPr>
        <w:id w:val="1493294941"/>
        <w:docPartObj>
          <w:docPartGallery w:val="Page Numbers (Bottom of Page)"/>
          <w:docPartUnique/>
        </w:docPartObj>
      </w:sdtPr>
      <w:sdtEndPr>
        <w:rPr>
          <w:noProof/>
          <w:sz w:val="26"/>
          <w:szCs w:val="26"/>
        </w:rPr>
      </w:sdtEndPr>
      <w:sdtContent>
        <w:r w:rsidR="00AF2677" w:rsidRPr="009846B4">
          <w:rPr>
            <w:rStyle w:val="PagenumberChar"/>
          </w:rPr>
          <w:fldChar w:fldCharType="begin"/>
        </w:r>
        <w:r w:rsidR="00AF2677" w:rsidRPr="009846B4">
          <w:rPr>
            <w:rStyle w:val="PagenumberChar"/>
          </w:rPr>
          <w:instrText xml:space="preserve"> PAGE   \* MERGEFORMAT </w:instrText>
        </w:r>
        <w:r w:rsidR="00AF2677" w:rsidRPr="009846B4">
          <w:rPr>
            <w:rStyle w:val="PagenumberChar"/>
          </w:rPr>
          <w:fldChar w:fldCharType="separate"/>
        </w:r>
        <w:r w:rsidR="00AF2677">
          <w:rPr>
            <w:rStyle w:val="PagenumberChar"/>
          </w:rPr>
          <w:t>4</w:t>
        </w:r>
        <w:r w:rsidR="00AF2677" w:rsidRPr="009846B4">
          <w:rPr>
            <w:rStyle w:val="PagenumberChar"/>
          </w:rPr>
          <w:fldChar w:fldCharType="end"/>
        </w:r>
        <w:r w:rsidR="00AF2677" w:rsidRPr="005A3524">
          <w:rPr>
            <w:rFonts w:cs="Calibri Light"/>
            <w:caps/>
            <w:color w:val="58585B"/>
            <w:sz w:val="16"/>
            <w:szCs w:val="16"/>
          </w:rPr>
          <w:t xml:space="preserve"> </w:t>
        </w:r>
        <w:r w:rsidR="00AF2677">
          <w:rPr>
            <w:rFonts w:cs="Calibri Light"/>
            <w:caps/>
            <w:color w:val="58585B"/>
            <w:sz w:val="16"/>
            <w:szCs w:val="16"/>
          </w:rPr>
          <w:tab/>
          <w:t xml:space="preserve">                                            </w:t>
        </w:r>
        <w:r w:rsidR="00AF2677" w:rsidRPr="005A3524">
          <w:rPr>
            <w:rFonts w:cs="Calibri Light"/>
            <w:caps/>
            <w:color w:val="58585B"/>
            <w:sz w:val="16"/>
            <w:szCs w:val="16"/>
          </w:rPr>
          <w:t>annual report 202</w:t>
        </w:r>
        <w:r w:rsidR="00351BCC">
          <w:rPr>
            <w:rFonts w:cs="Calibri Light"/>
            <w:caps/>
            <w:color w:val="58585B"/>
            <w:sz w:val="16"/>
            <w:szCs w:val="16"/>
          </w:rPr>
          <w:t>2</w:t>
        </w:r>
        <w:r w:rsidR="00AF2677">
          <w:rPr>
            <w:rFonts w:cs="Calibri Light"/>
            <w:caps/>
            <w:color w:val="58585B"/>
            <w:sz w:val="16"/>
            <w:szCs w:val="16"/>
          </w:rPr>
          <w:t>–</w:t>
        </w:r>
        <w:r w:rsidR="00AF2677" w:rsidRPr="005A3524">
          <w:rPr>
            <w:rFonts w:cs="Calibri Light"/>
            <w:caps/>
            <w:color w:val="58585B"/>
            <w:sz w:val="16"/>
            <w:szCs w:val="16"/>
          </w:rPr>
          <w:t>2</w:t>
        </w:r>
        <w:r w:rsidR="00351BCC">
          <w:rPr>
            <w:rFonts w:cs="Calibri Light"/>
            <w:caps/>
            <w:color w:val="58585B"/>
            <w:sz w:val="16"/>
            <w:szCs w:val="16"/>
          </w:rPr>
          <w:t>3</w:t>
        </w:r>
        <w:r w:rsidR="00AF2677">
          <w:rPr>
            <w:rFonts w:cs="Calibri Light"/>
            <w:caps/>
            <w:color w:val="58585B"/>
            <w:sz w:val="16"/>
            <w:szCs w:val="16"/>
          </w:rPr>
          <w:t xml:space="preserve">    </w:t>
        </w:r>
        <w:r w:rsidR="00AF2677" w:rsidRPr="005A3524">
          <w:rPr>
            <w:rFonts w:cs="Calibri Light"/>
            <w:caps/>
            <w:color w:val="58585B"/>
            <w:sz w:val="16"/>
            <w:szCs w:val="16"/>
          </w:rPr>
          <w:t xml:space="preserve">    </w:t>
        </w:r>
        <w:r w:rsidR="00AF2677">
          <w:rPr>
            <w:rFonts w:cs="Calibri Light"/>
            <w:caps/>
            <w:color w:val="58585B"/>
            <w:sz w:val="16"/>
            <w:szCs w:val="16"/>
          </w:rPr>
          <w:t xml:space="preserve"> </w:t>
        </w:r>
        <w:r w:rsidR="00AF2677" w:rsidRPr="005A3524">
          <w:rPr>
            <w:rFonts w:cs="Calibri Light"/>
            <w:caps/>
            <w:color w:val="58585B"/>
            <w:sz w:val="16"/>
            <w:szCs w:val="16"/>
          </w:rPr>
          <w:t xml:space="preserve"> </w:t>
        </w:r>
        <w:r w:rsidR="00AF2677" w:rsidRPr="005A3524">
          <w:rPr>
            <w:rFonts w:ascii="Calibri" w:hAnsi="Calibri" w:cs="Calibri"/>
            <w:b/>
            <w:bCs/>
            <w:caps/>
            <w:color w:val="404041"/>
            <w:sz w:val="16"/>
            <w:szCs w:val="16"/>
          </w:rPr>
          <w:t>crime and corruption commiss</w:t>
        </w:r>
        <w:r w:rsidR="00AF2677">
          <w:rPr>
            <w:rFonts w:ascii="Calibri" w:hAnsi="Calibri" w:cs="Calibri"/>
            <w:b/>
            <w:bCs/>
            <w:caps/>
            <w:color w:val="404041"/>
            <w:sz w:val="16"/>
            <w:szCs w:val="16"/>
          </w:rPr>
          <w:t>ION</w:t>
        </w:r>
      </w:sdtContent>
    </w:sdt>
    <w:r w:rsidR="00AF2677">
      <w:rPr>
        <w:noProof/>
      </w:rPr>
      <w:drawing>
        <wp:anchor distT="0" distB="0" distL="114300" distR="114300" simplePos="0" relativeHeight="251703808" behindDoc="1" locked="0" layoutInCell="1" allowOverlap="1" wp14:anchorId="3323F2BA" wp14:editId="52A3E2DF">
          <wp:simplePos x="0" y="0"/>
          <wp:positionH relativeFrom="page">
            <wp:posOffset>-2924</wp:posOffset>
          </wp:positionH>
          <wp:positionV relativeFrom="paragraph">
            <wp:posOffset>558062</wp:posOffset>
          </wp:positionV>
          <wp:extent cx="7558765" cy="10691997"/>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7DBE" w14:textId="4F7DF0D8" w:rsidR="00507AF5" w:rsidRPr="00E65504" w:rsidRDefault="00086D38" w:rsidP="00E65504">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584807542"/>
        <w:docPartObj>
          <w:docPartGallery w:val="Page Numbers (Bottom of Page)"/>
          <w:docPartUnique/>
        </w:docPartObj>
      </w:sdtPr>
      <w:sdtEndPr>
        <w:rPr>
          <w:noProof/>
          <w:sz w:val="26"/>
          <w:szCs w:val="26"/>
        </w:rPr>
      </w:sdtEndPr>
      <w:sdtContent>
        <w:r w:rsidR="00507AF5" w:rsidRPr="003550DF">
          <w:rPr>
            <w:rFonts w:asciiTheme="majorHAnsi" w:hAnsiTheme="majorHAnsi" w:cstheme="majorHAnsi"/>
            <w:b/>
            <w:bCs/>
            <w:color w:val="414042" w:themeColor="text1"/>
            <w:sz w:val="20"/>
            <w:szCs w:val="20"/>
          </w:rPr>
          <w:fldChar w:fldCharType="begin"/>
        </w:r>
        <w:r w:rsidR="00507AF5" w:rsidRPr="003550DF">
          <w:rPr>
            <w:rFonts w:asciiTheme="majorHAnsi" w:hAnsiTheme="majorHAnsi" w:cstheme="majorHAnsi"/>
            <w:b/>
            <w:bCs/>
            <w:color w:val="414042" w:themeColor="text1"/>
            <w:sz w:val="20"/>
            <w:szCs w:val="20"/>
          </w:rPr>
          <w:instrText xml:space="preserve"> PAGE   \* MERGEFORMAT </w:instrText>
        </w:r>
        <w:r w:rsidR="00507AF5" w:rsidRPr="003550DF">
          <w:rPr>
            <w:rFonts w:asciiTheme="majorHAnsi" w:hAnsiTheme="majorHAnsi" w:cstheme="majorHAnsi"/>
            <w:b/>
            <w:bCs/>
            <w:color w:val="414042" w:themeColor="text1"/>
            <w:sz w:val="20"/>
            <w:szCs w:val="20"/>
          </w:rPr>
          <w:fldChar w:fldCharType="separate"/>
        </w:r>
        <w:r w:rsidR="00507AF5" w:rsidRPr="003550DF">
          <w:rPr>
            <w:rFonts w:asciiTheme="majorHAnsi" w:hAnsiTheme="majorHAnsi" w:cstheme="majorHAnsi"/>
            <w:b/>
            <w:bCs/>
            <w:color w:val="414042" w:themeColor="text1"/>
            <w:sz w:val="20"/>
            <w:szCs w:val="20"/>
          </w:rPr>
          <w:t>2</w:t>
        </w:r>
        <w:r w:rsidR="00507AF5" w:rsidRPr="003550DF">
          <w:rPr>
            <w:rFonts w:asciiTheme="majorHAnsi" w:hAnsiTheme="majorHAnsi" w:cstheme="majorHAnsi"/>
            <w:b/>
            <w:bCs/>
            <w:noProof/>
            <w:color w:val="414042" w:themeColor="text1"/>
            <w:sz w:val="20"/>
            <w:szCs w:val="20"/>
          </w:rPr>
          <w:fldChar w:fldCharType="end"/>
        </w:r>
        <w:r w:rsidR="00507AF5" w:rsidRPr="003550DF">
          <w:rPr>
            <w:rFonts w:ascii="Calibri Light" w:hAnsi="Calibri Light" w:cs="Calibri Light"/>
            <w:caps/>
            <w:color w:val="58585B"/>
            <w:sz w:val="10"/>
            <w:szCs w:val="10"/>
          </w:rPr>
          <w:t xml:space="preserve">   </w:t>
        </w:r>
        <w:r w:rsidR="00507AF5">
          <w:rPr>
            <w:rFonts w:ascii="Calibri Light" w:hAnsi="Calibri Light" w:cs="Calibri Light"/>
            <w:caps/>
            <w:color w:val="58585B"/>
            <w:sz w:val="16"/>
            <w:szCs w:val="16"/>
          </w:rPr>
          <w:t xml:space="preserve">                                              </w:t>
        </w:r>
        <w:r w:rsidR="00AF2677">
          <w:rPr>
            <w:rFonts w:ascii="Calibri Light" w:hAnsi="Calibri Light" w:cs="Calibri Light"/>
            <w:caps/>
            <w:color w:val="58585B"/>
            <w:sz w:val="16"/>
            <w:szCs w:val="16"/>
          </w:rPr>
          <w:t xml:space="preserve">     </w:t>
        </w:r>
        <w:r w:rsidR="00507AF5">
          <w:rPr>
            <w:rFonts w:ascii="Calibri Light" w:hAnsi="Calibri Light" w:cs="Calibri Light"/>
            <w:caps/>
            <w:color w:val="58585B"/>
            <w:sz w:val="16"/>
            <w:szCs w:val="16"/>
          </w:rPr>
          <w:t xml:space="preserve">                          </w:t>
        </w:r>
        <w:r w:rsidR="00507AF5" w:rsidRPr="005A3524">
          <w:rPr>
            <w:rFonts w:ascii="Calibri Light" w:hAnsi="Calibri Light" w:cs="Calibri Light"/>
            <w:caps/>
            <w:color w:val="58585B"/>
            <w:sz w:val="16"/>
            <w:szCs w:val="16"/>
          </w:rPr>
          <w:t>annual report 202</w:t>
        </w:r>
        <w:r w:rsidR="00507AF5">
          <w:rPr>
            <w:rFonts w:ascii="Calibri Light" w:hAnsi="Calibri Light" w:cs="Calibri Light"/>
            <w:caps/>
            <w:color w:val="58585B"/>
            <w:sz w:val="16"/>
            <w:szCs w:val="16"/>
          </w:rPr>
          <w:t>2–</w:t>
        </w:r>
        <w:r w:rsidR="00507AF5" w:rsidRPr="005A3524">
          <w:rPr>
            <w:rFonts w:ascii="Calibri Light" w:hAnsi="Calibri Light" w:cs="Calibri Light"/>
            <w:caps/>
            <w:color w:val="58585B"/>
            <w:sz w:val="16"/>
            <w:szCs w:val="16"/>
          </w:rPr>
          <w:t>2</w:t>
        </w:r>
        <w:r w:rsidR="00507AF5">
          <w:rPr>
            <w:rFonts w:ascii="Calibri Light" w:hAnsi="Calibri Light" w:cs="Calibri Light"/>
            <w:caps/>
            <w:color w:val="58585B"/>
            <w:sz w:val="16"/>
            <w:szCs w:val="16"/>
          </w:rPr>
          <w:t>3</w:t>
        </w:r>
        <w:r w:rsidR="00507AF5" w:rsidRPr="005A3524">
          <w:rPr>
            <w:rFonts w:ascii="Calibri Light" w:hAnsi="Calibri Light" w:cs="Calibri Light"/>
            <w:caps/>
            <w:color w:val="58585B"/>
            <w:sz w:val="16"/>
            <w:szCs w:val="16"/>
          </w:rPr>
          <w:t xml:space="preserve">         </w:t>
        </w:r>
        <w:r w:rsidR="00507AF5" w:rsidRPr="005A3524">
          <w:rPr>
            <w:rFonts w:ascii="Calibri" w:hAnsi="Calibri" w:cs="Calibri"/>
            <w:b/>
            <w:bCs/>
            <w:caps/>
            <w:color w:val="404041"/>
            <w:sz w:val="16"/>
            <w:szCs w:val="16"/>
          </w:rPr>
          <w:t>crime and corruption commission</w:t>
        </w:r>
        <w:r w:rsidR="00507AF5">
          <w:rPr>
            <w:rFonts w:ascii="Calibri" w:hAnsi="Calibri" w:cs="Calibri"/>
            <w:b/>
            <w:bCs/>
            <w:caps/>
            <w:color w:val="404041"/>
            <w:sz w:val="16"/>
            <w:szCs w:val="16"/>
          </w:rPr>
          <w:t xml:space="preserve"> </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65D0" w14:textId="77777777" w:rsidR="00507AF5" w:rsidRDefault="00507AF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D42E" w14:textId="6BE1729E" w:rsidR="002227D3" w:rsidRPr="00C072F0" w:rsidRDefault="00086D38"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417482682"/>
        <w:docPartObj>
          <w:docPartGallery w:val="Page Numbers (Bottom of Page)"/>
          <w:docPartUnique/>
        </w:docPartObj>
      </w:sdtPr>
      <w:sdtEndPr>
        <w:rPr>
          <w:noProof/>
          <w:sz w:val="26"/>
          <w:szCs w:val="26"/>
        </w:rPr>
      </w:sdtEndPr>
      <w:sdtContent>
        <w:r w:rsidR="002227D3">
          <w:rPr>
            <w:rFonts w:ascii="Calibri Light" w:hAnsi="Calibri Light" w:cs="Calibri Light"/>
            <w:caps/>
            <w:color w:val="58585B"/>
            <w:sz w:val="16"/>
            <w:szCs w:val="16"/>
          </w:rPr>
          <w:t xml:space="preserve">                                                                                  </w:t>
        </w:r>
        <w:r w:rsidR="002227D3" w:rsidRPr="005A3524">
          <w:rPr>
            <w:rFonts w:ascii="Calibri Light" w:hAnsi="Calibri Light" w:cs="Calibri Light"/>
            <w:caps/>
            <w:color w:val="58585B"/>
            <w:sz w:val="16"/>
            <w:szCs w:val="16"/>
          </w:rPr>
          <w:t>annual report 202</w:t>
        </w:r>
        <w:r w:rsidR="00130B40">
          <w:rPr>
            <w:rFonts w:ascii="Calibri Light" w:hAnsi="Calibri Light" w:cs="Calibri Light"/>
            <w:caps/>
            <w:color w:val="58585B"/>
            <w:sz w:val="16"/>
            <w:szCs w:val="16"/>
          </w:rPr>
          <w:t>2</w:t>
        </w:r>
        <w:r w:rsidR="002227D3">
          <w:rPr>
            <w:rFonts w:ascii="Calibri Light" w:hAnsi="Calibri Light" w:cs="Calibri Light"/>
            <w:caps/>
            <w:color w:val="58585B"/>
            <w:sz w:val="16"/>
            <w:szCs w:val="16"/>
          </w:rPr>
          <w:t>–</w:t>
        </w:r>
        <w:r w:rsidR="002227D3" w:rsidRPr="005A3524">
          <w:rPr>
            <w:rFonts w:ascii="Calibri Light" w:hAnsi="Calibri Light" w:cs="Calibri Light"/>
            <w:caps/>
            <w:color w:val="58585B"/>
            <w:sz w:val="16"/>
            <w:szCs w:val="16"/>
          </w:rPr>
          <w:t>2</w:t>
        </w:r>
        <w:r w:rsidR="00130B40">
          <w:rPr>
            <w:rFonts w:ascii="Calibri Light" w:hAnsi="Calibri Light" w:cs="Calibri Light"/>
            <w:caps/>
            <w:color w:val="58585B"/>
            <w:sz w:val="16"/>
            <w:szCs w:val="16"/>
          </w:rPr>
          <w:t>3</w:t>
        </w:r>
        <w:r w:rsidR="002227D3" w:rsidRPr="005A3524">
          <w:rPr>
            <w:rFonts w:ascii="Calibri Light" w:hAnsi="Calibri Light" w:cs="Calibri Light"/>
            <w:caps/>
            <w:color w:val="58585B"/>
            <w:sz w:val="16"/>
            <w:szCs w:val="16"/>
          </w:rPr>
          <w:t xml:space="preserve">         </w:t>
        </w:r>
        <w:r w:rsidR="002227D3" w:rsidRPr="005A3524">
          <w:rPr>
            <w:rFonts w:ascii="Calibri" w:hAnsi="Calibri" w:cs="Calibri"/>
            <w:b/>
            <w:bCs/>
            <w:caps/>
            <w:color w:val="404041"/>
            <w:sz w:val="16"/>
            <w:szCs w:val="16"/>
          </w:rPr>
          <w:t>crime and corruption commission</w:t>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sidRPr="00811C7B">
          <w:rPr>
            <w:rStyle w:val="PagenumberChar"/>
          </w:rPr>
          <w:fldChar w:fldCharType="begin"/>
        </w:r>
        <w:r w:rsidR="002227D3" w:rsidRPr="00811C7B">
          <w:rPr>
            <w:rStyle w:val="PagenumberChar"/>
          </w:rPr>
          <w:instrText xml:space="preserve"> PAGE   \* MERGEFORMAT </w:instrText>
        </w:r>
        <w:r w:rsidR="002227D3" w:rsidRPr="00811C7B">
          <w:rPr>
            <w:rStyle w:val="PagenumberChar"/>
          </w:rPr>
          <w:fldChar w:fldCharType="separate"/>
        </w:r>
        <w:r w:rsidR="002227D3" w:rsidRPr="00811C7B">
          <w:rPr>
            <w:rStyle w:val="PagenumberChar"/>
          </w:rPr>
          <w:t>11</w:t>
        </w:r>
        <w:r w:rsidR="002227D3" w:rsidRPr="00811C7B">
          <w:rPr>
            <w:rStyle w:val="PagenumberCha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B9A8" w14:textId="61200283" w:rsidR="007608E7" w:rsidRPr="00C449F8" w:rsidRDefault="00AF2677" w:rsidP="00C449F8">
    <w:pPr>
      <w:pStyle w:val="Footer"/>
      <w:spacing w:after="0"/>
      <w:jc w:val="right"/>
      <w:rPr>
        <w:b/>
        <w:bCs/>
        <w:color w:val="414042" w:themeColor="text1"/>
        <w:sz w:val="26"/>
        <w:szCs w:val="26"/>
      </w:rPr>
    </w:pPr>
    <w:r>
      <w:rPr>
        <w:noProof/>
      </w:rPr>
      <w:drawing>
        <wp:anchor distT="0" distB="0" distL="114300" distR="114300" simplePos="0" relativeHeight="251705856" behindDoc="1" locked="0" layoutInCell="1" allowOverlap="1" wp14:anchorId="5E139459" wp14:editId="7B2849FA">
          <wp:simplePos x="0" y="0"/>
          <wp:positionH relativeFrom="page">
            <wp:posOffset>-2540</wp:posOffset>
          </wp:positionH>
          <wp:positionV relativeFrom="paragraph">
            <wp:posOffset>445770</wp:posOffset>
          </wp:positionV>
          <wp:extent cx="7558405" cy="1069149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sdt>
      <w:sdtPr>
        <w:rPr>
          <w:b/>
          <w:bCs/>
          <w:color w:val="414042" w:themeColor="text1"/>
          <w:sz w:val="28"/>
          <w:szCs w:val="28"/>
        </w:rPr>
        <w:id w:val="616726770"/>
        <w:docPartObj>
          <w:docPartGallery w:val="Page Numbers (Bottom of Page)"/>
          <w:docPartUnique/>
        </w:docPartObj>
      </w:sdtPr>
      <w:sdtEndPr>
        <w:rPr>
          <w:noProof/>
          <w:sz w:val="26"/>
          <w:szCs w:val="26"/>
        </w:rPr>
      </w:sdtEndPr>
      <w:sdtContent>
        <w:r w:rsidR="00E27336" w:rsidRPr="005A3524">
          <w:rPr>
            <w:rFonts w:cs="Calibri Light"/>
            <w:caps/>
            <w:color w:val="58585B"/>
            <w:sz w:val="16"/>
            <w:szCs w:val="16"/>
          </w:rPr>
          <w:t>annual report 202</w:t>
        </w:r>
        <w:r w:rsidR="00130B40">
          <w:rPr>
            <w:rFonts w:cs="Calibri Light"/>
            <w:caps/>
            <w:color w:val="58585B"/>
            <w:sz w:val="16"/>
            <w:szCs w:val="16"/>
          </w:rPr>
          <w:t>2</w:t>
        </w:r>
        <w:r w:rsidR="00756F36">
          <w:rPr>
            <w:rFonts w:cs="Calibri Light"/>
            <w:caps/>
            <w:color w:val="58585B"/>
            <w:sz w:val="16"/>
            <w:szCs w:val="16"/>
          </w:rPr>
          <w:t>–</w:t>
        </w:r>
        <w:r w:rsidR="00E27336" w:rsidRPr="005A3524">
          <w:rPr>
            <w:rFonts w:cs="Calibri Light"/>
            <w:caps/>
            <w:color w:val="58585B"/>
            <w:sz w:val="16"/>
            <w:szCs w:val="16"/>
          </w:rPr>
          <w:t>2</w:t>
        </w:r>
        <w:r w:rsidR="00130B40">
          <w:rPr>
            <w:rFonts w:cs="Calibri Light"/>
            <w:caps/>
            <w:color w:val="58585B"/>
            <w:sz w:val="16"/>
            <w:szCs w:val="16"/>
          </w:rPr>
          <w:t>3</w:t>
        </w:r>
        <w:r w:rsidR="00E27336" w:rsidRPr="005A3524">
          <w:rPr>
            <w:rFonts w:cs="Calibri Light"/>
            <w:caps/>
            <w:color w:val="58585B"/>
            <w:sz w:val="16"/>
            <w:szCs w:val="16"/>
          </w:rPr>
          <w:t xml:space="preserve"> </w:t>
        </w:r>
        <w:r w:rsidR="00E27336">
          <w:rPr>
            <w:rFonts w:cs="Calibri Light"/>
            <w:caps/>
            <w:color w:val="58585B"/>
            <w:sz w:val="16"/>
            <w:szCs w:val="16"/>
          </w:rPr>
          <w:t xml:space="preserve">  </w:t>
        </w:r>
        <w:r w:rsidR="00E27336" w:rsidRPr="005A3524">
          <w:rPr>
            <w:rFonts w:cs="Calibri Light"/>
            <w:caps/>
            <w:color w:val="58585B"/>
            <w:sz w:val="16"/>
            <w:szCs w:val="16"/>
          </w:rPr>
          <w:t xml:space="preserve">     </w:t>
        </w:r>
        <w:r w:rsidR="00E27336">
          <w:rPr>
            <w:rFonts w:cs="Calibri Light"/>
            <w:caps/>
            <w:color w:val="58585B"/>
            <w:sz w:val="16"/>
            <w:szCs w:val="16"/>
          </w:rPr>
          <w:t xml:space="preserve"> </w:t>
        </w:r>
        <w:r w:rsidR="00E27336" w:rsidRPr="005A3524">
          <w:rPr>
            <w:rFonts w:cs="Calibri Light"/>
            <w:caps/>
            <w:color w:val="58585B"/>
            <w:sz w:val="16"/>
            <w:szCs w:val="16"/>
          </w:rPr>
          <w:t xml:space="preserve">   </w:t>
        </w:r>
        <w:r w:rsidR="00E27336" w:rsidRPr="005A3524">
          <w:rPr>
            <w:rFonts w:ascii="Calibri" w:hAnsi="Calibri" w:cs="Calibri"/>
            <w:b/>
            <w:bCs/>
            <w:caps/>
            <w:color w:val="404041"/>
            <w:sz w:val="16"/>
            <w:szCs w:val="16"/>
          </w:rPr>
          <w:t>crime and corruption commission</w:t>
        </w:r>
        <w:r w:rsidR="00E27336">
          <w:rPr>
            <w:rFonts w:ascii="Calibri" w:hAnsi="Calibri" w:cs="Calibri"/>
            <w:b/>
            <w:bCs/>
            <w:caps/>
            <w:color w:val="404041"/>
            <w:sz w:val="16"/>
            <w:szCs w:val="16"/>
          </w:rPr>
          <w:t xml:space="preserve">                                                  </w:t>
        </w:r>
        <w:r w:rsidR="00E27336" w:rsidRPr="00862E3E">
          <w:rPr>
            <w:rStyle w:val="PagenumberChar"/>
          </w:rPr>
          <w:fldChar w:fldCharType="begin"/>
        </w:r>
        <w:r w:rsidR="00E27336" w:rsidRPr="00862E3E">
          <w:rPr>
            <w:rStyle w:val="PagenumberChar"/>
          </w:rPr>
          <w:instrText xml:space="preserve"> PAGE   \* MERGEFORMAT </w:instrText>
        </w:r>
        <w:r w:rsidR="00E27336" w:rsidRPr="00862E3E">
          <w:rPr>
            <w:rStyle w:val="PagenumberChar"/>
          </w:rPr>
          <w:fldChar w:fldCharType="separate"/>
        </w:r>
        <w:r w:rsidR="00E27336">
          <w:rPr>
            <w:rStyle w:val="PagenumberChar"/>
          </w:rPr>
          <w:t>5</w:t>
        </w:r>
        <w:r w:rsidR="00E27336" w:rsidRPr="00862E3E">
          <w:rPr>
            <w:rStyle w:val="PagenumberChar"/>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696B" w14:textId="7B7F16D5" w:rsidR="000442BE" w:rsidRPr="0006746C" w:rsidRDefault="00AF2677" w:rsidP="002D5AE6">
    <w:pPr>
      <w:pStyle w:val="Footer"/>
      <w:spacing w:after="0"/>
      <w:rPr>
        <w:b/>
        <w:bCs/>
        <w:color w:val="414042" w:themeColor="text1"/>
        <w:sz w:val="26"/>
        <w:szCs w:val="26"/>
      </w:rPr>
    </w:pPr>
    <w:r>
      <w:rPr>
        <w:noProof/>
      </w:rPr>
      <w:drawing>
        <wp:anchor distT="0" distB="0" distL="114300" distR="114300" simplePos="0" relativeHeight="251704832" behindDoc="1" locked="0" layoutInCell="1" allowOverlap="1" wp14:anchorId="5459CD23" wp14:editId="55B694FB">
          <wp:simplePos x="0" y="0"/>
          <wp:positionH relativeFrom="page">
            <wp:posOffset>-13557</wp:posOffset>
          </wp:positionH>
          <wp:positionV relativeFrom="paragraph">
            <wp:posOffset>477727</wp:posOffset>
          </wp:positionV>
          <wp:extent cx="7558405" cy="1069149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855F7F">
      <w:rPr>
        <w:noProof/>
      </w:rPr>
      <w:drawing>
        <wp:anchor distT="0" distB="0" distL="114300" distR="114300" simplePos="0" relativeHeight="251593216" behindDoc="1" locked="0" layoutInCell="1" allowOverlap="1" wp14:anchorId="676E2ADC" wp14:editId="412E35A0">
          <wp:simplePos x="0" y="0"/>
          <wp:positionH relativeFrom="page">
            <wp:posOffset>-3810</wp:posOffset>
          </wp:positionH>
          <wp:positionV relativeFrom="paragraph">
            <wp:posOffset>463550</wp:posOffset>
          </wp:positionV>
          <wp:extent cx="7558765" cy="10691997"/>
          <wp:effectExtent l="0" t="0" r="444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Char"/>
        </w:rPr>
        <w:id w:val="-1637023978"/>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10</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130B40">
          <w:rPr>
            <w:rFonts w:cs="Calibri Light"/>
            <w:caps/>
            <w:color w:val="58585B"/>
            <w:sz w:val="16"/>
            <w:szCs w:val="16"/>
          </w:rPr>
          <w:t>2</w:t>
        </w:r>
        <w:r w:rsidR="000442BE">
          <w:rPr>
            <w:rFonts w:cs="Calibri Light"/>
            <w:caps/>
            <w:color w:val="58585B"/>
            <w:sz w:val="16"/>
            <w:szCs w:val="16"/>
          </w:rPr>
          <w:t>–</w:t>
        </w:r>
        <w:r w:rsidR="000442BE" w:rsidRPr="005A3524">
          <w:rPr>
            <w:rFonts w:cs="Calibri Light"/>
            <w:caps/>
            <w:color w:val="58585B"/>
            <w:sz w:val="16"/>
            <w:szCs w:val="16"/>
          </w:rPr>
          <w:t>2</w:t>
        </w:r>
        <w:r w:rsidR="00130B40">
          <w:rPr>
            <w:rFonts w:cs="Calibri Light"/>
            <w:caps/>
            <w:color w:val="58585B"/>
            <w:sz w:val="16"/>
            <w:szCs w:val="16"/>
          </w:rPr>
          <w:t>3</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8F20" w14:textId="77777777" w:rsidR="00481A5F" w:rsidRPr="00C072F0" w:rsidRDefault="00086D38" w:rsidP="00C75068">
    <w:pPr>
      <w:pStyle w:val="BasicParagraph"/>
      <w:spacing w:after="0" w:line="240" w:lineRule="auto"/>
      <w:jc w:val="center"/>
      <w:rPr>
        <w:rFonts w:asciiTheme="minorHAnsi" w:hAnsiTheme="minorHAnsi" w:cstheme="minorHAnsi"/>
        <w:b/>
        <w:bCs/>
        <w:caps/>
        <w:color w:val="404041"/>
        <w:sz w:val="16"/>
        <w:szCs w:val="16"/>
      </w:rPr>
    </w:pPr>
    <w:sdt>
      <w:sdtPr>
        <w:rPr>
          <w:b/>
          <w:bCs/>
          <w:color w:val="414042" w:themeColor="text1"/>
          <w:sz w:val="28"/>
          <w:szCs w:val="28"/>
        </w:rPr>
        <w:id w:val="1589107679"/>
        <w:docPartObj>
          <w:docPartGallery w:val="Page Numbers (Bottom of Page)"/>
          <w:docPartUnique/>
        </w:docPartObj>
      </w:sdtPr>
      <w:sdtEndPr>
        <w:rPr>
          <w:noProof/>
          <w:sz w:val="26"/>
          <w:szCs w:val="26"/>
        </w:rPr>
      </w:sdtEndPr>
      <w:sdtContent>
        <w:r w:rsidR="00481A5F">
          <w:rPr>
            <w:rFonts w:ascii="Calibri Light" w:hAnsi="Calibri Light" w:cs="Calibri Light"/>
            <w:caps/>
            <w:color w:val="58585B"/>
            <w:sz w:val="16"/>
            <w:szCs w:val="16"/>
          </w:rPr>
          <w:t xml:space="preserve">                                                                      </w:t>
        </w:r>
        <w:r w:rsidR="00481A5F" w:rsidRPr="005A3524">
          <w:rPr>
            <w:rFonts w:cs="Calibri Light"/>
            <w:caps/>
            <w:color w:val="58585B"/>
            <w:sz w:val="16"/>
            <w:szCs w:val="16"/>
          </w:rPr>
          <w:t>annual report 202</w:t>
        </w:r>
        <w:r w:rsidR="00481A5F">
          <w:rPr>
            <w:rFonts w:cs="Calibri Light"/>
            <w:caps/>
            <w:color w:val="58585B"/>
            <w:sz w:val="16"/>
            <w:szCs w:val="16"/>
          </w:rPr>
          <w:t>1–</w:t>
        </w:r>
        <w:r w:rsidR="00481A5F" w:rsidRPr="005A3524">
          <w:rPr>
            <w:rFonts w:cs="Calibri Light"/>
            <w:caps/>
            <w:color w:val="58585B"/>
            <w:sz w:val="16"/>
            <w:szCs w:val="16"/>
          </w:rPr>
          <w:t>2</w:t>
        </w:r>
        <w:r w:rsidR="00481A5F">
          <w:rPr>
            <w:rFonts w:cs="Calibri Light"/>
            <w:caps/>
            <w:color w:val="58585B"/>
            <w:sz w:val="16"/>
            <w:szCs w:val="16"/>
          </w:rPr>
          <w:t xml:space="preserve">2    </w:t>
        </w:r>
        <w:r w:rsidR="00481A5F" w:rsidRPr="005A3524">
          <w:rPr>
            <w:rFonts w:cs="Calibri Light"/>
            <w:caps/>
            <w:color w:val="58585B"/>
            <w:sz w:val="16"/>
            <w:szCs w:val="16"/>
          </w:rPr>
          <w:t xml:space="preserve">    </w:t>
        </w:r>
        <w:r w:rsidR="00481A5F">
          <w:rPr>
            <w:rFonts w:cs="Calibri Light"/>
            <w:caps/>
            <w:color w:val="58585B"/>
            <w:sz w:val="16"/>
            <w:szCs w:val="16"/>
          </w:rPr>
          <w:t xml:space="preserve"> </w:t>
        </w:r>
        <w:r w:rsidR="00481A5F" w:rsidRPr="005A3524">
          <w:rPr>
            <w:rFonts w:cs="Calibri Light"/>
            <w:caps/>
            <w:color w:val="58585B"/>
            <w:sz w:val="16"/>
            <w:szCs w:val="16"/>
          </w:rPr>
          <w:t xml:space="preserve"> </w:t>
        </w:r>
        <w:r w:rsidR="00481A5F" w:rsidRPr="005A3524">
          <w:rPr>
            <w:rFonts w:ascii="Calibri" w:hAnsi="Calibri" w:cs="Calibri"/>
            <w:b/>
            <w:bCs/>
            <w:caps/>
            <w:color w:val="404041"/>
            <w:sz w:val="16"/>
            <w:szCs w:val="16"/>
          </w:rPr>
          <w:t>crime and corruption commission</w:t>
        </w:r>
        <w:r w:rsidR="00481A5F">
          <w:rPr>
            <w:rFonts w:ascii="Calibri" w:hAnsi="Calibri" w:cs="Calibri"/>
            <w:b/>
            <w:bCs/>
            <w:caps/>
            <w:color w:val="404041"/>
            <w:sz w:val="16"/>
            <w:szCs w:val="16"/>
          </w:rPr>
          <w:tab/>
        </w:r>
        <w:r w:rsidR="00481A5F">
          <w:rPr>
            <w:rFonts w:ascii="Calibri" w:hAnsi="Calibri" w:cs="Calibri"/>
            <w:b/>
            <w:bCs/>
            <w:caps/>
            <w:color w:val="404041"/>
            <w:sz w:val="16"/>
            <w:szCs w:val="16"/>
          </w:rPr>
          <w:tab/>
        </w:r>
        <w:r w:rsidR="00481A5F" w:rsidRPr="002D5AE6">
          <w:rPr>
            <w:rFonts w:ascii="Calibri" w:hAnsi="Calibri" w:cs="Calibri"/>
            <w:caps/>
            <w:color w:val="404041"/>
            <w:sz w:val="16"/>
            <w:szCs w:val="16"/>
          </w:rPr>
          <w:t xml:space="preserve"> </w:t>
        </w:r>
        <w:r w:rsidR="00481A5F" w:rsidRPr="009846B4">
          <w:rPr>
            <w:rStyle w:val="PagenumberChar"/>
          </w:rPr>
          <w:fldChar w:fldCharType="begin"/>
        </w:r>
        <w:r w:rsidR="00481A5F" w:rsidRPr="009846B4">
          <w:rPr>
            <w:rStyle w:val="PagenumberChar"/>
          </w:rPr>
          <w:instrText xml:space="preserve"> PAGE   \* MERGEFORMAT </w:instrText>
        </w:r>
        <w:r w:rsidR="00481A5F" w:rsidRPr="009846B4">
          <w:rPr>
            <w:rStyle w:val="PagenumberChar"/>
          </w:rPr>
          <w:fldChar w:fldCharType="separate"/>
        </w:r>
        <w:r w:rsidR="00481A5F" w:rsidRPr="009846B4">
          <w:rPr>
            <w:rStyle w:val="PagenumberChar"/>
          </w:rPr>
          <w:t>9</w:t>
        </w:r>
        <w:r w:rsidR="00481A5F" w:rsidRPr="009846B4">
          <w:rPr>
            <w:rStyle w:val="PagenumberChar"/>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3A09" w14:textId="522854CE" w:rsidR="004B30BB" w:rsidRPr="00C072F0" w:rsidRDefault="00086D38" w:rsidP="00C75068">
    <w:pPr>
      <w:pStyle w:val="BasicParagraph"/>
      <w:spacing w:after="0" w:line="240" w:lineRule="auto"/>
      <w:jc w:val="center"/>
      <w:rPr>
        <w:rFonts w:asciiTheme="minorHAnsi" w:hAnsiTheme="minorHAnsi" w:cstheme="minorHAnsi"/>
        <w:b/>
        <w:bCs/>
        <w:caps/>
        <w:color w:val="404041"/>
        <w:sz w:val="16"/>
        <w:szCs w:val="16"/>
      </w:rPr>
    </w:pPr>
    <w:sdt>
      <w:sdtPr>
        <w:rPr>
          <w:b/>
          <w:bCs/>
          <w:color w:val="414042" w:themeColor="text1"/>
          <w:sz w:val="28"/>
          <w:szCs w:val="28"/>
        </w:rPr>
        <w:id w:val="-606960714"/>
        <w:docPartObj>
          <w:docPartGallery w:val="Page Numbers (Bottom of Page)"/>
          <w:docPartUnique/>
        </w:docPartObj>
      </w:sdtPr>
      <w:sdtEndPr>
        <w:rPr>
          <w:noProof/>
          <w:sz w:val="26"/>
          <w:szCs w:val="26"/>
        </w:rPr>
      </w:sdtEndPr>
      <w:sdtContent>
        <w:r w:rsidR="00C75068">
          <w:rPr>
            <w:rFonts w:ascii="Calibri Light" w:hAnsi="Calibri Light" w:cs="Calibri Light"/>
            <w:caps/>
            <w:color w:val="58585B"/>
            <w:sz w:val="16"/>
            <w:szCs w:val="16"/>
          </w:rPr>
          <w:t xml:space="preserve">                                                                      </w:t>
        </w:r>
        <w:r w:rsidR="00C75068" w:rsidRPr="005A3524">
          <w:rPr>
            <w:rFonts w:cs="Calibri Light"/>
            <w:caps/>
            <w:color w:val="58585B"/>
            <w:sz w:val="16"/>
            <w:szCs w:val="16"/>
          </w:rPr>
          <w:t>annual report 202</w:t>
        </w:r>
        <w:r w:rsidR="00C449F8">
          <w:rPr>
            <w:rFonts w:cs="Calibri Light"/>
            <w:caps/>
            <w:color w:val="58585B"/>
            <w:sz w:val="16"/>
            <w:szCs w:val="16"/>
          </w:rPr>
          <w:t>2</w:t>
        </w:r>
        <w:r w:rsidR="00C75068">
          <w:rPr>
            <w:rFonts w:cs="Calibri Light"/>
            <w:caps/>
            <w:color w:val="58585B"/>
            <w:sz w:val="16"/>
            <w:szCs w:val="16"/>
          </w:rPr>
          <w:t>–</w:t>
        </w:r>
        <w:r w:rsidR="00C75068" w:rsidRPr="005A3524">
          <w:rPr>
            <w:rFonts w:cs="Calibri Light"/>
            <w:caps/>
            <w:color w:val="58585B"/>
            <w:sz w:val="16"/>
            <w:szCs w:val="16"/>
          </w:rPr>
          <w:t>2</w:t>
        </w:r>
        <w:r w:rsidR="00C449F8">
          <w:rPr>
            <w:rFonts w:cs="Calibri Light"/>
            <w:caps/>
            <w:color w:val="58585B"/>
            <w:sz w:val="16"/>
            <w:szCs w:val="16"/>
          </w:rPr>
          <w:t>3</w:t>
        </w:r>
        <w:r w:rsidR="00C75068">
          <w:rPr>
            <w:rFonts w:cs="Calibri Light"/>
            <w:caps/>
            <w:color w:val="58585B"/>
            <w:sz w:val="16"/>
            <w:szCs w:val="16"/>
          </w:rPr>
          <w:t xml:space="preserve">    </w:t>
        </w:r>
        <w:r w:rsidR="00C75068" w:rsidRPr="005A3524">
          <w:rPr>
            <w:rFonts w:cs="Calibri Light"/>
            <w:caps/>
            <w:color w:val="58585B"/>
            <w:sz w:val="16"/>
            <w:szCs w:val="16"/>
          </w:rPr>
          <w:t xml:space="preserve">    </w:t>
        </w:r>
        <w:r w:rsidR="00C75068">
          <w:rPr>
            <w:rFonts w:cs="Calibri Light"/>
            <w:caps/>
            <w:color w:val="58585B"/>
            <w:sz w:val="16"/>
            <w:szCs w:val="16"/>
          </w:rPr>
          <w:t xml:space="preserve"> </w:t>
        </w:r>
        <w:r w:rsidR="00C75068" w:rsidRPr="005A3524">
          <w:rPr>
            <w:rFonts w:cs="Calibri Light"/>
            <w:caps/>
            <w:color w:val="58585B"/>
            <w:sz w:val="16"/>
            <w:szCs w:val="16"/>
          </w:rPr>
          <w:t xml:space="preserve"> </w:t>
        </w:r>
        <w:r w:rsidR="00C75068" w:rsidRPr="005A3524">
          <w:rPr>
            <w:rFonts w:ascii="Calibri" w:hAnsi="Calibri" w:cs="Calibri"/>
            <w:b/>
            <w:bCs/>
            <w:caps/>
            <w:color w:val="404041"/>
            <w:sz w:val="16"/>
            <w:szCs w:val="16"/>
          </w:rPr>
          <w:t>crime and corruption commission</w:t>
        </w:r>
        <w:r w:rsidR="00C75068">
          <w:rPr>
            <w:rFonts w:ascii="Calibri" w:hAnsi="Calibri" w:cs="Calibri"/>
            <w:b/>
            <w:bCs/>
            <w:caps/>
            <w:color w:val="404041"/>
            <w:sz w:val="16"/>
            <w:szCs w:val="16"/>
          </w:rPr>
          <w:tab/>
        </w:r>
        <w:r w:rsidR="00C75068">
          <w:rPr>
            <w:rFonts w:ascii="Calibri" w:hAnsi="Calibri" w:cs="Calibri"/>
            <w:b/>
            <w:bCs/>
            <w:caps/>
            <w:color w:val="404041"/>
            <w:sz w:val="16"/>
            <w:szCs w:val="16"/>
          </w:rPr>
          <w:tab/>
        </w:r>
        <w:r w:rsidR="00C75068" w:rsidRPr="002D5AE6">
          <w:rPr>
            <w:rFonts w:ascii="Calibri" w:hAnsi="Calibri" w:cs="Calibri"/>
            <w:caps/>
            <w:color w:val="404041"/>
            <w:sz w:val="16"/>
            <w:szCs w:val="16"/>
          </w:rPr>
          <w:t xml:space="preserve"> </w:t>
        </w:r>
        <w:r w:rsidR="00C75068" w:rsidRPr="009846B4">
          <w:rPr>
            <w:rStyle w:val="PagenumberChar"/>
          </w:rPr>
          <w:fldChar w:fldCharType="begin"/>
        </w:r>
        <w:r w:rsidR="00C75068" w:rsidRPr="009846B4">
          <w:rPr>
            <w:rStyle w:val="PagenumberChar"/>
          </w:rPr>
          <w:instrText xml:space="preserve"> PAGE   \* MERGEFORMAT </w:instrText>
        </w:r>
        <w:r w:rsidR="00C75068" w:rsidRPr="009846B4">
          <w:rPr>
            <w:rStyle w:val="PagenumberChar"/>
          </w:rPr>
          <w:fldChar w:fldCharType="separate"/>
        </w:r>
        <w:r w:rsidR="00C75068" w:rsidRPr="009846B4">
          <w:rPr>
            <w:rStyle w:val="PagenumberChar"/>
          </w:rPr>
          <w:t>9</w:t>
        </w:r>
        <w:r w:rsidR="00C75068" w:rsidRPr="009846B4">
          <w:rPr>
            <w:rStyle w:val="PagenumberChar"/>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CFF6" w14:textId="176920E4" w:rsidR="000442BE" w:rsidRPr="00C072F0" w:rsidRDefault="00086D38"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440796225"/>
        <w:docPartObj>
          <w:docPartGallery w:val="Page Numbers (Bottom of Page)"/>
          <w:docPartUnique/>
        </w:docPartObj>
      </w:sdtPr>
      <w:sdtEndPr>
        <w:rPr>
          <w:noProof/>
          <w:sz w:val="26"/>
          <w:szCs w:val="26"/>
        </w:rPr>
      </w:sdtEndPr>
      <w:sdtContent>
        <w:r w:rsidR="000442BE">
          <w:rPr>
            <w:rFonts w:ascii="Calibri Light" w:hAnsi="Calibri Light" w:cs="Calibri Light"/>
            <w:caps/>
            <w:color w:val="58585B"/>
            <w:sz w:val="16"/>
            <w:szCs w:val="16"/>
          </w:rPr>
          <w:t xml:space="preserve">                                                                                  </w:t>
        </w:r>
        <w:r w:rsidR="000442BE" w:rsidRPr="005A3524">
          <w:rPr>
            <w:rFonts w:ascii="Calibri Light" w:hAnsi="Calibri Light" w:cs="Calibri Light"/>
            <w:caps/>
            <w:color w:val="58585B"/>
            <w:sz w:val="16"/>
            <w:szCs w:val="16"/>
          </w:rPr>
          <w:t>annual report 202</w:t>
        </w:r>
        <w:r w:rsidR="00130B40">
          <w:rPr>
            <w:rFonts w:ascii="Calibri Light" w:hAnsi="Calibri Light" w:cs="Calibri Light"/>
            <w:caps/>
            <w:color w:val="58585B"/>
            <w:sz w:val="16"/>
            <w:szCs w:val="16"/>
          </w:rPr>
          <w:t>2</w:t>
        </w:r>
        <w:r w:rsidR="000442BE">
          <w:rPr>
            <w:rFonts w:ascii="Calibri Light" w:hAnsi="Calibri Light" w:cs="Calibri Light"/>
            <w:caps/>
            <w:color w:val="58585B"/>
            <w:sz w:val="16"/>
            <w:szCs w:val="16"/>
          </w:rPr>
          <w:t>–</w:t>
        </w:r>
        <w:r w:rsidR="000442BE" w:rsidRPr="005A3524">
          <w:rPr>
            <w:rFonts w:ascii="Calibri Light" w:hAnsi="Calibri Light" w:cs="Calibri Light"/>
            <w:caps/>
            <w:color w:val="58585B"/>
            <w:sz w:val="16"/>
            <w:szCs w:val="16"/>
          </w:rPr>
          <w:t>2</w:t>
        </w:r>
        <w:r w:rsidR="00130B40">
          <w:rPr>
            <w:rFonts w:ascii="Calibri Light" w:hAnsi="Calibri Light" w:cs="Calibri Light"/>
            <w:caps/>
            <w:color w:val="58585B"/>
            <w:sz w:val="16"/>
            <w:szCs w:val="16"/>
          </w:rPr>
          <w:t>3</w:t>
        </w:r>
        <w:r w:rsidR="000442BE" w:rsidRPr="005A3524">
          <w:rPr>
            <w:rFonts w:ascii="Calibri Light" w:hAnsi="Calibri Light"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sidRPr="00485BDF">
          <w:rPr>
            <w:rStyle w:val="PagenumberChar"/>
          </w:rPr>
          <w:fldChar w:fldCharType="begin"/>
        </w:r>
        <w:r w:rsidR="000442BE" w:rsidRPr="00485BDF">
          <w:rPr>
            <w:rStyle w:val="PagenumberChar"/>
          </w:rPr>
          <w:instrText xml:space="preserve"> PAGE   \* MERGEFORMAT </w:instrText>
        </w:r>
        <w:r w:rsidR="000442BE" w:rsidRPr="00485BDF">
          <w:rPr>
            <w:rStyle w:val="PagenumberChar"/>
          </w:rPr>
          <w:fldChar w:fldCharType="separate"/>
        </w:r>
        <w:r w:rsidR="000442BE" w:rsidRPr="00485BDF">
          <w:rPr>
            <w:rStyle w:val="PagenumberChar"/>
          </w:rPr>
          <w:t>11</w:t>
        </w:r>
        <w:r w:rsidR="000442BE" w:rsidRPr="00485BDF">
          <w:rPr>
            <w:rStyle w:val="PagenumberCha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E34A" w14:textId="77777777" w:rsidR="005F42AC" w:rsidRPr="002D5AE6" w:rsidRDefault="00086D38" w:rsidP="008B0438">
    <w:pPr>
      <w:pStyle w:val="BasicParagraph"/>
      <w:spacing w:after="0" w:line="240" w:lineRule="auto"/>
      <w:rPr>
        <w:rFonts w:asciiTheme="majorHAnsi" w:hAnsiTheme="majorHAnsi" w:cstheme="majorHAnsi"/>
        <w:b/>
        <w:bCs/>
        <w:caps/>
        <w:color w:val="404041"/>
        <w:sz w:val="14"/>
        <w:szCs w:val="14"/>
      </w:rPr>
    </w:pPr>
    <w:sdt>
      <w:sdtPr>
        <w:rPr>
          <w:b/>
          <w:bCs/>
          <w:color w:val="414042" w:themeColor="text1"/>
          <w:sz w:val="28"/>
          <w:szCs w:val="28"/>
        </w:rPr>
        <w:id w:val="848527634"/>
        <w:docPartObj>
          <w:docPartGallery w:val="Page Numbers (Bottom of Page)"/>
          <w:docPartUnique/>
        </w:docPartObj>
      </w:sdtPr>
      <w:sdtEndPr>
        <w:rPr>
          <w:rFonts w:asciiTheme="majorHAnsi" w:hAnsiTheme="majorHAnsi" w:cstheme="majorHAnsi"/>
          <w:noProof/>
          <w:sz w:val="24"/>
          <w:szCs w:val="24"/>
        </w:rPr>
      </w:sdtEndPr>
      <w:sdtContent>
        <w:r w:rsidR="005F42AC" w:rsidRPr="007C6F91">
          <w:rPr>
            <w:rFonts w:ascii="Calibri Light" w:hAnsi="Calibri Light" w:cs="Calibri Light"/>
            <w:caps/>
            <w:color w:val="58585B"/>
            <w:sz w:val="16"/>
            <w:szCs w:val="16"/>
          </w:rPr>
          <w:t xml:space="preserve"> </w:t>
        </w:r>
        <w:r w:rsidR="005F42AC">
          <w:rPr>
            <w:rFonts w:ascii="Calibri Light" w:hAnsi="Calibri Light" w:cs="Calibri Light"/>
            <w:caps/>
            <w:color w:val="58585B"/>
            <w:sz w:val="16"/>
            <w:szCs w:val="16"/>
          </w:rPr>
          <w:t xml:space="preserve">                                                                                 </w:t>
        </w:r>
        <w:r w:rsidR="005F42AC" w:rsidRPr="005A3524">
          <w:rPr>
            <w:rFonts w:ascii="Calibri Light" w:hAnsi="Calibri Light" w:cs="Calibri Light"/>
            <w:caps/>
            <w:color w:val="58585B"/>
            <w:sz w:val="16"/>
            <w:szCs w:val="16"/>
          </w:rPr>
          <w:t>annual report 202</w:t>
        </w:r>
        <w:r w:rsidR="005F42AC">
          <w:rPr>
            <w:rFonts w:ascii="Calibri Light" w:hAnsi="Calibri Light" w:cs="Calibri Light"/>
            <w:caps/>
            <w:color w:val="58585B"/>
            <w:sz w:val="16"/>
            <w:szCs w:val="16"/>
          </w:rPr>
          <w:t>1–</w:t>
        </w:r>
        <w:r w:rsidR="005F42AC" w:rsidRPr="005A3524">
          <w:rPr>
            <w:rFonts w:ascii="Calibri Light" w:hAnsi="Calibri Light" w:cs="Calibri Light"/>
            <w:caps/>
            <w:color w:val="58585B"/>
            <w:sz w:val="16"/>
            <w:szCs w:val="16"/>
          </w:rPr>
          <w:t>2</w:t>
        </w:r>
        <w:r w:rsidR="005F42AC">
          <w:rPr>
            <w:rFonts w:ascii="Calibri Light" w:hAnsi="Calibri Light" w:cs="Calibri Light"/>
            <w:caps/>
            <w:color w:val="58585B"/>
            <w:sz w:val="16"/>
            <w:szCs w:val="16"/>
          </w:rPr>
          <w:t>2</w:t>
        </w:r>
        <w:r w:rsidR="005F42AC" w:rsidRPr="005A3524">
          <w:rPr>
            <w:rFonts w:ascii="Calibri Light" w:hAnsi="Calibri Light" w:cs="Calibri Light"/>
            <w:caps/>
            <w:color w:val="58585B"/>
            <w:sz w:val="16"/>
            <w:szCs w:val="16"/>
          </w:rPr>
          <w:t xml:space="preserve">  </w:t>
        </w:r>
        <w:r w:rsidR="005F42AC">
          <w:rPr>
            <w:rFonts w:ascii="Calibri Light" w:hAnsi="Calibri Light" w:cs="Calibri Light"/>
            <w:caps/>
            <w:color w:val="58585B"/>
            <w:sz w:val="16"/>
            <w:szCs w:val="16"/>
          </w:rPr>
          <w:t xml:space="preserve"> </w:t>
        </w:r>
        <w:r w:rsidR="005F42AC" w:rsidRPr="005A3524">
          <w:rPr>
            <w:rFonts w:ascii="Calibri Light" w:hAnsi="Calibri Light" w:cs="Calibri Light"/>
            <w:caps/>
            <w:color w:val="58585B"/>
            <w:sz w:val="16"/>
            <w:szCs w:val="16"/>
          </w:rPr>
          <w:t xml:space="preserve">       </w:t>
        </w:r>
        <w:r w:rsidR="005F42AC" w:rsidRPr="005A3524">
          <w:rPr>
            <w:rFonts w:ascii="Calibri" w:hAnsi="Calibri" w:cs="Calibri"/>
            <w:b/>
            <w:bCs/>
            <w:caps/>
            <w:color w:val="404041"/>
            <w:sz w:val="16"/>
            <w:szCs w:val="16"/>
          </w:rPr>
          <w:t>crime and corruption commission</w:t>
        </w:r>
        <w:r w:rsidR="005F42AC">
          <w:rPr>
            <w:rFonts w:ascii="Calibri" w:hAnsi="Calibri" w:cs="Calibri"/>
            <w:b/>
            <w:bCs/>
            <w:caps/>
            <w:color w:val="404041"/>
            <w:sz w:val="16"/>
            <w:szCs w:val="16"/>
          </w:rPr>
          <w:tab/>
        </w:r>
        <w:r w:rsidR="005F42AC">
          <w:rPr>
            <w:rFonts w:ascii="Calibri" w:hAnsi="Calibri" w:cs="Calibri"/>
            <w:b/>
            <w:bCs/>
            <w:caps/>
            <w:color w:val="404041"/>
            <w:sz w:val="16"/>
            <w:szCs w:val="16"/>
          </w:rPr>
          <w:tab/>
        </w:r>
        <w:r w:rsidR="005F42AC">
          <w:rPr>
            <w:rFonts w:ascii="Calibri" w:hAnsi="Calibri" w:cs="Calibri"/>
            <w:b/>
            <w:bCs/>
            <w:caps/>
            <w:color w:val="404041"/>
            <w:sz w:val="16"/>
            <w:szCs w:val="16"/>
          </w:rPr>
          <w:tab/>
        </w:r>
        <w:r w:rsidR="005F42AC" w:rsidRPr="002D5AE6">
          <w:rPr>
            <w:rFonts w:ascii="Calibri" w:hAnsi="Calibri" w:cs="Calibri"/>
            <w:caps/>
            <w:color w:val="404041"/>
            <w:sz w:val="16"/>
            <w:szCs w:val="16"/>
          </w:rPr>
          <w:t xml:space="preserve"> </w:t>
        </w:r>
        <w:r w:rsidR="005F42AC" w:rsidRPr="002D5AE6">
          <w:rPr>
            <w:rFonts w:asciiTheme="majorHAnsi" w:hAnsiTheme="majorHAnsi" w:cstheme="majorHAnsi"/>
            <w:color w:val="414042" w:themeColor="text1"/>
            <w:lang w:val="en-AU"/>
          </w:rPr>
          <w:fldChar w:fldCharType="begin"/>
        </w:r>
        <w:r w:rsidR="005F42AC" w:rsidRPr="002D5AE6">
          <w:rPr>
            <w:rFonts w:asciiTheme="majorHAnsi" w:hAnsiTheme="majorHAnsi" w:cstheme="majorHAnsi"/>
            <w:color w:val="414042" w:themeColor="text1"/>
            <w:lang w:val="en-AU"/>
          </w:rPr>
          <w:instrText xml:space="preserve"> PAGE   \* MERGEFORMAT </w:instrText>
        </w:r>
        <w:r w:rsidR="005F42AC" w:rsidRPr="002D5AE6">
          <w:rPr>
            <w:rFonts w:asciiTheme="majorHAnsi" w:hAnsiTheme="majorHAnsi" w:cstheme="majorHAnsi"/>
            <w:color w:val="414042" w:themeColor="text1"/>
            <w:lang w:val="en-AU"/>
          </w:rPr>
          <w:fldChar w:fldCharType="separate"/>
        </w:r>
        <w:r w:rsidR="005F42AC" w:rsidRPr="002D5AE6">
          <w:rPr>
            <w:rFonts w:asciiTheme="majorHAnsi" w:hAnsiTheme="majorHAnsi" w:cstheme="majorHAnsi"/>
            <w:color w:val="414042" w:themeColor="text1"/>
          </w:rPr>
          <w:t>3</w:t>
        </w:r>
        <w:r w:rsidR="005F42AC" w:rsidRPr="002D5AE6">
          <w:rPr>
            <w:rFonts w:asciiTheme="majorHAnsi" w:hAnsiTheme="majorHAnsi" w:cstheme="majorHAnsi"/>
            <w:color w:val="414042" w:themeColor="text1"/>
            <w:lang w:val="en-AU"/>
          </w:rPr>
          <w:fldChar w:fldCharType="end"/>
        </w:r>
        <w:r w:rsidR="005F42AC" w:rsidRPr="002D5AE6">
          <w:rPr>
            <w:rFonts w:asciiTheme="majorHAnsi" w:hAnsiTheme="majorHAnsi" w:cstheme="majorHAnsi"/>
            <w:b/>
            <w:bCs/>
            <w:caps/>
            <w:color w:val="404041"/>
            <w:sz w:val="14"/>
            <w:szCs w:val="14"/>
          </w:rPr>
          <w:t xml:space="preserve"> </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52E6" w14:textId="35D286A6" w:rsidR="00A24AC5" w:rsidRPr="00C072F0" w:rsidRDefault="00086D38" w:rsidP="00485BDF">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388103318"/>
        <w:docPartObj>
          <w:docPartGallery w:val="Page Numbers (Bottom of Page)"/>
          <w:docPartUnique/>
        </w:docPartObj>
      </w:sdtPr>
      <w:sdtEndPr>
        <w:rPr>
          <w:noProof/>
          <w:sz w:val="26"/>
          <w:szCs w:val="26"/>
        </w:rPr>
      </w:sdtEndPr>
      <w:sdtContent>
        <w:r w:rsidR="00A24AC5">
          <w:rPr>
            <w:rFonts w:ascii="Calibri Light" w:hAnsi="Calibri Light" w:cs="Calibri Light"/>
            <w:caps/>
            <w:color w:val="58585B"/>
            <w:sz w:val="16"/>
            <w:szCs w:val="16"/>
          </w:rPr>
          <w:t xml:space="preserve">                                                                                  </w:t>
        </w:r>
        <w:r w:rsidR="00A24AC5" w:rsidRPr="005A3524">
          <w:rPr>
            <w:rFonts w:ascii="Calibri Light" w:hAnsi="Calibri Light" w:cs="Calibri Light"/>
            <w:caps/>
            <w:color w:val="58585B"/>
            <w:sz w:val="16"/>
            <w:szCs w:val="16"/>
          </w:rPr>
          <w:t>annual report 202</w:t>
        </w:r>
        <w:r w:rsidR="00A24AC5">
          <w:rPr>
            <w:rFonts w:ascii="Calibri Light" w:hAnsi="Calibri Light" w:cs="Calibri Light"/>
            <w:caps/>
            <w:color w:val="58585B"/>
            <w:sz w:val="16"/>
            <w:szCs w:val="16"/>
          </w:rPr>
          <w:t>2–</w:t>
        </w:r>
        <w:r w:rsidR="00A24AC5" w:rsidRPr="005A3524">
          <w:rPr>
            <w:rFonts w:ascii="Calibri Light" w:hAnsi="Calibri Light" w:cs="Calibri Light"/>
            <w:caps/>
            <w:color w:val="58585B"/>
            <w:sz w:val="16"/>
            <w:szCs w:val="16"/>
          </w:rPr>
          <w:t>2</w:t>
        </w:r>
        <w:r w:rsidR="00A24AC5">
          <w:rPr>
            <w:rFonts w:ascii="Calibri Light" w:hAnsi="Calibri Light" w:cs="Calibri Light"/>
            <w:caps/>
            <w:color w:val="58585B"/>
            <w:sz w:val="16"/>
            <w:szCs w:val="16"/>
          </w:rPr>
          <w:t>3</w:t>
        </w:r>
        <w:r w:rsidR="00A24AC5" w:rsidRPr="005A3524">
          <w:rPr>
            <w:rFonts w:ascii="Calibri Light" w:hAnsi="Calibri Light" w:cs="Calibri Light"/>
            <w:caps/>
            <w:color w:val="58585B"/>
            <w:sz w:val="16"/>
            <w:szCs w:val="16"/>
          </w:rPr>
          <w:t xml:space="preserve">         </w:t>
        </w:r>
        <w:r w:rsidR="00A24AC5" w:rsidRPr="005A3524">
          <w:rPr>
            <w:rFonts w:ascii="Calibri" w:hAnsi="Calibri" w:cs="Calibri"/>
            <w:b/>
            <w:bCs/>
            <w:caps/>
            <w:color w:val="404041"/>
            <w:sz w:val="16"/>
            <w:szCs w:val="16"/>
          </w:rPr>
          <w:t>crime and corruption commission</w:t>
        </w:r>
        <w:r w:rsidR="00A24AC5">
          <w:rPr>
            <w:rFonts w:ascii="Calibri" w:hAnsi="Calibri" w:cs="Calibri"/>
            <w:b/>
            <w:bCs/>
            <w:caps/>
            <w:color w:val="404041"/>
            <w:sz w:val="16"/>
            <w:szCs w:val="16"/>
          </w:rPr>
          <w:tab/>
        </w:r>
        <w:r w:rsidR="00A24AC5">
          <w:rPr>
            <w:rFonts w:ascii="Calibri" w:hAnsi="Calibri" w:cs="Calibri"/>
            <w:b/>
            <w:bCs/>
            <w:caps/>
            <w:color w:val="404041"/>
            <w:sz w:val="16"/>
            <w:szCs w:val="16"/>
          </w:rPr>
          <w:tab/>
        </w:r>
        <w:r w:rsidR="00A24AC5">
          <w:rPr>
            <w:rFonts w:ascii="Calibri" w:hAnsi="Calibri" w:cs="Calibri"/>
            <w:b/>
            <w:bCs/>
            <w:caps/>
            <w:color w:val="404041"/>
            <w:sz w:val="16"/>
            <w:szCs w:val="16"/>
          </w:rPr>
          <w:tab/>
        </w:r>
        <w:r w:rsidR="00A24AC5" w:rsidRPr="00754346">
          <w:rPr>
            <w:rStyle w:val="PagenumberChar"/>
          </w:rPr>
          <w:fldChar w:fldCharType="begin"/>
        </w:r>
        <w:r w:rsidR="00A24AC5" w:rsidRPr="00754346">
          <w:rPr>
            <w:rStyle w:val="PagenumberChar"/>
          </w:rPr>
          <w:instrText xml:space="preserve"> PAGE   \* MERGEFORMAT </w:instrText>
        </w:r>
        <w:r w:rsidR="00A24AC5" w:rsidRPr="00754346">
          <w:rPr>
            <w:rStyle w:val="PagenumberChar"/>
          </w:rPr>
          <w:fldChar w:fldCharType="separate"/>
        </w:r>
        <w:r w:rsidR="00A24AC5" w:rsidRPr="00754346">
          <w:rPr>
            <w:rStyle w:val="PagenumberChar"/>
          </w:rPr>
          <w:t>17</w:t>
        </w:r>
        <w:r w:rsidR="00A24AC5" w:rsidRPr="00754346">
          <w:rPr>
            <w:rStyle w:val="PagenumberChar"/>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CB1C" w14:textId="77777777" w:rsidR="000A32C4" w:rsidRPr="0006746C" w:rsidRDefault="00086D38" w:rsidP="002D5AE6">
    <w:pPr>
      <w:pStyle w:val="Footer"/>
      <w:spacing w:after="0"/>
      <w:rPr>
        <w:b/>
        <w:bCs/>
        <w:color w:val="414042" w:themeColor="text1"/>
        <w:sz w:val="26"/>
        <w:szCs w:val="26"/>
      </w:rPr>
    </w:pPr>
    <w:sdt>
      <w:sdtPr>
        <w:rPr>
          <w:rStyle w:val="PagenumberChar"/>
        </w:rPr>
        <w:id w:val="552196562"/>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0A32C4" w:rsidRPr="009846B4">
          <w:rPr>
            <w:rStyle w:val="PagenumberChar"/>
          </w:rPr>
          <w:fldChar w:fldCharType="begin"/>
        </w:r>
        <w:r w:rsidR="000A32C4" w:rsidRPr="009846B4">
          <w:rPr>
            <w:rStyle w:val="PagenumberChar"/>
          </w:rPr>
          <w:instrText xml:space="preserve"> PAGE   \* MERGEFORMAT </w:instrText>
        </w:r>
        <w:r w:rsidR="000A32C4" w:rsidRPr="009846B4">
          <w:rPr>
            <w:rStyle w:val="PagenumberChar"/>
          </w:rPr>
          <w:fldChar w:fldCharType="separate"/>
        </w:r>
        <w:r w:rsidR="000A32C4" w:rsidRPr="009846B4">
          <w:rPr>
            <w:rStyle w:val="PagenumberChar"/>
          </w:rPr>
          <w:t>10</w:t>
        </w:r>
        <w:r w:rsidR="000A32C4" w:rsidRPr="009846B4">
          <w:rPr>
            <w:rStyle w:val="PagenumberChar"/>
          </w:rPr>
          <w:fldChar w:fldCharType="end"/>
        </w:r>
        <w:r w:rsidR="000A32C4" w:rsidRPr="005A3524">
          <w:rPr>
            <w:rFonts w:cs="Calibri Light"/>
            <w:caps/>
            <w:color w:val="58585B"/>
            <w:sz w:val="16"/>
            <w:szCs w:val="16"/>
          </w:rPr>
          <w:t xml:space="preserve"> </w:t>
        </w:r>
        <w:r w:rsidR="000A32C4">
          <w:rPr>
            <w:rFonts w:cs="Calibri Light"/>
            <w:caps/>
            <w:color w:val="58585B"/>
            <w:sz w:val="16"/>
            <w:szCs w:val="16"/>
          </w:rPr>
          <w:tab/>
          <w:t xml:space="preserve">                                            </w:t>
        </w:r>
        <w:r w:rsidR="000A32C4" w:rsidRPr="005A3524">
          <w:rPr>
            <w:rFonts w:cs="Calibri Light"/>
            <w:caps/>
            <w:color w:val="58585B"/>
            <w:sz w:val="16"/>
            <w:szCs w:val="16"/>
          </w:rPr>
          <w:t>annual report 202</w:t>
        </w:r>
        <w:r w:rsidR="000A32C4">
          <w:rPr>
            <w:rFonts w:cs="Calibri Light"/>
            <w:caps/>
            <w:color w:val="58585B"/>
            <w:sz w:val="16"/>
            <w:szCs w:val="16"/>
          </w:rPr>
          <w:t>2–</w:t>
        </w:r>
        <w:r w:rsidR="000A32C4" w:rsidRPr="005A3524">
          <w:rPr>
            <w:rFonts w:cs="Calibri Light"/>
            <w:caps/>
            <w:color w:val="58585B"/>
            <w:sz w:val="16"/>
            <w:szCs w:val="16"/>
          </w:rPr>
          <w:t>2</w:t>
        </w:r>
        <w:r w:rsidR="000A32C4">
          <w:rPr>
            <w:rFonts w:cs="Calibri Light"/>
            <w:caps/>
            <w:color w:val="58585B"/>
            <w:sz w:val="16"/>
            <w:szCs w:val="16"/>
          </w:rPr>
          <w:t xml:space="preserve">3    </w:t>
        </w:r>
        <w:r w:rsidR="000A32C4" w:rsidRPr="005A3524">
          <w:rPr>
            <w:rFonts w:cs="Calibri Light"/>
            <w:caps/>
            <w:color w:val="58585B"/>
            <w:sz w:val="16"/>
            <w:szCs w:val="16"/>
          </w:rPr>
          <w:t xml:space="preserve">    </w:t>
        </w:r>
        <w:r w:rsidR="000A32C4">
          <w:rPr>
            <w:rFonts w:cs="Calibri Light"/>
            <w:caps/>
            <w:color w:val="58585B"/>
            <w:sz w:val="16"/>
            <w:szCs w:val="16"/>
          </w:rPr>
          <w:t xml:space="preserve"> </w:t>
        </w:r>
        <w:r w:rsidR="000A32C4" w:rsidRPr="005A3524">
          <w:rPr>
            <w:rFonts w:cs="Calibri Light"/>
            <w:caps/>
            <w:color w:val="58585B"/>
            <w:sz w:val="16"/>
            <w:szCs w:val="16"/>
          </w:rPr>
          <w:t xml:space="preserve"> </w:t>
        </w:r>
        <w:r w:rsidR="000A32C4" w:rsidRPr="005A3524">
          <w:rPr>
            <w:rFonts w:ascii="Calibri" w:hAnsi="Calibri" w:cs="Calibri"/>
            <w:b/>
            <w:bCs/>
            <w:caps/>
            <w:color w:val="404041"/>
            <w:sz w:val="16"/>
            <w:szCs w:val="16"/>
          </w:rPr>
          <w:t>crime and corruption commission</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62C6" w14:textId="77777777" w:rsidR="000A32C4" w:rsidRPr="0006746C" w:rsidRDefault="00086D38" w:rsidP="002D5AE6">
    <w:pPr>
      <w:pStyle w:val="Footer"/>
      <w:spacing w:after="0"/>
      <w:rPr>
        <w:b/>
        <w:bCs/>
        <w:color w:val="414042" w:themeColor="text1"/>
        <w:sz w:val="26"/>
        <w:szCs w:val="26"/>
      </w:rPr>
    </w:pPr>
    <w:sdt>
      <w:sdtPr>
        <w:rPr>
          <w:rStyle w:val="PagenumberChar"/>
        </w:rPr>
        <w:id w:val="-794284845"/>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0A32C4" w:rsidRPr="009846B4">
          <w:rPr>
            <w:rStyle w:val="PagenumberChar"/>
          </w:rPr>
          <w:fldChar w:fldCharType="begin"/>
        </w:r>
        <w:r w:rsidR="000A32C4" w:rsidRPr="009846B4">
          <w:rPr>
            <w:rStyle w:val="PagenumberChar"/>
          </w:rPr>
          <w:instrText xml:space="preserve"> PAGE   \* MERGEFORMAT </w:instrText>
        </w:r>
        <w:r w:rsidR="000A32C4" w:rsidRPr="009846B4">
          <w:rPr>
            <w:rStyle w:val="PagenumberChar"/>
          </w:rPr>
          <w:fldChar w:fldCharType="separate"/>
        </w:r>
        <w:r w:rsidR="000A32C4" w:rsidRPr="009846B4">
          <w:rPr>
            <w:rStyle w:val="PagenumberChar"/>
          </w:rPr>
          <w:t>10</w:t>
        </w:r>
        <w:r w:rsidR="000A32C4" w:rsidRPr="009846B4">
          <w:rPr>
            <w:rStyle w:val="PagenumberChar"/>
          </w:rPr>
          <w:fldChar w:fldCharType="end"/>
        </w:r>
        <w:r w:rsidR="000A32C4" w:rsidRPr="005A3524">
          <w:rPr>
            <w:rFonts w:cs="Calibri Light"/>
            <w:caps/>
            <w:color w:val="58585B"/>
            <w:sz w:val="16"/>
            <w:szCs w:val="16"/>
          </w:rPr>
          <w:t xml:space="preserve"> </w:t>
        </w:r>
        <w:r w:rsidR="000A32C4">
          <w:rPr>
            <w:rFonts w:cs="Calibri Light"/>
            <w:caps/>
            <w:color w:val="58585B"/>
            <w:sz w:val="16"/>
            <w:szCs w:val="16"/>
          </w:rPr>
          <w:tab/>
          <w:t xml:space="preserve">                                            </w:t>
        </w:r>
        <w:r w:rsidR="000A32C4" w:rsidRPr="005A3524">
          <w:rPr>
            <w:rFonts w:cs="Calibri Light"/>
            <w:caps/>
            <w:color w:val="58585B"/>
            <w:sz w:val="16"/>
            <w:szCs w:val="16"/>
          </w:rPr>
          <w:t>annual report 202</w:t>
        </w:r>
        <w:r w:rsidR="000A32C4">
          <w:rPr>
            <w:rFonts w:cs="Calibri Light"/>
            <w:caps/>
            <w:color w:val="58585B"/>
            <w:sz w:val="16"/>
            <w:szCs w:val="16"/>
          </w:rPr>
          <w:t>2–</w:t>
        </w:r>
        <w:r w:rsidR="000A32C4" w:rsidRPr="005A3524">
          <w:rPr>
            <w:rFonts w:cs="Calibri Light"/>
            <w:caps/>
            <w:color w:val="58585B"/>
            <w:sz w:val="16"/>
            <w:szCs w:val="16"/>
          </w:rPr>
          <w:t>2</w:t>
        </w:r>
        <w:r w:rsidR="000A32C4">
          <w:rPr>
            <w:rFonts w:cs="Calibri Light"/>
            <w:caps/>
            <w:color w:val="58585B"/>
            <w:sz w:val="16"/>
            <w:szCs w:val="16"/>
          </w:rPr>
          <w:t xml:space="preserve">3    </w:t>
        </w:r>
        <w:r w:rsidR="000A32C4" w:rsidRPr="005A3524">
          <w:rPr>
            <w:rFonts w:cs="Calibri Light"/>
            <w:caps/>
            <w:color w:val="58585B"/>
            <w:sz w:val="16"/>
            <w:szCs w:val="16"/>
          </w:rPr>
          <w:t xml:space="preserve">    </w:t>
        </w:r>
        <w:r w:rsidR="000A32C4">
          <w:rPr>
            <w:rFonts w:cs="Calibri Light"/>
            <w:caps/>
            <w:color w:val="58585B"/>
            <w:sz w:val="16"/>
            <w:szCs w:val="16"/>
          </w:rPr>
          <w:t xml:space="preserve"> </w:t>
        </w:r>
        <w:r w:rsidR="000A32C4" w:rsidRPr="005A3524">
          <w:rPr>
            <w:rFonts w:cs="Calibri Light"/>
            <w:caps/>
            <w:color w:val="58585B"/>
            <w:sz w:val="16"/>
            <w:szCs w:val="16"/>
          </w:rPr>
          <w:t xml:space="preserve"> </w:t>
        </w:r>
        <w:r w:rsidR="000A32C4" w:rsidRPr="005A3524">
          <w:rPr>
            <w:rFonts w:ascii="Calibri" w:hAnsi="Calibri" w:cs="Calibri"/>
            <w:b/>
            <w:bCs/>
            <w:caps/>
            <w:color w:val="404041"/>
            <w:sz w:val="16"/>
            <w:szCs w:val="16"/>
          </w:rPr>
          <w:t>crime and corruption commission</w:t>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4D71" w14:textId="77777777" w:rsidR="00DA23C2" w:rsidRPr="0006746C" w:rsidRDefault="00086D38" w:rsidP="002D5AE6">
    <w:pPr>
      <w:pStyle w:val="Footer"/>
      <w:spacing w:after="0"/>
      <w:rPr>
        <w:b/>
        <w:bCs/>
        <w:color w:val="414042" w:themeColor="text1"/>
        <w:sz w:val="26"/>
        <w:szCs w:val="26"/>
      </w:rPr>
    </w:pPr>
    <w:sdt>
      <w:sdtPr>
        <w:rPr>
          <w:rStyle w:val="PagenumberChar"/>
        </w:rPr>
        <w:id w:val="-1721508669"/>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DA23C2" w:rsidRPr="009846B4">
          <w:rPr>
            <w:rStyle w:val="PagenumberChar"/>
          </w:rPr>
          <w:fldChar w:fldCharType="begin"/>
        </w:r>
        <w:r w:rsidR="00DA23C2" w:rsidRPr="009846B4">
          <w:rPr>
            <w:rStyle w:val="PagenumberChar"/>
          </w:rPr>
          <w:instrText xml:space="preserve"> PAGE   \* MERGEFORMAT </w:instrText>
        </w:r>
        <w:r w:rsidR="00DA23C2" w:rsidRPr="009846B4">
          <w:rPr>
            <w:rStyle w:val="PagenumberChar"/>
          </w:rPr>
          <w:fldChar w:fldCharType="separate"/>
        </w:r>
        <w:r w:rsidR="00DA23C2" w:rsidRPr="009846B4">
          <w:rPr>
            <w:rStyle w:val="PagenumberChar"/>
          </w:rPr>
          <w:t>10</w:t>
        </w:r>
        <w:r w:rsidR="00DA23C2" w:rsidRPr="009846B4">
          <w:rPr>
            <w:rStyle w:val="PagenumberChar"/>
          </w:rPr>
          <w:fldChar w:fldCharType="end"/>
        </w:r>
        <w:r w:rsidR="00DA23C2" w:rsidRPr="005A3524">
          <w:rPr>
            <w:rFonts w:cs="Calibri Light"/>
            <w:caps/>
            <w:color w:val="58585B"/>
            <w:sz w:val="16"/>
            <w:szCs w:val="16"/>
          </w:rPr>
          <w:t xml:space="preserve"> </w:t>
        </w:r>
        <w:r w:rsidR="00DA23C2">
          <w:rPr>
            <w:rFonts w:cs="Calibri Light"/>
            <w:caps/>
            <w:color w:val="58585B"/>
            <w:sz w:val="16"/>
            <w:szCs w:val="16"/>
          </w:rPr>
          <w:tab/>
          <w:t xml:space="preserve">                                            </w:t>
        </w:r>
        <w:r w:rsidR="00DA23C2" w:rsidRPr="005A3524">
          <w:rPr>
            <w:rFonts w:cs="Calibri Light"/>
            <w:caps/>
            <w:color w:val="58585B"/>
            <w:sz w:val="16"/>
            <w:szCs w:val="16"/>
          </w:rPr>
          <w:t>annual report 202</w:t>
        </w:r>
        <w:r w:rsidR="00DA23C2">
          <w:rPr>
            <w:rFonts w:cs="Calibri Light"/>
            <w:caps/>
            <w:color w:val="58585B"/>
            <w:sz w:val="16"/>
            <w:szCs w:val="16"/>
          </w:rPr>
          <w:t>2–</w:t>
        </w:r>
        <w:r w:rsidR="00DA23C2" w:rsidRPr="005A3524">
          <w:rPr>
            <w:rFonts w:cs="Calibri Light"/>
            <w:caps/>
            <w:color w:val="58585B"/>
            <w:sz w:val="16"/>
            <w:szCs w:val="16"/>
          </w:rPr>
          <w:t>2</w:t>
        </w:r>
        <w:r w:rsidR="00DA23C2">
          <w:rPr>
            <w:rFonts w:cs="Calibri Light"/>
            <w:caps/>
            <w:color w:val="58585B"/>
            <w:sz w:val="16"/>
            <w:szCs w:val="16"/>
          </w:rPr>
          <w:t xml:space="preserve">3    </w:t>
        </w:r>
        <w:r w:rsidR="00DA23C2" w:rsidRPr="005A3524">
          <w:rPr>
            <w:rFonts w:cs="Calibri Light"/>
            <w:caps/>
            <w:color w:val="58585B"/>
            <w:sz w:val="16"/>
            <w:szCs w:val="16"/>
          </w:rPr>
          <w:t xml:space="preserve">    </w:t>
        </w:r>
        <w:r w:rsidR="00DA23C2">
          <w:rPr>
            <w:rFonts w:cs="Calibri Light"/>
            <w:caps/>
            <w:color w:val="58585B"/>
            <w:sz w:val="16"/>
            <w:szCs w:val="16"/>
          </w:rPr>
          <w:t xml:space="preserve"> </w:t>
        </w:r>
        <w:r w:rsidR="00DA23C2" w:rsidRPr="005A3524">
          <w:rPr>
            <w:rFonts w:cs="Calibri Light"/>
            <w:caps/>
            <w:color w:val="58585B"/>
            <w:sz w:val="16"/>
            <w:szCs w:val="16"/>
          </w:rPr>
          <w:t xml:space="preserve"> </w:t>
        </w:r>
        <w:r w:rsidR="00DA23C2" w:rsidRPr="005A3524">
          <w:rPr>
            <w:rFonts w:ascii="Calibri" w:hAnsi="Calibri" w:cs="Calibri"/>
            <w:b/>
            <w:bCs/>
            <w:caps/>
            <w:color w:val="404041"/>
            <w:sz w:val="16"/>
            <w:szCs w:val="16"/>
          </w:rPr>
          <w:t>crime and corruption commission</w:t>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5851" w14:textId="77777777" w:rsidR="00DA23C2" w:rsidRPr="0006746C" w:rsidRDefault="00086D38" w:rsidP="002D5AE6">
    <w:pPr>
      <w:pStyle w:val="Footer"/>
      <w:spacing w:after="0"/>
      <w:rPr>
        <w:b/>
        <w:bCs/>
        <w:color w:val="414042" w:themeColor="text1"/>
        <w:sz w:val="26"/>
        <w:szCs w:val="26"/>
      </w:rPr>
    </w:pPr>
    <w:sdt>
      <w:sdtPr>
        <w:rPr>
          <w:rStyle w:val="PagenumberChar"/>
        </w:rPr>
        <w:id w:val="-899280424"/>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DA23C2" w:rsidRPr="009846B4">
          <w:rPr>
            <w:rStyle w:val="PagenumberChar"/>
          </w:rPr>
          <w:fldChar w:fldCharType="begin"/>
        </w:r>
        <w:r w:rsidR="00DA23C2" w:rsidRPr="009846B4">
          <w:rPr>
            <w:rStyle w:val="PagenumberChar"/>
          </w:rPr>
          <w:instrText xml:space="preserve"> PAGE   \* MERGEFORMAT </w:instrText>
        </w:r>
        <w:r w:rsidR="00DA23C2" w:rsidRPr="009846B4">
          <w:rPr>
            <w:rStyle w:val="PagenumberChar"/>
          </w:rPr>
          <w:fldChar w:fldCharType="separate"/>
        </w:r>
        <w:r w:rsidR="00DA23C2" w:rsidRPr="009846B4">
          <w:rPr>
            <w:rStyle w:val="PagenumberChar"/>
          </w:rPr>
          <w:t>10</w:t>
        </w:r>
        <w:r w:rsidR="00DA23C2" w:rsidRPr="009846B4">
          <w:rPr>
            <w:rStyle w:val="PagenumberChar"/>
          </w:rPr>
          <w:fldChar w:fldCharType="end"/>
        </w:r>
        <w:r w:rsidR="00DA23C2" w:rsidRPr="005A3524">
          <w:rPr>
            <w:rFonts w:cs="Calibri Light"/>
            <w:caps/>
            <w:color w:val="58585B"/>
            <w:sz w:val="16"/>
            <w:szCs w:val="16"/>
          </w:rPr>
          <w:t xml:space="preserve"> </w:t>
        </w:r>
        <w:r w:rsidR="00DA23C2">
          <w:rPr>
            <w:rFonts w:cs="Calibri Light"/>
            <w:caps/>
            <w:color w:val="58585B"/>
            <w:sz w:val="16"/>
            <w:szCs w:val="16"/>
          </w:rPr>
          <w:tab/>
          <w:t xml:space="preserve">                                            </w:t>
        </w:r>
        <w:r w:rsidR="00DA23C2" w:rsidRPr="005A3524">
          <w:rPr>
            <w:rFonts w:cs="Calibri Light"/>
            <w:caps/>
            <w:color w:val="58585B"/>
            <w:sz w:val="16"/>
            <w:szCs w:val="16"/>
          </w:rPr>
          <w:t>annual report 202</w:t>
        </w:r>
        <w:r w:rsidR="00DA23C2">
          <w:rPr>
            <w:rFonts w:cs="Calibri Light"/>
            <w:caps/>
            <w:color w:val="58585B"/>
            <w:sz w:val="16"/>
            <w:szCs w:val="16"/>
          </w:rPr>
          <w:t>2–</w:t>
        </w:r>
        <w:r w:rsidR="00DA23C2" w:rsidRPr="005A3524">
          <w:rPr>
            <w:rFonts w:cs="Calibri Light"/>
            <w:caps/>
            <w:color w:val="58585B"/>
            <w:sz w:val="16"/>
            <w:szCs w:val="16"/>
          </w:rPr>
          <w:t>2</w:t>
        </w:r>
        <w:r w:rsidR="00DA23C2">
          <w:rPr>
            <w:rFonts w:cs="Calibri Light"/>
            <w:caps/>
            <w:color w:val="58585B"/>
            <w:sz w:val="16"/>
            <w:szCs w:val="16"/>
          </w:rPr>
          <w:t xml:space="preserve">3    </w:t>
        </w:r>
        <w:r w:rsidR="00DA23C2" w:rsidRPr="005A3524">
          <w:rPr>
            <w:rFonts w:cs="Calibri Light"/>
            <w:caps/>
            <w:color w:val="58585B"/>
            <w:sz w:val="16"/>
            <w:szCs w:val="16"/>
          </w:rPr>
          <w:t xml:space="preserve">    </w:t>
        </w:r>
        <w:r w:rsidR="00DA23C2">
          <w:rPr>
            <w:rFonts w:cs="Calibri Light"/>
            <w:caps/>
            <w:color w:val="58585B"/>
            <w:sz w:val="16"/>
            <w:szCs w:val="16"/>
          </w:rPr>
          <w:t xml:space="preserve"> </w:t>
        </w:r>
        <w:r w:rsidR="00DA23C2" w:rsidRPr="005A3524">
          <w:rPr>
            <w:rFonts w:cs="Calibri Light"/>
            <w:caps/>
            <w:color w:val="58585B"/>
            <w:sz w:val="16"/>
            <w:szCs w:val="16"/>
          </w:rPr>
          <w:t xml:space="preserve"> </w:t>
        </w:r>
        <w:r w:rsidR="00DA23C2" w:rsidRPr="005A3524">
          <w:rPr>
            <w:rFonts w:ascii="Calibri" w:hAnsi="Calibri" w:cs="Calibri"/>
            <w:b/>
            <w:bCs/>
            <w:caps/>
            <w:color w:val="404041"/>
            <w:sz w:val="16"/>
            <w:szCs w:val="16"/>
          </w:rPr>
          <w:t>crime and corruption commission</w:t>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EF28" w14:textId="35898E94" w:rsidR="00DA23C2" w:rsidRPr="0006746C" w:rsidRDefault="00086D38" w:rsidP="002D5AE6">
    <w:pPr>
      <w:pStyle w:val="Footer"/>
      <w:spacing w:after="0"/>
      <w:rPr>
        <w:b/>
        <w:bCs/>
        <w:color w:val="414042" w:themeColor="text1"/>
        <w:sz w:val="26"/>
        <w:szCs w:val="26"/>
      </w:rPr>
    </w:pPr>
    <w:sdt>
      <w:sdtPr>
        <w:rPr>
          <w:rStyle w:val="PagenumberChar"/>
        </w:rPr>
        <w:id w:val="-362513102"/>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DA23C2" w:rsidRPr="009846B4">
          <w:rPr>
            <w:rStyle w:val="PagenumberChar"/>
          </w:rPr>
          <w:fldChar w:fldCharType="begin"/>
        </w:r>
        <w:r w:rsidR="00DA23C2" w:rsidRPr="009846B4">
          <w:rPr>
            <w:rStyle w:val="PagenumberChar"/>
          </w:rPr>
          <w:instrText xml:space="preserve"> PAGE   \* MERGEFORMAT </w:instrText>
        </w:r>
        <w:r w:rsidR="00DA23C2" w:rsidRPr="009846B4">
          <w:rPr>
            <w:rStyle w:val="PagenumberChar"/>
          </w:rPr>
          <w:fldChar w:fldCharType="separate"/>
        </w:r>
        <w:r w:rsidR="00DA23C2" w:rsidRPr="009846B4">
          <w:rPr>
            <w:rStyle w:val="PagenumberChar"/>
          </w:rPr>
          <w:t>10</w:t>
        </w:r>
        <w:r w:rsidR="00DA23C2" w:rsidRPr="009846B4">
          <w:rPr>
            <w:rStyle w:val="PagenumberChar"/>
          </w:rPr>
          <w:fldChar w:fldCharType="end"/>
        </w:r>
        <w:r w:rsidR="00DA23C2" w:rsidRPr="005A3524">
          <w:rPr>
            <w:rFonts w:cs="Calibri Light"/>
            <w:caps/>
            <w:color w:val="58585B"/>
            <w:sz w:val="16"/>
            <w:szCs w:val="16"/>
          </w:rPr>
          <w:t xml:space="preserve"> </w:t>
        </w:r>
        <w:r w:rsidR="00DA23C2">
          <w:rPr>
            <w:rFonts w:cs="Calibri Light"/>
            <w:caps/>
            <w:color w:val="58585B"/>
            <w:sz w:val="16"/>
            <w:szCs w:val="16"/>
          </w:rPr>
          <w:tab/>
          <w:t xml:space="preserve">                                            </w:t>
        </w:r>
        <w:r w:rsidR="00DA23C2" w:rsidRPr="005A3524">
          <w:rPr>
            <w:rFonts w:cs="Calibri Light"/>
            <w:caps/>
            <w:color w:val="58585B"/>
            <w:sz w:val="16"/>
            <w:szCs w:val="16"/>
          </w:rPr>
          <w:t>annual report 202</w:t>
        </w:r>
        <w:r w:rsidR="00DA23C2">
          <w:rPr>
            <w:rFonts w:cs="Calibri Light"/>
            <w:caps/>
            <w:color w:val="58585B"/>
            <w:sz w:val="16"/>
            <w:szCs w:val="16"/>
          </w:rPr>
          <w:t>2–</w:t>
        </w:r>
        <w:r w:rsidR="00DA23C2" w:rsidRPr="005A3524">
          <w:rPr>
            <w:rFonts w:cs="Calibri Light"/>
            <w:caps/>
            <w:color w:val="58585B"/>
            <w:sz w:val="16"/>
            <w:szCs w:val="16"/>
          </w:rPr>
          <w:t>2</w:t>
        </w:r>
        <w:r w:rsidR="00DA23C2">
          <w:rPr>
            <w:rFonts w:cs="Calibri Light"/>
            <w:caps/>
            <w:color w:val="58585B"/>
            <w:sz w:val="16"/>
            <w:szCs w:val="16"/>
          </w:rPr>
          <w:t xml:space="preserve">3    </w:t>
        </w:r>
        <w:r w:rsidR="00DA23C2" w:rsidRPr="005A3524">
          <w:rPr>
            <w:rFonts w:cs="Calibri Light"/>
            <w:caps/>
            <w:color w:val="58585B"/>
            <w:sz w:val="16"/>
            <w:szCs w:val="16"/>
          </w:rPr>
          <w:t xml:space="preserve">    </w:t>
        </w:r>
        <w:r w:rsidR="00DA23C2">
          <w:rPr>
            <w:rFonts w:cs="Calibri Light"/>
            <w:caps/>
            <w:color w:val="58585B"/>
            <w:sz w:val="16"/>
            <w:szCs w:val="16"/>
          </w:rPr>
          <w:t xml:space="preserve"> </w:t>
        </w:r>
        <w:r w:rsidR="00DA23C2" w:rsidRPr="005A3524">
          <w:rPr>
            <w:rFonts w:cs="Calibri Light"/>
            <w:caps/>
            <w:color w:val="58585B"/>
            <w:sz w:val="16"/>
            <w:szCs w:val="16"/>
          </w:rPr>
          <w:t xml:space="preserve"> </w:t>
        </w:r>
        <w:r w:rsidR="00DA23C2" w:rsidRPr="005A3524">
          <w:rPr>
            <w:rFonts w:ascii="Calibri" w:hAnsi="Calibri" w:cs="Calibri"/>
            <w:b/>
            <w:bCs/>
            <w:caps/>
            <w:color w:val="404041"/>
            <w:sz w:val="16"/>
            <w:szCs w:val="16"/>
          </w:rPr>
          <w:t>crime and corruption commission</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8B92" w14:textId="00228452" w:rsidR="00DA23C2" w:rsidRPr="00470C42" w:rsidRDefault="00BA48C5" w:rsidP="00C77834">
    <w:pPr>
      <w:pStyle w:val="BasicParagraph"/>
      <w:spacing w:after="0" w:line="240" w:lineRule="auto"/>
      <w:jc w:val="center"/>
      <w:rPr>
        <w:rFonts w:asciiTheme="minorHAnsi" w:hAnsiTheme="minorHAnsi" w:cstheme="minorHAnsi"/>
        <w:b/>
        <w:bCs/>
        <w:caps/>
        <w:color w:val="404041"/>
        <w:sz w:val="16"/>
        <w:szCs w:val="16"/>
      </w:rPr>
    </w:pPr>
    <w:r>
      <w:rPr>
        <w:noProof/>
      </w:rPr>
      <w:drawing>
        <wp:anchor distT="0" distB="0" distL="114300" distR="114300" simplePos="0" relativeHeight="251734528" behindDoc="1" locked="0" layoutInCell="1" allowOverlap="1" wp14:anchorId="192F716F" wp14:editId="473AEEDE">
          <wp:simplePos x="0" y="0"/>
          <wp:positionH relativeFrom="page">
            <wp:posOffset>-56087</wp:posOffset>
          </wp:positionH>
          <wp:positionV relativeFrom="paragraph">
            <wp:posOffset>456462</wp:posOffset>
          </wp:positionV>
          <wp:extent cx="7558765" cy="10691997"/>
          <wp:effectExtent l="0" t="0" r="4445"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1" locked="0" layoutInCell="1" allowOverlap="1" wp14:anchorId="6A0A7C53" wp14:editId="6924F0CF">
          <wp:simplePos x="0" y="0"/>
          <wp:positionH relativeFrom="page">
            <wp:posOffset>-56087</wp:posOffset>
          </wp:positionH>
          <wp:positionV relativeFrom="paragraph">
            <wp:posOffset>456462</wp:posOffset>
          </wp:positionV>
          <wp:extent cx="7558765" cy="10691997"/>
          <wp:effectExtent l="0" t="0" r="4445"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470C42" w:rsidRPr="005D41A2">
      <w:rPr>
        <w:b/>
        <w:bCs/>
        <w:color w:val="414042" w:themeColor="text1"/>
        <w:sz w:val="28"/>
        <w:szCs w:val="28"/>
      </w:rPr>
      <w:t xml:space="preserve"> </w:t>
    </w:r>
    <w:sdt>
      <w:sdtPr>
        <w:rPr>
          <w:b/>
          <w:bCs/>
          <w:color w:val="414042" w:themeColor="text1"/>
          <w:sz w:val="28"/>
          <w:szCs w:val="28"/>
        </w:rPr>
        <w:id w:val="-1082684493"/>
        <w:docPartObj>
          <w:docPartGallery w:val="Page Numbers (Bottom of Page)"/>
          <w:docPartUnique/>
        </w:docPartObj>
      </w:sdtPr>
      <w:sdtEndPr>
        <w:rPr>
          <w:noProof/>
          <w:sz w:val="26"/>
          <w:szCs w:val="26"/>
        </w:rPr>
      </w:sdtEndPr>
      <w:sdtContent>
        <w:r w:rsidR="00C77834">
          <w:rPr>
            <w:rFonts w:ascii="Calibri Light" w:hAnsi="Calibri Light" w:cs="Calibri Light"/>
            <w:caps/>
            <w:color w:val="58585B"/>
            <w:sz w:val="16"/>
            <w:szCs w:val="16"/>
          </w:rPr>
          <w:t xml:space="preserve">                                                                      A</w:t>
        </w:r>
        <w:r w:rsidR="00C77834" w:rsidRPr="005A3524">
          <w:rPr>
            <w:rFonts w:ascii="Calibri Light" w:hAnsi="Calibri Light" w:cs="Calibri Light"/>
            <w:caps/>
            <w:color w:val="58585B"/>
            <w:sz w:val="16"/>
            <w:szCs w:val="16"/>
          </w:rPr>
          <w:t>nnual report 202</w:t>
        </w:r>
        <w:r w:rsidR="00C77834">
          <w:rPr>
            <w:rFonts w:ascii="Calibri Light" w:hAnsi="Calibri Light" w:cs="Calibri Light"/>
            <w:caps/>
            <w:color w:val="58585B"/>
            <w:sz w:val="16"/>
            <w:szCs w:val="16"/>
          </w:rPr>
          <w:t>2–</w:t>
        </w:r>
        <w:r w:rsidR="00C77834" w:rsidRPr="005A3524">
          <w:rPr>
            <w:rFonts w:ascii="Calibri Light" w:hAnsi="Calibri Light" w:cs="Calibri Light"/>
            <w:caps/>
            <w:color w:val="58585B"/>
            <w:sz w:val="16"/>
            <w:szCs w:val="16"/>
          </w:rPr>
          <w:t>2</w:t>
        </w:r>
        <w:r w:rsidR="00C77834">
          <w:rPr>
            <w:rFonts w:ascii="Calibri Light" w:hAnsi="Calibri Light" w:cs="Calibri Light"/>
            <w:caps/>
            <w:color w:val="58585B"/>
            <w:sz w:val="16"/>
            <w:szCs w:val="16"/>
          </w:rPr>
          <w:t>3</w:t>
        </w:r>
        <w:r w:rsidR="00FB5624">
          <w:rPr>
            <w:rFonts w:ascii="Calibri Light" w:hAnsi="Calibri Light" w:cs="Calibri Light"/>
            <w:caps/>
            <w:color w:val="58585B"/>
            <w:sz w:val="16"/>
            <w:szCs w:val="16"/>
          </w:rPr>
          <w:t xml:space="preserve"> </w:t>
        </w:r>
        <w:r w:rsidR="00C77834">
          <w:rPr>
            <w:rFonts w:ascii="Calibri Light" w:hAnsi="Calibri Light" w:cs="Calibri Light"/>
            <w:caps/>
            <w:color w:val="58585B"/>
            <w:sz w:val="16"/>
            <w:szCs w:val="16"/>
          </w:rPr>
          <w:t xml:space="preserve"> </w:t>
        </w:r>
        <w:r w:rsidR="00C77834" w:rsidRPr="005A3524">
          <w:rPr>
            <w:rFonts w:ascii="Calibri Light" w:hAnsi="Calibri Light" w:cs="Calibri Light"/>
            <w:caps/>
            <w:color w:val="58585B"/>
            <w:sz w:val="16"/>
            <w:szCs w:val="16"/>
          </w:rPr>
          <w:t xml:space="preserve">        </w:t>
        </w:r>
        <w:r w:rsidR="00C77834" w:rsidRPr="005A3524">
          <w:rPr>
            <w:rFonts w:ascii="Calibri" w:hAnsi="Calibri" w:cs="Calibri"/>
            <w:b/>
            <w:bCs/>
            <w:caps/>
            <w:color w:val="404041"/>
            <w:sz w:val="16"/>
            <w:szCs w:val="16"/>
          </w:rPr>
          <w:t>crime and corruption commission</w:t>
        </w:r>
        <w:r w:rsidR="00C77834">
          <w:rPr>
            <w:rFonts w:ascii="Calibri" w:hAnsi="Calibri" w:cs="Calibri"/>
            <w:b/>
            <w:bCs/>
            <w:caps/>
            <w:color w:val="404041"/>
            <w:sz w:val="16"/>
            <w:szCs w:val="16"/>
          </w:rPr>
          <w:tab/>
        </w:r>
        <w:r w:rsidR="00C77834">
          <w:rPr>
            <w:rFonts w:ascii="Calibri" w:hAnsi="Calibri" w:cs="Calibri"/>
            <w:b/>
            <w:bCs/>
            <w:caps/>
            <w:color w:val="404041"/>
            <w:sz w:val="16"/>
            <w:szCs w:val="16"/>
          </w:rPr>
          <w:tab/>
        </w:r>
        <w:r w:rsidR="00C77834" w:rsidRPr="00754346">
          <w:rPr>
            <w:rStyle w:val="PagenumberChar"/>
          </w:rPr>
          <w:fldChar w:fldCharType="begin"/>
        </w:r>
        <w:r w:rsidR="00C77834" w:rsidRPr="00754346">
          <w:rPr>
            <w:rStyle w:val="PagenumberChar"/>
          </w:rPr>
          <w:instrText xml:space="preserve"> PAGE   \* MERGEFORMAT </w:instrText>
        </w:r>
        <w:r w:rsidR="00C77834" w:rsidRPr="00754346">
          <w:rPr>
            <w:rStyle w:val="PagenumberChar"/>
          </w:rPr>
          <w:fldChar w:fldCharType="separate"/>
        </w:r>
        <w:r w:rsidR="00C77834">
          <w:rPr>
            <w:rStyle w:val="PagenumberChar"/>
          </w:rPr>
          <w:t>99</w:t>
        </w:r>
        <w:r w:rsidR="00C77834" w:rsidRPr="00754346">
          <w:rPr>
            <w:rStyle w:val="PagenumberChar"/>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731A" w14:textId="77777777" w:rsidR="00561686" w:rsidRPr="0006746C" w:rsidRDefault="00086D38" w:rsidP="002D5AE6">
    <w:pPr>
      <w:pStyle w:val="Footer"/>
      <w:spacing w:after="0"/>
      <w:rPr>
        <w:b/>
        <w:bCs/>
        <w:color w:val="414042" w:themeColor="text1"/>
        <w:sz w:val="26"/>
        <w:szCs w:val="26"/>
      </w:rPr>
    </w:pPr>
    <w:sdt>
      <w:sdtPr>
        <w:rPr>
          <w:rStyle w:val="PagenumberChar"/>
        </w:rPr>
        <w:id w:val="-571266871"/>
        <w:docPartObj>
          <w:docPartGallery w:val="Page Numbers (Bottom of Page)"/>
          <w:docPartUnique/>
        </w:docPartObj>
      </w:sdtPr>
      <w:sdtEndPr>
        <w:rPr>
          <w:rStyle w:val="DefaultParagraphFont"/>
          <w:rFonts w:ascii="Calibri Light" w:hAnsi="Calibri Light" w:cstheme="minorBidi"/>
          <w:b w:val="0"/>
          <w:bCs w:val="0"/>
          <w:noProof/>
          <w:color w:val="58595B" w:themeColor="accent2"/>
          <w:sz w:val="26"/>
          <w:szCs w:val="26"/>
          <w:lang w:val="en-AU"/>
        </w:rPr>
      </w:sdtEndPr>
      <w:sdtContent>
        <w:r w:rsidR="00561686" w:rsidRPr="009846B4">
          <w:rPr>
            <w:rStyle w:val="PagenumberChar"/>
          </w:rPr>
          <w:fldChar w:fldCharType="begin"/>
        </w:r>
        <w:r w:rsidR="00561686" w:rsidRPr="009846B4">
          <w:rPr>
            <w:rStyle w:val="PagenumberChar"/>
          </w:rPr>
          <w:instrText xml:space="preserve"> PAGE   \* MERGEFORMAT </w:instrText>
        </w:r>
        <w:r w:rsidR="00561686" w:rsidRPr="009846B4">
          <w:rPr>
            <w:rStyle w:val="PagenumberChar"/>
          </w:rPr>
          <w:fldChar w:fldCharType="separate"/>
        </w:r>
        <w:r w:rsidR="00561686" w:rsidRPr="009846B4">
          <w:rPr>
            <w:rStyle w:val="PagenumberChar"/>
          </w:rPr>
          <w:t>10</w:t>
        </w:r>
        <w:r w:rsidR="00561686" w:rsidRPr="009846B4">
          <w:rPr>
            <w:rStyle w:val="PagenumberChar"/>
          </w:rPr>
          <w:fldChar w:fldCharType="end"/>
        </w:r>
        <w:r w:rsidR="00561686" w:rsidRPr="005A3524">
          <w:rPr>
            <w:rFonts w:cs="Calibri Light"/>
            <w:caps/>
            <w:color w:val="58585B"/>
            <w:sz w:val="16"/>
            <w:szCs w:val="16"/>
          </w:rPr>
          <w:t xml:space="preserve"> </w:t>
        </w:r>
        <w:r w:rsidR="00561686">
          <w:rPr>
            <w:rFonts w:cs="Calibri Light"/>
            <w:caps/>
            <w:color w:val="58585B"/>
            <w:sz w:val="16"/>
            <w:szCs w:val="16"/>
          </w:rPr>
          <w:tab/>
          <w:t xml:space="preserve">                                            </w:t>
        </w:r>
        <w:r w:rsidR="00561686" w:rsidRPr="005A3524">
          <w:rPr>
            <w:rFonts w:cs="Calibri Light"/>
            <w:caps/>
            <w:color w:val="58585B"/>
            <w:sz w:val="16"/>
            <w:szCs w:val="16"/>
          </w:rPr>
          <w:t>annual report 202</w:t>
        </w:r>
        <w:r w:rsidR="00561686">
          <w:rPr>
            <w:rFonts w:cs="Calibri Light"/>
            <w:caps/>
            <w:color w:val="58585B"/>
            <w:sz w:val="16"/>
            <w:szCs w:val="16"/>
          </w:rPr>
          <w:t>2–</w:t>
        </w:r>
        <w:r w:rsidR="00561686" w:rsidRPr="005A3524">
          <w:rPr>
            <w:rFonts w:cs="Calibri Light"/>
            <w:caps/>
            <w:color w:val="58585B"/>
            <w:sz w:val="16"/>
            <w:szCs w:val="16"/>
          </w:rPr>
          <w:t>2</w:t>
        </w:r>
        <w:r w:rsidR="00561686">
          <w:rPr>
            <w:rFonts w:cs="Calibri Light"/>
            <w:caps/>
            <w:color w:val="58585B"/>
            <w:sz w:val="16"/>
            <w:szCs w:val="16"/>
          </w:rPr>
          <w:t xml:space="preserve">3    </w:t>
        </w:r>
        <w:r w:rsidR="00561686" w:rsidRPr="005A3524">
          <w:rPr>
            <w:rFonts w:cs="Calibri Light"/>
            <w:caps/>
            <w:color w:val="58585B"/>
            <w:sz w:val="16"/>
            <w:szCs w:val="16"/>
          </w:rPr>
          <w:t xml:space="preserve">    </w:t>
        </w:r>
        <w:r w:rsidR="00561686">
          <w:rPr>
            <w:rFonts w:cs="Calibri Light"/>
            <w:caps/>
            <w:color w:val="58585B"/>
            <w:sz w:val="16"/>
            <w:szCs w:val="16"/>
          </w:rPr>
          <w:t xml:space="preserve"> </w:t>
        </w:r>
        <w:r w:rsidR="00561686" w:rsidRPr="005A3524">
          <w:rPr>
            <w:rFonts w:cs="Calibri Light"/>
            <w:caps/>
            <w:color w:val="58585B"/>
            <w:sz w:val="16"/>
            <w:szCs w:val="16"/>
          </w:rPr>
          <w:t xml:space="preserve"> </w:t>
        </w:r>
        <w:r w:rsidR="00561686" w:rsidRPr="005A3524">
          <w:rPr>
            <w:rFonts w:ascii="Calibri" w:hAnsi="Calibri" w:cs="Calibri"/>
            <w:b/>
            <w:bCs/>
            <w:caps/>
            <w:color w:val="404041"/>
            <w:sz w:val="16"/>
            <w:szCs w:val="16"/>
          </w:rPr>
          <w:t>crime and corruption commission</w:t>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2A03" w14:textId="4124B679" w:rsidR="00561686" w:rsidRPr="0006746C" w:rsidRDefault="00BA48C5" w:rsidP="002D5AE6">
    <w:pPr>
      <w:pStyle w:val="Footer"/>
      <w:spacing w:after="0"/>
      <w:rPr>
        <w:b/>
        <w:bCs/>
        <w:color w:val="414042" w:themeColor="text1"/>
        <w:sz w:val="26"/>
        <w:szCs w:val="26"/>
      </w:rPr>
    </w:pPr>
    <w:r>
      <w:rPr>
        <w:noProof/>
      </w:rPr>
      <w:drawing>
        <wp:anchor distT="0" distB="0" distL="114300" distR="114300" simplePos="0" relativeHeight="251731456" behindDoc="1" locked="0" layoutInCell="1" allowOverlap="1" wp14:anchorId="3E3715AA" wp14:editId="0D4C576D">
          <wp:simplePos x="0" y="0"/>
          <wp:positionH relativeFrom="page">
            <wp:posOffset>-2924</wp:posOffset>
          </wp:positionH>
          <wp:positionV relativeFrom="paragraph">
            <wp:posOffset>456462</wp:posOffset>
          </wp:positionV>
          <wp:extent cx="7558765" cy="10691995"/>
          <wp:effectExtent l="0" t="0" r="0" b="0"/>
          <wp:wrapNone/>
          <wp:docPr id="1756631128" name="Picture 175663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F7730">
      <w:rPr>
        <w:noProof/>
      </w:rPr>
      <mc:AlternateContent>
        <mc:Choice Requires="wps">
          <w:drawing>
            <wp:anchor distT="0" distB="0" distL="114300" distR="114300" simplePos="0" relativeHeight="251670016" behindDoc="0" locked="0" layoutInCell="0" allowOverlap="1" wp14:anchorId="51FF51D1" wp14:editId="41D0BDC5">
              <wp:simplePos x="0" y="0"/>
              <wp:positionH relativeFrom="page">
                <wp:posOffset>1796</wp:posOffset>
              </wp:positionH>
              <wp:positionV relativeFrom="page">
                <wp:posOffset>10830910</wp:posOffset>
              </wp:positionV>
              <wp:extent cx="7772400" cy="463550"/>
              <wp:effectExtent l="0" t="0" r="0" b="12700"/>
              <wp:wrapNone/>
              <wp:docPr id="175662945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7905AB"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FF51D1" id="_x0000_t202" coordsize="21600,21600" o:spt="202" path="m,l,21600r21600,l21600,xe">
              <v:stroke joinstyle="miter"/>
              <v:path gradientshapeok="t" o:connecttype="rect"/>
            </v:shapetype>
            <v:shape id="_x0000_s1071" type="#_x0000_t202" alt="{&quot;HashCode&quot;:431350885,&quot;Height&quot;:9999999.0,&quot;Width&quot;:9999999.0,&quot;Placement&quot;:&quot;Header&quot;,&quot;Index&quot;:&quot;Primary&quot;,&quot;Section&quot;:8,&quot;Top&quot;:0.0,&quot;Left&quot;:0.0}" style="position:absolute;margin-left:.15pt;margin-top:852.85pt;width:612pt;height:36.5pt;z-index:251670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yy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" o:allowincell="f" filled="f" stroked="f" strokeweight=".5pt">
              <v:textbox inset=",0,,0">
                <w:txbxContent>
                  <w:p w14:paraId="2E7905AB"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8F7730">
      <w:rPr>
        <w:noProof/>
      </w:rPr>
      <mc:AlternateContent>
        <mc:Choice Requires="wps">
          <w:drawing>
            <wp:anchor distT="0" distB="0" distL="114300" distR="114300" simplePos="0" relativeHeight="251668992" behindDoc="0" locked="0" layoutInCell="0" allowOverlap="1" wp14:anchorId="08F60B5D" wp14:editId="69C87CB9">
              <wp:simplePos x="0" y="0"/>
              <wp:positionH relativeFrom="page">
                <wp:posOffset>-61266</wp:posOffset>
              </wp:positionH>
              <wp:positionV relativeFrom="page">
                <wp:posOffset>10815145</wp:posOffset>
              </wp:positionV>
              <wp:extent cx="7772400" cy="463550"/>
              <wp:effectExtent l="0" t="0" r="0" b="12700"/>
              <wp:wrapNone/>
              <wp:docPr id="1756629458"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FB03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F60B5D" id="_x0000_s1072" type="#_x0000_t202" alt="{&quot;HashCode&quot;:431350885,&quot;Height&quot;:9999999.0,&quot;Width&quot;:9999999.0,&quot;Placement&quot;:&quot;Header&quot;,&quot;Index&quot;:&quot;Primary&quot;,&quot;Section&quot;:8,&quot;Top&quot;:0.0,&quot;Left&quot;:0.0}" style="position:absolute;margin-left:-4.8pt;margin-top:851.6pt;width:612pt;height:36.5pt;z-index:2516689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AI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" o:allowincell="f" filled="f" stroked="f" strokeweight=".5pt">
              <v:textbox inset=",0,,0">
                <w:txbxContent>
                  <w:p w14:paraId="15DFB03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sdt>
      <w:sdtPr>
        <w:rPr>
          <w:b/>
          <w:bCs/>
          <w:color w:val="414042" w:themeColor="text1"/>
          <w:sz w:val="28"/>
          <w:szCs w:val="28"/>
        </w:rPr>
        <w:id w:val="-565948196"/>
        <w:docPartObj>
          <w:docPartGallery w:val="Page Numbers (Bottom of Page)"/>
          <w:docPartUnique/>
        </w:docPartObj>
      </w:sdtPr>
      <w:sdtEndPr>
        <w:rPr>
          <w:noProof/>
          <w:sz w:val="26"/>
          <w:szCs w:val="26"/>
        </w:rPr>
      </w:sdtEndPr>
      <w:sdtContent>
        <w:r w:rsidR="00561686" w:rsidRPr="00FD75EF">
          <w:rPr>
            <w:rStyle w:val="PagenumberChar"/>
          </w:rPr>
          <w:fldChar w:fldCharType="begin"/>
        </w:r>
        <w:r w:rsidR="00561686" w:rsidRPr="00FD75EF">
          <w:rPr>
            <w:rStyle w:val="PagenumberChar"/>
          </w:rPr>
          <w:instrText xml:space="preserve"> PAGE   \* MERGEFORMAT </w:instrText>
        </w:r>
        <w:r w:rsidR="00561686" w:rsidRPr="00FD75EF">
          <w:rPr>
            <w:rStyle w:val="PagenumberChar"/>
          </w:rPr>
          <w:fldChar w:fldCharType="separate"/>
        </w:r>
        <w:r w:rsidR="00561686" w:rsidRPr="00FD75EF">
          <w:rPr>
            <w:rStyle w:val="PagenumberChar"/>
          </w:rPr>
          <w:t>54</w:t>
        </w:r>
        <w:r w:rsidR="00561686" w:rsidRPr="00FD75EF">
          <w:rPr>
            <w:rStyle w:val="PagenumberChar"/>
          </w:rPr>
          <w:fldChar w:fldCharType="end"/>
        </w:r>
        <w:r w:rsidR="00561686" w:rsidRPr="005A3524">
          <w:rPr>
            <w:rFonts w:cs="Calibri Light"/>
            <w:caps/>
            <w:color w:val="58585B"/>
            <w:sz w:val="16"/>
            <w:szCs w:val="16"/>
          </w:rPr>
          <w:t xml:space="preserve"> </w:t>
        </w:r>
        <w:r w:rsidR="00561686">
          <w:rPr>
            <w:rFonts w:cs="Calibri Light"/>
            <w:caps/>
            <w:color w:val="58585B"/>
            <w:sz w:val="16"/>
            <w:szCs w:val="16"/>
          </w:rPr>
          <w:tab/>
          <w:t xml:space="preserve">                                            </w:t>
        </w:r>
        <w:r w:rsidR="00561686" w:rsidRPr="005A3524">
          <w:rPr>
            <w:rFonts w:cs="Calibri Light"/>
            <w:caps/>
            <w:color w:val="58585B"/>
            <w:sz w:val="16"/>
            <w:szCs w:val="16"/>
          </w:rPr>
          <w:t>annual report 202</w:t>
        </w:r>
        <w:r w:rsidR="00561686">
          <w:rPr>
            <w:rFonts w:cs="Calibri Light"/>
            <w:caps/>
            <w:color w:val="58585B"/>
            <w:sz w:val="16"/>
            <w:szCs w:val="16"/>
          </w:rPr>
          <w:t>2–</w:t>
        </w:r>
        <w:r w:rsidR="00561686" w:rsidRPr="005A3524">
          <w:rPr>
            <w:rFonts w:cs="Calibri Light"/>
            <w:caps/>
            <w:color w:val="58585B"/>
            <w:sz w:val="16"/>
            <w:szCs w:val="16"/>
          </w:rPr>
          <w:t>2</w:t>
        </w:r>
        <w:r w:rsidR="00561686">
          <w:rPr>
            <w:rFonts w:cs="Calibri Light"/>
            <w:caps/>
            <w:color w:val="58585B"/>
            <w:sz w:val="16"/>
            <w:szCs w:val="16"/>
          </w:rPr>
          <w:t xml:space="preserve">3   </w:t>
        </w:r>
        <w:r w:rsidR="00561686" w:rsidRPr="005A3524">
          <w:rPr>
            <w:rFonts w:cs="Calibri Light"/>
            <w:caps/>
            <w:color w:val="58585B"/>
            <w:sz w:val="16"/>
            <w:szCs w:val="16"/>
          </w:rPr>
          <w:t xml:space="preserve">    </w:t>
        </w:r>
        <w:r w:rsidR="00561686">
          <w:rPr>
            <w:rFonts w:cs="Calibri Light"/>
            <w:caps/>
            <w:color w:val="58585B"/>
            <w:sz w:val="16"/>
            <w:szCs w:val="16"/>
          </w:rPr>
          <w:t xml:space="preserve"> </w:t>
        </w:r>
        <w:r w:rsidR="00561686" w:rsidRPr="005A3524">
          <w:rPr>
            <w:rFonts w:cs="Calibri Light"/>
            <w:caps/>
            <w:color w:val="58585B"/>
            <w:sz w:val="16"/>
            <w:szCs w:val="16"/>
          </w:rPr>
          <w:t xml:space="preserve"> </w:t>
        </w:r>
        <w:r w:rsidR="00561686" w:rsidRPr="005A3524">
          <w:rPr>
            <w:rFonts w:ascii="Calibri" w:hAnsi="Calibri" w:cs="Calibri"/>
            <w:b/>
            <w:bCs/>
            <w:caps/>
            <w:color w:val="404041"/>
            <w:sz w:val="16"/>
            <w:szCs w:val="16"/>
          </w:rPr>
          <w:t>crime and corruption commission</w:t>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E2FC" w14:textId="5C21CD64" w:rsidR="00CF1D36" w:rsidRPr="00C77834" w:rsidRDefault="00C77834" w:rsidP="00C77834">
    <w:pPr>
      <w:pStyle w:val="Footer"/>
      <w:spacing w:after="0"/>
      <w:contextualSpacing/>
    </w:pPr>
    <w:r w:rsidRPr="00F41888">
      <w:rPr>
        <w:rFonts w:asciiTheme="minorHAnsi" w:hAnsiTheme="minorHAnsi" w:cstheme="minorHAnsi"/>
        <w:b/>
        <w:noProof/>
        <w:color w:val="EF3340"/>
        <w:sz w:val="22"/>
        <w:lang w:eastAsia="en-AU"/>
      </w:rPr>
      <w:drawing>
        <wp:anchor distT="0" distB="0" distL="114300" distR="114300" simplePos="0" relativeHeight="251689472" behindDoc="1" locked="0" layoutInCell="1" allowOverlap="1" wp14:anchorId="2D5A5B89" wp14:editId="6FB15A96">
          <wp:simplePos x="0" y="0"/>
          <wp:positionH relativeFrom="page">
            <wp:posOffset>-17145</wp:posOffset>
          </wp:positionH>
          <wp:positionV relativeFrom="page">
            <wp:posOffset>9671576</wp:posOffset>
          </wp:positionV>
          <wp:extent cx="7557770" cy="1014730"/>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270315618"/>
        <w:docPartObj>
          <w:docPartGallery w:val="Page Numbers (Bottom of Page)"/>
          <w:docPartUnique/>
        </w:docPartObj>
      </w:sdtPr>
      <w:sdtEndPr>
        <w:rPr>
          <w:noProof/>
          <w:sz w:val="26"/>
          <w:szCs w:val="26"/>
        </w:rPr>
      </w:sdtEndPr>
      <w:sdtContent>
        <w:r w:rsidRPr="001F6D5B">
          <w:rPr>
            <w:rStyle w:val="PagenumberChar"/>
          </w:rPr>
          <w:fldChar w:fldCharType="begin"/>
        </w:r>
        <w:r w:rsidRPr="001F6D5B">
          <w:rPr>
            <w:rStyle w:val="PagenumberChar"/>
          </w:rPr>
          <w:instrText xml:space="preserve"> PAGE   \* MERGEFORMAT </w:instrText>
        </w:r>
        <w:r w:rsidRPr="001F6D5B">
          <w:rPr>
            <w:rStyle w:val="PagenumberChar"/>
          </w:rPr>
          <w:fldChar w:fldCharType="separate"/>
        </w:r>
        <w:r>
          <w:rPr>
            <w:rStyle w:val="PagenumberChar"/>
          </w:rPr>
          <w:t>90</w:t>
        </w:r>
        <w:r w:rsidRPr="001F6D5B">
          <w:rPr>
            <w:rStyle w:val="PagenumberChar"/>
          </w:rPr>
          <w:fldChar w:fldCharType="end"/>
        </w:r>
        <w:r w:rsidRPr="005A3524">
          <w:rPr>
            <w:rFonts w:cs="Calibri Light"/>
            <w:caps/>
            <w:color w:val="58585B"/>
            <w:sz w:val="16"/>
            <w:szCs w:val="16"/>
          </w:rPr>
          <w:t xml:space="preserve"> </w:t>
        </w:r>
        <w:r>
          <w:rPr>
            <w:rFonts w:cs="Calibri Light"/>
            <w:caps/>
            <w:color w:val="58585B"/>
            <w:sz w:val="16"/>
            <w:szCs w:val="16"/>
          </w:rPr>
          <w:tab/>
          <w:t xml:space="preserve">                                        </w:t>
        </w:r>
        <w:r w:rsidR="006E7A9E">
          <w:rPr>
            <w:rFonts w:cs="Calibri Light"/>
            <w:caps/>
            <w:color w:val="58585B"/>
            <w:sz w:val="16"/>
            <w:szCs w:val="16"/>
          </w:rPr>
          <w:t>A</w:t>
        </w:r>
        <w:r w:rsidR="006E7A9E" w:rsidRPr="005A3524">
          <w:rPr>
            <w:rFonts w:cs="Calibri Light"/>
            <w:caps/>
            <w:color w:val="58585B"/>
            <w:sz w:val="16"/>
            <w:szCs w:val="16"/>
          </w:rPr>
          <w:t>nnual report 202</w:t>
        </w:r>
        <w:r w:rsidR="006E7A9E">
          <w:rPr>
            <w:rFonts w:cs="Calibri Light"/>
            <w:caps/>
            <w:color w:val="58585B"/>
            <w:sz w:val="16"/>
            <w:szCs w:val="16"/>
          </w:rPr>
          <w:t>2–</w:t>
        </w:r>
        <w:r w:rsidR="006E7A9E" w:rsidRPr="005A3524">
          <w:rPr>
            <w:rFonts w:cs="Calibri Light"/>
            <w:caps/>
            <w:color w:val="58585B"/>
            <w:sz w:val="16"/>
            <w:szCs w:val="16"/>
          </w:rPr>
          <w:t>2</w:t>
        </w:r>
        <w:r w:rsidR="006E7A9E">
          <w:rPr>
            <w:rFonts w:cs="Calibri Light"/>
            <w:caps/>
            <w:color w:val="58585B"/>
            <w:sz w:val="16"/>
            <w:szCs w:val="16"/>
          </w:rPr>
          <w:t>3</w:t>
        </w:r>
        <w:r w:rsidR="006E7A9E" w:rsidRPr="005A3524">
          <w:rPr>
            <w:rFonts w:cs="Calibri Light"/>
            <w:caps/>
            <w:color w:val="58585B"/>
            <w:sz w:val="16"/>
            <w:szCs w:val="16"/>
          </w:rPr>
          <w:t xml:space="preserve">    </w:t>
        </w:r>
        <w:r w:rsidR="006E7A9E">
          <w:rPr>
            <w:rFonts w:cs="Calibri Light"/>
            <w:caps/>
            <w:color w:val="58585B"/>
            <w:sz w:val="16"/>
            <w:szCs w:val="16"/>
          </w:rPr>
          <w:t xml:space="preserve">  </w:t>
        </w:r>
        <w:r w:rsidR="006E7A9E" w:rsidRPr="005A3524">
          <w:rPr>
            <w:rFonts w:cs="Calibri Light"/>
            <w:caps/>
            <w:color w:val="58585B"/>
            <w:sz w:val="16"/>
            <w:szCs w:val="16"/>
          </w:rPr>
          <w:t xml:space="preserve">   </w:t>
        </w:r>
        <w:r w:rsidR="006E7A9E" w:rsidRPr="005A3524">
          <w:rPr>
            <w:rFonts w:ascii="Calibri" w:hAnsi="Calibri" w:cs="Calibri"/>
            <w:b/>
            <w:bCs/>
            <w:caps/>
            <w:color w:val="404041"/>
            <w:sz w:val="16"/>
            <w:szCs w:val="16"/>
          </w:rPr>
          <w:t>crime and corruption commission</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76F6" w14:textId="318CD11D" w:rsidR="005F42AC" w:rsidRPr="00892E4E" w:rsidRDefault="005F42AC" w:rsidP="00892E4E">
    <w:pPr>
      <w:pStyle w:val="Footer"/>
      <w:spacing w:after="0"/>
      <w:jc w:val="right"/>
      <w:rPr>
        <w:b/>
        <w:bCs/>
        <w:color w:val="414042" w:themeColor="text1"/>
        <w:sz w:val="26"/>
        <w:szCs w:val="26"/>
      </w:rPr>
    </w:pPr>
  </w:p>
  <w:p w14:paraId="53068C4A" w14:textId="77777777" w:rsidR="005F42AC" w:rsidRDefault="005F42A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7896" w14:textId="77777777" w:rsidR="00CF1D36" w:rsidRPr="009D4A78" w:rsidRDefault="00CF1D36" w:rsidP="009D4A78">
    <w:pPr>
      <w:pStyle w:val="Footer"/>
      <w:spacing w:after="0"/>
      <w:rPr>
        <w:b/>
        <w:bCs/>
        <w:color w:val="414042" w:themeColor="text1"/>
        <w:sz w:val="26"/>
        <w:szCs w:val="26"/>
      </w:rPr>
    </w:pPr>
    <w:r w:rsidRPr="00F41888">
      <w:rPr>
        <w:rFonts w:asciiTheme="minorHAnsi" w:hAnsiTheme="minorHAnsi" w:cstheme="minorHAnsi"/>
        <w:b/>
        <w:noProof/>
        <w:color w:val="EF3340"/>
        <w:sz w:val="22"/>
        <w:lang w:eastAsia="en-AU"/>
      </w:rPr>
      <w:drawing>
        <wp:anchor distT="0" distB="0" distL="114300" distR="114300" simplePos="0" relativeHeight="251581952" behindDoc="1" locked="0" layoutInCell="1" allowOverlap="1" wp14:anchorId="322A317D" wp14:editId="17B962C7">
          <wp:simplePos x="0" y="0"/>
          <wp:positionH relativeFrom="page">
            <wp:posOffset>-879</wp:posOffset>
          </wp:positionH>
          <wp:positionV relativeFrom="page">
            <wp:posOffset>9696792</wp:posOffset>
          </wp:positionV>
          <wp:extent cx="7557770" cy="101473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984125809"/>
        <w:docPartObj>
          <w:docPartGallery w:val="Page Numbers (Bottom of Page)"/>
          <w:docPartUnique/>
        </w:docPartObj>
      </w:sdtPr>
      <w:sdtEndPr>
        <w:rPr>
          <w:noProof/>
          <w:sz w:val="26"/>
          <w:szCs w:val="26"/>
        </w:rPr>
      </w:sdtEndPr>
      <w:sdtContent>
        <w:r w:rsidRPr="00FD75EF">
          <w:rPr>
            <w:rStyle w:val="PagenumberChar"/>
          </w:rPr>
          <w:fldChar w:fldCharType="begin"/>
        </w:r>
        <w:r w:rsidRPr="00FD75EF">
          <w:rPr>
            <w:rStyle w:val="PagenumberChar"/>
          </w:rPr>
          <w:instrText xml:space="preserve"> PAGE   \* MERGEFORMAT </w:instrText>
        </w:r>
        <w:r w:rsidRPr="00FD75EF">
          <w:rPr>
            <w:rStyle w:val="PagenumberChar"/>
          </w:rPr>
          <w:fldChar w:fldCharType="separate"/>
        </w:r>
        <w:r>
          <w:rPr>
            <w:rStyle w:val="PagenumberChar"/>
          </w:rPr>
          <w:t>78</w:t>
        </w:r>
        <w:r w:rsidRPr="00FD75EF">
          <w:rPr>
            <w:rStyle w:val="PagenumberChar"/>
          </w:rPr>
          <w:fldChar w:fldCharType="end"/>
        </w:r>
        <w:r w:rsidRPr="005A3524">
          <w:rPr>
            <w:rFonts w:cs="Calibri Light"/>
            <w:caps/>
            <w:color w:val="58585B"/>
            <w:sz w:val="16"/>
            <w:szCs w:val="16"/>
          </w:rPr>
          <w:t xml:space="preserve"> </w:t>
        </w:r>
        <w:r>
          <w:rPr>
            <w:rFonts w:cs="Calibri Light"/>
            <w:caps/>
            <w:color w:val="58585B"/>
            <w:sz w:val="16"/>
            <w:szCs w:val="16"/>
          </w:rPr>
          <w:tab/>
          <w:t xml:space="preserve">                              </w:t>
        </w:r>
        <w:r w:rsidRPr="005A3524">
          <w:rPr>
            <w:rFonts w:cs="Calibri Light"/>
            <w:caps/>
            <w:color w:val="58585B"/>
            <w:sz w:val="16"/>
            <w:szCs w:val="16"/>
          </w:rPr>
          <w:t>annual report 202</w:t>
        </w:r>
        <w:r>
          <w:rPr>
            <w:rFonts w:cs="Calibri Light"/>
            <w:caps/>
            <w:color w:val="58585B"/>
            <w:sz w:val="16"/>
            <w:szCs w:val="16"/>
          </w:rPr>
          <w:t>2–</w:t>
        </w:r>
        <w:r w:rsidRPr="005A3524">
          <w:rPr>
            <w:rFonts w:cs="Calibri Light"/>
            <w:caps/>
            <w:color w:val="58585B"/>
            <w:sz w:val="16"/>
            <w:szCs w:val="16"/>
          </w:rPr>
          <w:t>2</w:t>
        </w:r>
        <w:r>
          <w:rPr>
            <w:rFonts w:cs="Calibri Light"/>
            <w:caps/>
            <w:color w:val="58585B"/>
            <w:sz w:val="16"/>
            <w:szCs w:val="16"/>
          </w:rPr>
          <w:t xml:space="preserve">3    </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sdtContent>
    </w:sdt>
    <w:r w:rsidDel="008E2389">
      <w:rPr>
        <w:b/>
        <w:bCs/>
        <w:color w:val="414042" w:themeColor="text1"/>
        <w:sz w:val="28"/>
        <w:szCs w:val="2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EE10" w14:textId="21AD970C" w:rsidR="004C56F1" w:rsidRPr="00470C42" w:rsidRDefault="004C56F1" w:rsidP="00C77834">
    <w:pPr>
      <w:pStyle w:val="BasicParagraph"/>
      <w:spacing w:after="0" w:line="240" w:lineRule="auto"/>
      <w:jc w:val="center"/>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60128" behindDoc="1" locked="0" layoutInCell="1" allowOverlap="1" wp14:anchorId="42A6C037" wp14:editId="68BEF0A3">
          <wp:simplePos x="0" y="0"/>
          <wp:positionH relativeFrom="page">
            <wp:posOffset>-36304</wp:posOffset>
          </wp:positionH>
          <wp:positionV relativeFrom="page">
            <wp:posOffset>9685020</wp:posOffset>
          </wp:positionV>
          <wp:extent cx="7557770" cy="101473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104" behindDoc="1" locked="0" layoutInCell="1" allowOverlap="1" wp14:anchorId="4636CA94" wp14:editId="3F066C74">
          <wp:simplePos x="0" y="0"/>
          <wp:positionH relativeFrom="page">
            <wp:posOffset>-56087</wp:posOffset>
          </wp:positionH>
          <wp:positionV relativeFrom="paragraph">
            <wp:posOffset>456462</wp:posOffset>
          </wp:positionV>
          <wp:extent cx="7558765" cy="10691997"/>
          <wp:effectExtent l="0" t="0" r="4445"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080" behindDoc="1" locked="0" layoutInCell="1" allowOverlap="1" wp14:anchorId="747B6C10" wp14:editId="3DED9E6B">
          <wp:simplePos x="0" y="0"/>
          <wp:positionH relativeFrom="page">
            <wp:posOffset>-56087</wp:posOffset>
          </wp:positionH>
          <wp:positionV relativeFrom="paragraph">
            <wp:posOffset>456462</wp:posOffset>
          </wp:positionV>
          <wp:extent cx="7558765" cy="10691997"/>
          <wp:effectExtent l="0" t="0" r="4445"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498643393"/>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A</w:t>
        </w:r>
        <w:r w:rsidRPr="005A3524">
          <w:rPr>
            <w:rFonts w:ascii="Calibri Light" w:hAnsi="Calibri Light" w:cs="Calibri Light"/>
            <w:caps/>
            <w:color w:val="58585B"/>
            <w:sz w:val="16"/>
            <w:szCs w:val="16"/>
          </w:rPr>
          <w:t>nnual report 202</w:t>
        </w:r>
        <w:r>
          <w:rPr>
            <w:rFonts w:ascii="Calibri Light" w:hAnsi="Calibri Light" w:cs="Calibri Light"/>
            <w:caps/>
            <w:color w:val="58585B"/>
            <w:sz w:val="16"/>
            <w:szCs w:val="16"/>
          </w:rPr>
          <w:t>2–</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 xml:space="preserve">3  </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99</w:t>
        </w:r>
        <w:r w:rsidRPr="00754346">
          <w:rPr>
            <w:rStyle w:val="PagenumberChar"/>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0AA1" w14:textId="6F724943" w:rsidR="00C77834" w:rsidRPr="00C77834" w:rsidRDefault="00C77834" w:rsidP="00C77834">
    <w:pPr>
      <w:pStyle w:val="Footer"/>
      <w:spacing w:after="0"/>
      <w:contextualSpacing/>
    </w:pPr>
    <w:r w:rsidRPr="00F41888">
      <w:rPr>
        <w:rFonts w:asciiTheme="minorHAnsi" w:hAnsiTheme="minorHAnsi" w:cstheme="minorHAnsi"/>
        <w:b/>
        <w:noProof/>
        <w:color w:val="EF3340"/>
        <w:sz w:val="22"/>
        <w:lang w:eastAsia="en-AU"/>
      </w:rPr>
      <w:drawing>
        <wp:anchor distT="0" distB="0" distL="114300" distR="114300" simplePos="0" relativeHeight="251690496" behindDoc="1" locked="0" layoutInCell="1" allowOverlap="1" wp14:anchorId="647CC7C7" wp14:editId="7B746D91">
          <wp:simplePos x="0" y="0"/>
          <wp:positionH relativeFrom="page">
            <wp:posOffset>-17634</wp:posOffset>
          </wp:positionH>
          <wp:positionV relativeFrom="page">
            <wp:posOffset>9672320</wp:posOffset>
          </wp:positionV>
          <wp:extent cx="7557770" cy="1014730"/>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372074947"/>
        <w:docPartObj>
          <w:docPartGallery w:val="Page Numbers (Bottom of Page)"/>
          <w:docPartUnique/>
        </w:docPartObj>
      </w:sdtPr>
      <w:sdtEndPr>
        <w:rPr>
          <w:noProof/>
          <w:sz w:val="26"/>
          <w:szCs w:val="26"/>
        </w:rPr>
      </w:sdtEndPr>
      <w:sdtContent>
        <w:r w:rsidRPr="001F6D5B">
          <w:rPr>
            <w:rStyle w:val="PagenumberChar"/>
          </w:rPr>
          <w:fldChar w:fldCharType="begin"/>
        </w:r>
        <w:r w:rsidRPr="001F6D5B">
          <w:rPr>
            <w:rStyle w:val="PagenumberChar"/>
          </w:rPr>
          <w:instrText xml:space="preserve"> PAGE   \* MERGEFORMAT </w:instrText>
        </w:r>
        <w:r w:rsidRPr="001F6D5B">
          <w:rPr>
            <w:rStyle w:val="PagenumberChar"/>
          </w:rPr>
          <w:fldChar w:fldCharType="separate"/>
        </w:r>
        <w:r>
          <w:rPr>
            <w:rStyle w:val="PagenumberChar"/>
          </w:rPr>
          <w:t>90</w:t>
        </w:r>
        <w:r w:rsidRPr="001F6D5B">
          <w:rPr>
            <w:rStyle w:val="PagenumberChar"/>
          </w:rPr>
          <w:fldChar w:fldCharType="end"/>
        </w:r>
        <w:r w:rsidRPr="005A3524">
          <w:rPr>
            <w:rFonts w:cs="Calibri Light"/>
            <w:caps/>
            <w:color w:val="58585B"/>
            <w:sz w:val="16"/>
            <w:szCs w:val="16"/>
          </w:rPr>
          <w:t xml:space="preserve"> </w:t>
        </w:r>
        <w:r>
          <w:rPr>
            <w:rFonts w:cs="Calibri Light"/>
            <w:caps/>
            <w:color w:val="58585B"/>
            <w:sz w:val="16"/>
            <w:szCs w:val="16"/>
          </w:rPr>
          <w:tab/>
          <w:t xml:space="preserve">                                  </w:t>
        </w:r>
        <w:r w:rsidR="006E7A9E">
          <w:rPr>
            <w:rFonts w:cs="Calibri Light"/>
            <w:caps/>
            <w:color w:val="58585B"/>
            <w:sz w:val="16"/>
            <w:szCs w:val="16"/>
          </w:rPr>
          <w:t xml:space="preserve">     </w:t>
        </w:r>
        <w:r>
          <w:rPr>
            <w:rFonts w:cs="Calibri Light"/>
            <w:caps/>
            <w:color w:val="58585B"/>
            <w:sz w:val="16"/>
            <w:szCs w:val="16"/>
          </w:rPr>
          <w:t xml:space="preserve">   </w:t>
        </w:r>
        <w:bookmarkStart w:id="1952" w:name="_Hlk146711794"/>
        <w:r w:rsidR="006E7A9E">
          <w:rPr>
            <w:rFonts w:cs="Calibri Light"/>
            <w:caps/>
            <w:color w:val="58585B"/>
            <w:sz w:val="16"/>
            <w:szCs w:val="16"/>
          </w:rPr>
          <w:t>A</w:t>
        </w:r>
        <w:r w:rsidR="006E7A9E" w:rsidRPr="005A3524">
          <w:rPr>
            <w:rFonts w:cs="Calibri Light"/>
            <w:caps/>
            <w:color w:val="58585B"/>
            <w:sz w:val="16"/>
            <w:szCs w:val="16"/>
          </w:rPr>
          <w:t>nnual report 202</w:t>
        </w:r>
        <w:r w:rsidR="006E7A9E">
          <w:rPr>
            <w:rFonts w:cs="Calibri Light"/>
            <w:caps/>
            <w:color w:val="58585B"/>
            <w:sz w:val="16"/>
            <w:szCs w:val="16"/>
          </w:rPr>
          <w:t>2–</w:t>
        </w:r>
        <w:r w:rsidR="006E7A9E" w:rsidRPr="005A3524">
          <w:rPr>
            <w:rFonts w:cs="Calibri Light"/>
            <w:caps/>
            <w:color w:val="58585B"/>
            <w:sz w:val="16"/>
            <w:szCs w:val="16"/>
          </w:rPr>
          <w:t>2</w:t>
        </w:r>
        <w:r w:rsidR="006E7A9E">
          <w:rPr>
            <w:rFonts w:cs="Calibri Light"/>
            <w:caps/>
            <w:color w:val="58585B"/>
            <w:sz w:val="16"/>
            <w:szCs w:val="16"/>
          </w:rPr>
          <w:t>3</w:t>
        </w:r>
        <w:r w:rsidR="006E7A9E" w:rsidRPr="005A3524">
          <w:rPr>
            <w:rFonts w:cs="Calibri Light"/>
            <w:caps/>
            <w:color w:val="58585B"/>
            <w:sz w:val="16"/>
            <w:szCs w:val="16"/>
          </w:rPr>
          <w:t xml:space="preserve">    </w:t>
        </w:r>
        <w:r w:rsidR="006E7A9E">
          <w:rPr>
            <w:rFonts w:cs="Calibri Light"/>
            <w:caps/>
            <w:color w:val="58585B"/>
            <w:sz w:val="16"/>
            <w:szCs w:val="16"/>
          </w:rPr>
          <w:t xml:space="preserve">  </w:t>
        </w:r>
        <w:r w:rsidR="006E7A9E" w:rsidRPr="005A3524">
          <w:rPr>
            <w:rFonts w:cs="Calibri Light"/>
            <w:caps/>
            <w:color w:val="58585B"/>
            <w:sz w:val="16"/>
            <w:szCs w:val="16"/>
          </w:rPr>
          <w:t xml:space="preserve">   </w:t>
        </w:r>
        <w:r w:rsidR="006E7A9E" w:rsidRPr="005A3524">
          <w:rPr>
            <w:rFonts w:ascii="Calibri" w:hAnsi="Calibri" w:cs="Calibri"/>
            <w:b/>
            <w:bCs/>
            <w:caps/>
            <w:color w:val="404041"/>
            <w:sz w:val="16"/>
            <w:szCs w:val="16"/>
          </w:rPr>
          <w:t>crime and corruption commission</w:t>
        </w:r>
      </w:sdtContent>
    </w:sdt>
    <w:bookmarkEnd w:id="1952"/>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3C43" w14:textId="61F5B164" w:rsidR="007C4E47" w:rsidRPr="00470C42" w:rsidRDefault="007C4E47" w:rsidP="00C77834">
    <w:pPr>
      <w:pStyle w:val="BasicParagraph"/>
      <w:spacing w:after="0" w:line="240" w:lineRule="auto"/>
      <w:jc w:val="center"/>
      <w:rPr>
        <w:rFonts w:asciiTheme="minorHAnsi" w:hAnsiTheme="minorHAnsi" w:cstheme="minorHAnsi"/>
        <w:b/>
        <w:bCs/>
        <w:caps/>
        <w:color w:val="404041"/>
        <w:sz w:val="16"/>
        <w:szCs w:val="16"/>
      </w:rPr>
    </w:pPr>
    <w:r w:rsidRPr="005D41A2">
      <w:rPr>
        <w:b/>
        <w:bCs/>
        <w:color w:val="414042" w:themeColor="text1"/>
        <w:sz w:val="28"/>
        <w:szCs w:val="2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6BAC" w14:textId="36A248F7" w:rsidR="007C4E47" w:rsidRPr="00470C42" w:rsidRDefault="002744EF" w:rsidP="00C77834">
    <w:pPr>
      <w:pStyle w:val="BasicParagraph"/>
      <w:spacing w:after="0" w:line="240" w:lineRule="auto"/>
      <w:jc w:val="center"/>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28384" behindDoc="1" locked="0" layoutInCell="1" allowOverlap="1" wp14:anchorId="0AD5EC06" wp14:editId="62D1198E">
          <wp:simplePos x="0" y="0"/>
          <wp:positionH relativeFrom="page">
            <wp:posOffset>7709</wp:posOffset>
          </wp:positionH>
          <wp:positionV relativeFrom="page">
            <wp:posOffset>9665734</wp:posOffset>
          </wp:positionV>
          <wp:extent cx="7557770" cy="101473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E47" w:rsidRPr="005D41A2">
      <w:rPr>
        <w:b/>
        <w:bCs/>
        <w:color w:val="414042" w:themeColor="text1"/>
        <w:sz w:val="28"/>
        <w:szCs w:val="28"/>
      </w:rPr>
      <w:t xml:space="preserve"> </w:t>
    </w:r>
    <w:sdt>
      <w:sdtPr>
        <w:rPr>
          <w:b/>
          <w:bCs/>
          <w:color w:val="414042" w:themeColor="text1"/>
          <w:sz w:val="28"/>
          <w:szCs w:val="28"/>
        </w:rPr>
        <w:id w:val="-33050949"/>
        <w:docPartObj>
          <w:docPartGallery w:val="Page Numbers (Bottom of Page)"/>
          <w:docPartUnique/>
        </w:docPartObj>
      </w:sdtPr>
      <w:sdtEndPr>
        <w:rPr>
          <w:noProof/>
          <w:sz w:val="26"/>
          <w:szCs w:val="26"/>
        </w:rPr>
      </w:sdtEndPr>
      <w:sdtContent>
        <w:r w:rsidR="007C4E47">
          <w:rPr>
            <w:rFonts w:ascii="Calibri Light" w:hAnsi="Calibri Light" w:cs="Calibri Light"/>
            <w:caps/>
            <w:color w:val="58585B"/>
            <w:sz w:val="16"/>
            <w:szCs w:val="16"/>
          </w:rPr>
          <w:t xml:space="preserve">                                                                      </w:t>
        </w:r>
        <w:bookmarkStart w:id="1955" w:name="_Hlk146711754"/>
        <w:r w:rsidR="007C4E47">
          <w:rPr>
            <w:rFonts w:ascii="Calibri Light" w:hAnsi="Calibri Light" w:cs="Calibri Light"/>
            <w:caps/>
            <w:color w:val="58585B"/>
            <w:sz w:val="16"/>
            <w:szCs w:val="16"/>
          </w:rPr>
          <w:t>A</w:t>
        </w:r>
        <w:r w:rsidR="007C4E47" w:rsidRPr="005A3524">
          <w:rPr>
            <w:rFonts w:ascii="Calibri Light" w:hAnsi="Calibri Light" w:cs="Calibri Light"/>
            <w:caps/>
            <w:color w:val="58585B"/>
            <w:sz w:val="16"/>
            <w:szCs w:val="16"/>
          </w:rPr>
          <w:t>nnual report 202</w:t>
        </w:r>
        <w:r w:rsidR="007C4E47">
          <w:rPr>
            <w:rFonts w:ascii="Calibri Light" w:hAnsi="Calibri Light" w:cs="Calibri Light"/>
            <w:caps/>
            <w:color w:val="58585B"/>
            <w:sz w:val="16"/>
            <w:szCs w:val="16"/>
          </w:rPr>
          <w:t>2–</w:t>
        </w:r>
        <w:r w:rsidR="007C4E47" w:rsidRPr="005A3524">
          <w:rPr>
            <w:rFonts w:ascii="Calibri Light" w:hAnsi="Calibri Light" w:cs="Calibri Light"/>
            <w:caps/>
            <w:color w:val="58585B"/>
            <w:sz w:val="16"/>
            <w:szCs w:val="16"/>
          </w:rPr>
          <w:t>2</w:t>
        </w:r>
        <w:r w:rsidR="007C4E47">
          <w:rPr>
            <w:rFonts w:ascii="Calibri Light" w:hAnsi="Calibri Light" w:cs="Calibri Light"/>
            <w:caps/>
            <w:color w:val="58585B"/>
            <w:sz w:val="16"/>
            <w:szCs w:val="16"/>
          </w:rPr>
          <w:t>3</w:t>
        </w:r>
        <w:r w:rsidR="007C4E47" w:rsidRPr="005A3524">
          <w:rPr>
            <w:rFonts w:ascii="Calibri Light" w:hAnsi="Calibri Light" w:cs="Calibri Light"/>
            <w:caps/>
            <w:color w:val="58585B"/>
            <w:sz w:val="16"/>
            <w:szCs w:val="16"/>
          </w:rPr>
          <w:t xml:space="preserve"> </w:t>
        </w:r>
        <w:r w:rsidR="007C4E47">
          <w:rPr>
            <w:rFonts w:ascii="Calibri Light" w:hAnsi="Calibri Light" w:cs="Calibri Light"/>
            <w:caps/>
            <w:color w:val="58585B"/>
            <w:sz w:val="16"/>
            <w:szCs w:val="16"/>
          </w:rPr>
          <w:t xml:space="preserve"> </w:t>
        </w:r>
        <w:r w:rsidR="007C4E47" w:rsidRPr="005A3524">
          <w:rPr>
            <w:rFonts w:ascii="Calibri Light" w:hAnsi="Calibri Light" w:cs="Calibri Light"/>
            <w:caps/>
            <w:color w:val="58585B"/>
            <w:sz w:val="16"/>
            <w:szCs w:val="16"/>
          </w:rPr>
          <w:t xml:space="preserve">        </w:t>
        </w:r>
        <w:r w:rsidR="007C4E47" w:rsidRPr="005A3524">
          <w:rPr>
            <w:rFonts w:ascii="Calibri" w:hAnsi="Calibri" w:cs="Calibri"/>
            <w:b/>
            <w:bCs/>
            <w:caps/>
            <w:color w:val="404041"/>
            <w:sz w:val="16"/>
            <w:szCs w:val="16"/>
          </w:rPr>
          <w:t>crime and corruption commission</w:t>
        </w:r>
        <w:bookmarkEnd w:id="1955"/>
        <w:r w:rsidR="007C4E47">
          <w:rPr>
            <w:rFonts w:ascii="Calibri" w:hAnsi="Calibri" w:cs="Calibri"/>
            <w:b/>
            <w:bCs/>
            <w:caps/>
            <w:color w:val="404041"/>
            <w:sz w:val="16"/>
            <w:szCs w:val="16"/>
          </w:rPr>
          <w:tab/>
        </w:r>
        <w:r w:rsidR="007C4E47">
          <w:rPr>
            <w:rFonts w:ascii="Calibri" w:hAnsi="Calibri" w:cs="Calibri"/>
            <w:b/>
            <w:bCs/>
            <w:caps/>
            <w:color w:val="404041"/>
            <w:sz w:val="16"/>
            <w:szCs w:val="16"/>
          </w:rPr>
          <w:tab/>
        </w:r>
        <w:r w:rsidR="007C4E47" w:rsidRPr="00754346">
          <w:rPr>
            <w:rStyle w:val="PagenumberChar"/>
          </w:rPr>
          <w:fldChar w:fldCharType="begin"/>
        </w:r>
        <w:r w:rsidR="007C4E47" w:rsidRPr="00754346">
          <w:rPr>
            <w:rStyle w:val="PagenumberChar"/>
          </w:rPr>
          <w:instrText xml:space="preserve"> PAGE   \* MERGEFORMAT </w:instrText>
        </w:r>
        <w:r w:rsidR="007C4E47" w:rsidRPr="00754346">
          <w:rPr>
            <w:rStyle w:val="PagenumberChar"/>
          </w:rPr>
          <w:fldChar w:fldCharType="separate"/>
        </w:r>
        <w:r w:rsidR="007C4E47">
          <w:rPr>
            <w:rStyle w:val="PagenumberChar"/>
          </w:rPr>
          <w:t>99</w:t>
        </w:r>
        <w:r w:rsidR="007C4E47" w:rsidRPr="00754346">
          <w:rPr>
            <w:rStyle w:val="PagenumberChar"/>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B762" w14:textId="73F7500F" w:rsidR="000442BE" w:rsidRPr="00F04DF2" w:rsidRDefault="00086D38" w:rsidP="00F04DF2">
    <w:pPr>
      <w:pStyle w:val="Footer"/>
      <w:spacing w:after="0"/>
      <w:rPr>
        <w:b/>
        <w:bCs/>
        <w:color w:val="414042" w:themeColor="text1"/>
        <w:sz w:val="26"/>
        <w:szCs w:val="26"/>
      </w:rPr>
    </w:pPr>
    <w:sdt>
      <w:sdtPr>
        <w:rPr>
          <w:b/>
          <w:bCs/>
          <w:color w:val="414042" w:themeColor="text1"/>
          <w:sz w:val="28"/>
          <w:szCs w:val="28"/>
        </w:rPr>
        <w:id w:val="602768262"/>
        <w:docPartObj>
          <w:docPartGallery w:val="Page Numbers (Bottom of Page)"/>
          <w:docPartUnique/>
        </w:docPartObj>
      </w:sdtPr>
      <w:sdtEndPr>
        <w:rPr>
          <w:noProof/>
          <w:sz w:val="26"/>
          <w:szCs w:val="26"/>
        </w:rPr>
      </w:sdtEndPr>
      <w:sdtContent>
        <w:r w:rsidR="000442BE" w:rsidRPr="00EC0923">
          <w:rPr>
            <w:rStyle w:val="PagenumberChar"/>
          </w:rPr>
          <w:fldChar w:fldCharType="begin"/>
        </w:r>
        <w:r w:rsidR="000442BE" w:rsidRPr="00EC0923">
          <w:rPr>
            <w:rStyle w:val="PagenumberChar"/>
          </w:rPr>
          <w:instrText xml:space="preserve"> PAGE   \* MERGEFORMAT </w:instrText>
        </w:r>
        <w:r w:rsidR="000442BE" w:rsidRPr="00EC0923">
          <w:rPr>
            <w:rStyle w:val="PagenumberChar"/>
          </w:rPr>
          <w:fldChar w:fldCharType="separate"/>
        </w:r>
        <w:r w:rsidR="000442BE" w:rsidRPr="00EC0923">
          <w:rPr>
            <w:rStyle w:val="PagenumberChar"/>
          </w:rPr>
          <w:t>8</w:t>
        </w:r>
        <w:r w:rsidR="000442BE" w:rsidRPr="00EC0923">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5D41A2">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annual report 202</w:t>
        </w:r>
        <w:r w:rsidR="00CB036D">
          <w:rPr>
            <w:rFonts w:cs="Calibri Light"/>
            <w:caps/>
            <w:color w:val="58585B"/>
            <w:sz w:val="16"/>
            <w:szCs w:val="16"/>
          </w:rPr>
          <w:t>2</w:t>
        </w:r>
        <w:r w:rsidR="000442BE">
          <w:rPr>
            <w:rFonts w:cs="Calibri Light"/>
            <w:caps/>
            <w:color w:val="58585B"/>
            <w:sz w:val="16"/>
            <w:szCs w:val="16"/>
          </w:rPr>
          <w:t>–</w:t>
        </w:r>
        <w:r w:rsidR="000442BE" w:rsidRPr="005A3524">
          <w:rPr>
            <w:rFonts w:cs="Calibri Light"/>
            <w:caps/>
            <w:color w:val="58585B"/>
            <w:sz w:val="16"/>
            <w:szCs w:val="16"/>
          </w:rPr>
          <w:t>2</w:t>
        </w:r>
        <w:r w:rsidR="00CB036D">
          <w:rPr>
            <w:rFonts w:cs="Calibri Light"/>
            <w:caps/>
            <w:color w:val="58585B"/>
            <w:sz w:val="16"/>
            <w:szCs w:val="16"/>
          </w:rPr>
          <w:t>3</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414042" w:themeColor="text1"/>
        <w:sz w:val="28"/>
        <w:szCs w:val="28"/>
      </w:rPr>
      <w:id w:val="2016111111"/>
      <w:docPartObj>
        <w:docPartGallery w:val="Page Numbers (Bottom of Page)"/>
        <w:docPartUnique/>
      </w:docPartObj>
    </w:sdtPr>
    <w:sdtEndPr>
      <w:rPr>
        <w:noProof/>
        <w:sz w:val="26"/>
        <w:szCs w:val="26"/>
      </w:rPr>
    </w:sdtEndPr>
    <w:sdtContent>
      <w:p w14:paraId="755FDDB8" w14:textId="4C603C84" w:rsidR="000442BE" w:rsidRPr="00D87230" w:rsidRDefault="0023256E" w:rsidP="00D87230">
        <w:pPr>
          <w:pStyle w:val="Footer"/>
          <w:spacing w:after="0"/>
          <w:rPr>
            <w:b/>
            <w:bCs/>
            <w:color w:val="414042" w:themeColor="text1"/>
            <w:sz w:val="26"/>
            <w:szCs w:val="26"/>
          </w:rPr>
        </w:pPr>
        <w:r w:rsidRPr="00F41888">
          <w:rPr>
            <w:rFonts w:asciiTheme="minorHAnsi" w:hAnsiTheme="minorHAnsi" w:cstheme="minorHAnsi"/>
            <w:b/>
            <w:noProof/>
            <w:color w:val="EF3340"/>
            <w:sz w:val="22"/>
            <w:lang w:eastAsia="en-AU"/>
          </w:rPr>
          <w:drawing>
            <wp:anchor distT="0" distB="0" distL="114300" distR="114300" simplePos="0" relativeHeight="251762176" behindDoc="1" locked="0" layoutInCell="1" allowOverlap="1" wp14:anchorId="3A93C4FD" wp14:editId="1EE5E926">
              <wp:simplePos x="0" y="0"/>
              <wp:positionH relativeFrom="page">
                <wp:posOffset>3835</wp:posOffset>
              </wp:positionH>
              <wp:positionV relativeFrom="page">
                <wp:posOffset>9653956</wp:posOffset>
              </wp:positionV>
              <wp:extent cx="7557770" cy="10147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2BE">
          <w:rPr>
            <w:noProof/>
          </w:rPr>
          <w:drawing>
            <wp:anchor distT="0" distB="0" distL="114300" distR="114300" simplePos="0" relativeHeight="251561472" behindDoc="1" locked="0" layoutInCell="1" allowOverlap="1" wp14:anchorId="6B17F5AA" wp14:editId="71FA4728">
              <wp:simplePos x="0" y="0"/>
              <wp:positionH relativeFrom="page">
                <wp:posOffset>0</wp:posOffset>
              </wp:positionH>
              <wp:positionV relativeFrom="paragraph">
                <wp:posOffset>476885</wp:posOffset>
              </wp:positionV>
              <wp:extent cx="7558405" cy="10690860"/>
              <wp:effectExtent l="0" t="0" r="4445"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sidR="000442BE">
          <w:rPr>
            <w:rFonts w:ascii="Calibri" w:hAnsi="Calibri" w:cs="Calibri"/>
            <w:b/>
            <w:bCs/>
            <w:caps/>
            <w:color w:val="404041"/>
            <w:sz w:val="16"/>
            <w:szCs w:val="16"/>
          </w:rPr>
          <w:tab/>
        </w:r>
        <w:sdt>
          <w:sdtPr>
            <w:rPr>
              <w:b/>
              <w:bCs/>
              <w:color w:val="414042" w:themeColor="text1"/>
              <w:sz w:val="28"/>
              <w:szCs w:val="28"/>
            </w:rPr>
            <w:id w:val="-1582136764"/>
            <w:docPartObj>
              <w:docPartGallery w:val="Page Numbers (Bottom of Page)"/>
              <w:docPartUnique/>
            </w:docPartObj>
          </w:sdtPr>
          <w:sdtEndPr>
            <w:rPr>
              <w:rStyle w:val="PagenumberChar"/>
              <w:rFonts w:asciiTheme="minorHAnsi" w:hAnsiTheme="minorHAnsi" w:cstheme="minorHAnsi"/>
              <w:b w:val="0"/>
              <w:bCs w:val="0"/>
              <w:sz w:val="20"/>
              <w:szCs w:val="20"/>
              <w:lang w:val="en-US"/>
            </w:rPr>
          </w:sdtEndPr>
          <w:sdtContent>
            <w:r w:rsidR="000442BE">
              <w:rPr>
                <w:rFonts w:cs="Calibri Light"/>
                <w:caps/>
                <w:color w:val="58585B"/>
                <w:sz w:val="16"/>
                <w:szCs w:val="16"/>
              </w:rPr>
              <w:t xml:space="preserve">                                                                               </w:t>
            </w:r>
            <w:r w:rsidR="000442BE" w:rsidRPr="005A3524">
              <w:rPr>
                <w:rFonts w:cs="Calibri Light"/>
                <w:caps/>
                <w:color w:val="58585B"/>
                <w:sz w:val="16"/>
                <w:szCs w:val="16"/>
              </w:rPr>
              <w:t>annual report 202</w:t>
            </w:r>
            <w:r w:rsidR="00CB036D">
              <w:rPr>
                <w:rFonts w:cs="Calibri Light"/>
                <w:caps/>
                <w:color w:val="58585B"/>
                <w:sz w:val="16"/>
                <w:szCs w:val="16"/>
              </w:rPr>
              <w:t>2</w:t>
            </w:r>
            <w:r w:rsidR="000442BE">
              <w:rPr>
                <w:rFonts w:cs="Calibri Light"/>
                <w:caps/>
                <w:color w:val="58585B"/>
                <w:sz w:val="16"/>
                <w:szCs w:val="16"/>
              </w:rPr>
              <w:t>–</w:t>
            </w:r>
            <w:r w:rsidR="000442BE" w:rsidRPr="005A3524">
              <w:rPr>
                <w:rFonts w:cs="Calibri Light"/>
                <w:caps/>
                <w:color w:val="58585B"/>
                <w:sz w:val="16"/>
                <w:szCs w:val="16"/>
              </w:rPr>
              <w:t>2</w:t>
            </w:r>
            <w:r w:rsidR="00CB036D">
              <w:rPr>
                <w:rFonts w:cs="Calibri Light"/>
                <w:caps/>
                <w:color w:val="58585B"/>
                <w:sz w:val="16"/>
                <w:szCs w:val="16"/>
              </w:rPr>
              <w:t>3</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r w:rsidR="000442BE" w:rsidRPr="00EC0923">
              <w:rPr>
                <w:rStyle w:val="PagenumberChar"/>
              </w:rPr>
              <w:fldChar w:fldCharType="begin"/>
            </w:r>
            <w:r w:rsidR="000442BE" w:rsidRPr="00EC0923">
              <w:rPr>
                <w:rStyle w:val="PagenumberChar"/>
              </w:rPr>
              <w:instrText xml:space="preserve"> PAGE   \* MERGEFORMAT </w:instrText>
            </w:r>
            <w:r w:rsidR="000442BE" w:rsidRPr="00EC0923">
              <w:rPr>
                <w:rStyle w:val="PagenumberChar"/>
              </w:rPr>
              <w:fldChar w:fldCharType="separate"/>
            </w:r>
            <w:r w:rsidR="000442BE" w:rsidRPr="00EC0923">
              <w:rPr>
                <w:rStyle w:val="PagenumberChar"/>
              </w:rPr>
              <w:t>117</w:t>
            </w:r>
            <w:r w:rsidR="000442BE" w:rsidRPr="00EC0923">
              <w:rPr>
                <w:rStyle w:val="PagenumberChar"/>
              </w:rPr>
              <w:fldChar w:fldCharType="end"/>
            </w:r>
          </w:sdtContent>
        </w:sdt>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E19F" w14:textId="2F09D2A5" w:rsidR="000442BE" w:rsidRPr="001B30D0" w:rsidRDefault="00B05B65" w:rsidP="001B30D0">
    <w:pPr>
      <w:pStyle w:val="Footer"/>
      <w:spacing w:after="0"/>
      <w:rPr>
        <w:b/>
        <w:bCs/>
        <w:color w:val="414042" w:themeColor="text1"/>
        <w:sz w:val="26"/>
        <w:szCs w:val="26"/>
      </w:rPr>
    </w:pPr>
    <w:r w:rsidRPr="00F41888">
      <w:rPr>
        <w:rFonts w:asciiTheme="minorHAnsi" w:hAnsiTheme="minorHAnsi" w:cstheme="minorHAnsi"/>
        <w:b/>
        <w:noProof/>
        <w:color w:val="EF3340"/>
        <w:sz w:val="22"/>
        <w:lang w:eastAsia="en-AU"/>
      </w:rPr>
      <w:drawing>
        <wp:anchor distT="0" distB="0" distL="114300" distR="114300" simplePos="0" relativeHeight="251691520" behindDoc="1" locked="0" layoutInCell="1" allowOverlap="1" wp14:anchorId="7299EA42" wp14:editId="650F958B">
          <wp:simplePos x="0" y="0"/>
          <wp:positionH relativeFrom="page">
            <wp:posOffset>-3241</wp:posOffset>
          </wp:positionH>
          <wp:positionV relativeFrom="page">
            <wp:posOffset>9660179</wp:posOffset>
          </wp:positionV>
          <wp:extent cx="7557770" cy="1014730"/>
          <wp:effectExtent l="0" t="0" r="0" b="0"/>
          <wp:wrapNone/>
          <wp:docPr id="1756629162" name="Picture 175662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910533764"/>
        <w:docPartObj>
          <w:docPartGallery w:val="Page Numbers (Bottom of Page)"/>
          <w:docPartUnique/>
        </w:docPartObj>
      </w:sdtPr>
      <w:sdtEndPr>
        <w:rPr>
          <w:noProof/>
          <w:sz w:val="26"/>
          <w:szCs w:val="26"/>
        </w:rPr>
      </w:sdtEndPr>
      <w:sdtContent>
        <w:r w:rsidR="001B30D0" w:rsidRPr="001B30D0">
          <w:rPr>
            <w:rStyle w:val="PagenumberChar"/>
          </w:rPr>
          <w:fldChar w:fldCharType="begin"/>
        </w:r>
        <w:r w:rsidR="001B30D0" w:rsidRPr="001B30D0">
          <w:rPr>
            <w:rStyle w:val="PagenumberChar"/>
          </w:rPr>
          <w:instrText xml:space="preserve"> PAGE   \* MERGEFORMAT </w:instrText>
        </w:r>
        <w:r w:rsidR="001B30D0" w:rsidRPr="001B30D0">
          <w:rPr>
            <w:rStyle w:val="PagenumberChar"/>
          </w:rPr>
          <w:fldChar w:fldCharType="separate"/>
        </w:r>
        <w:r w:rsidR="001B30D0" w:rsidRPr="001B30D0">
          <w:rPr>
            <w:rStyle w:val="PagenumberChar"/>
          </w:rPr>
          <w:t>116</w:t>
        </w:r>
        <w:r w:rsidR="001B30D0" w:rsidRPr="001B30D0">
          <w:rPr>
            <w:rStyle w:val="PagenumberChar"/>
          </w:rPr>
          <w:fldChar w:fldCharType="end"/>
        </w:r>
        <w:r w:rsidR="001B30D0" w:rsidRPr="005A3524">
          <w:rPr>
            <w:rFonts w:cs="Calibri Light"/>
            <w:caps/>
            <w:color w:val="58585B"/>
            <w:sz w:val="16"/>
            <w:szCs w:val="16"/>
          </w:rPr>
          <w:t xml:space="preserve"> </w:t>
        </w:r>
        <w:r w:rsidR="001B30D0">
          <w:rPr>
            <w:rFonts w:cs="Calibri Light"/>
            <w:caps/>
            <w:color w:val="58585B"/>
            <w:sz w:val="16"/>
            <w:szCs w:val="16"/>
          </w:rPr>
          <w:tab/>
          <w:t xml:space="preserve">                                            </w:t>
        </w:r>
        <w:r w:rsidR="001B30D0" w:rsidRPr="005A3524">
          <w:rPr>
            <w:rFonts w:cs="Calibri Light"/>
            <w:caps/>
            <w:color w:val="58585B"/>
            <w:sz w:val="16"/>
            <w:szCs w:val="16"/>
          </w:rPr>
          <w:t>annual report 202</w:t>
        </w:r>
        <w:r w:rsidR="00CB036D">
          <w:rPr>
            <w:rFonts w:cs="Calibri Light"/>
            <w:caps/>
            <w:color w:val="58585B"/>
            <w:sz w:val="16"/>
            <w:szCs w:val="16"/>
          </w:rPr>
          <w:t>2</w:t>
        </w:r>
        <w:r w:rsidR="001B30D0">
          <w:rPr>
            <w:rFonts w:cs="Calibri Light"/>
            <w:caps/>
            <w:color w:val="58585B"/>
            <w:sz w:val="16"/>
            <w:szCs w:val="16"/>
          </w:rPr>
          <w:t>–</w:t>
        </w:r>
        <w:r w:rsidR="001B30D0" w:rsidRPr="005A3524">
          <w:rPr>
            <w:rFonts w:cs="Calibri Light"/>
            <w:caps/>
            <w:color w:val="58585B"/>
            <w:sz w:val="16"/>
            <w:szCs w:val="16"/>
          </w:rPr>
          <w:t>2</w:t>
        </w:r>
        <w:r w:rsidR="00CB036D">
          <w:rPr>
            <w:rFonts w:cs="Calibri Light"/>
            <w:caps/>
            <w:color w:val="58585B"/>
            <w:sz w:val="16"/>
            <w:szCs w:val="16"/>
          </w:rPr>
          <w:t>3</w:t>
        </w:r>
        <w:r w:rsidR="001B30D0">
          <w:rPr>
            <w:rFonts w:cs="Calibri Light"/>
            <w:caps/>
            <w:color w:val="58585B"/>
            <w:sz w:val="16"/>
            <w:szCs w:val="16"/>
          </w:rPr>
          <w:t xml:space="preserve">    </w:t>
        </w:r>
        <w:r w:rsidR="001B30D0" w:rsidRPr="005A3524">
          <w:rPr>
            <w:rFonts w:cs="Calibri Light"/>
            <w:caps/>
            <w:color w:val="58585B"/>
            <w:sz w:val="16"/>
            <w:szCs w:val="16"/>
          </w:rPr>
          <w:t xml:space="preserve">    </w:t>
        </w:r>
        <w:r w:rsidR="001B30D0">
          <w:rPr>
            <w:rFonts w:cs="Calibri Light"/>
            <w:caps/>
            <w:color w:val="58585B"/>
            <w:sz w:val="16"/>
            <w:szCs w:val="16"/>
          </w:rPr>
          <w:t xml:space="preserve"> </w:t>
        </w:r>
        <w:r w:rsidR="001B30D0" w:rsidRPr="005A3524">
          <w:rPr>
            <w:rFonts w:cs="Calibri Light"/>
            <w:caps/>
            <w:color w:val="58585B"/>
            <w:sz w:val="16"/>
            <w:szCs w:val="16"/>
          </w:rPr>
          <w:t xml:space="preserve"> </w:t>
        </w:r>
        <w:r w:rsidR="001B30D0" w:rsidRPr="005A3524">
          <w:rPr>
            <w:rFonts w:ascii="Calibri" w:hAnsi="Calibri" w:cs="Calibri"/>
            <w:b/>
            <w:bCs/>
            <w:caps/>
            <w:color w:val="404041"/>
            <w:sz w:val="16"/>
            <w:szCs w:val="16"/>
          </w:rPr>
          <w:t>crime and corruption commission</w:t>
        </w:r>
      </w:sdtContent>
    </w:sdt>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2BBB" w14:textId="77777777" w:rsidR="001B30D0" w:rsidRPr="000F16E8" w:rsidRDefault="001B30D0">
    <w:pPr>
      <w:pStyle w:val="Footer"/>
      <w:jc w:val="right"/>
      <w:rPr>
        <w:color w:val="6F7378" w:themeColor="accent6" w:themeShade="80"/>
        <w:sz w:val="16"/>
        <w:szCs w:val="16"/>
      </w:rPr>
    </w:pPr>
  </w:p>
  <w:p w14:paraId="5C538FA1" w14:textId="0CBA0682" w:rsidR="001B30D0" w:rsidRPr="001B30D0" w:rsidRDefault="00086D38" w:rsidP="001B30D0">
    <w:pPr>
      <w:pStyle w:val="Footer"/>
      <w:spacing w:after="0"/>
      <w:rPr>
        <w:b/>
        <w:bCs/>
        <w:color w:val="414042" w:themeColor="text1"/>
        <w:sz w:val="26"/>
        <w:szCs w:val="26"/>
      </w:rPr>
    </w:pPr>
    <w:sdt>
      <w:sdtPr>
        <w:rPr>
          <w:b/>
          <w:bCs/>
          <w:color w:val="414042" w:themeColor="text1"/>
          <w:sz w:val="28"/>
          <w:szCs w:val="28"/>
        </w:rPr>
        <w:id w:val="1842969656"/>
        <w:docPartObj>
          <w:docPartGallery w:val="Page Numbers (Bottom of Page)"/>
          <w:docPartUnique/>
        </w:docPartObj>
      </w:sdtPr>
      <w:sdtEndPr>
        <w:rPr>
          <w:noProof/>
          <w:sz w:val="26"/>
          <w:szCs w:val="26"/>
        </w:rPr>
      </w:sdtEndPr>
      <w:sdtContent/>
    </w:sdt>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8D1D" w14:textId="20B85A71" w:rsidR="00A54980" w:rsidRPr="00CA7F44" w:rsidRDefault="00A54980" w:rsidP="00CA7F44">
    <w:pPr>
      <w:pStyle w:val="Footer"/>
      <w:spacing w:after="0"/>
      <w:rPr>
        <w:b/>
        <w:bCs/>
        <w:color w:val="414042" w:themeColor="text1"/>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0C50" w14:textId="77F8D3F4" w:rsidR="000442BE" w:rsidRPr="0006746C" w:rsidRDefault="00086D38" w:rsidP="002D5AE6">
    <w:pPr>
      <w:pStyle w:val="Footer"/>
      <w:spacing w:after="0"/>
      <w:rPr>
        <w:b/>
        <w:bCs/>
        <w:color w:val="414042" w:themeColor="text1"/>
        <w:sz w:val="26"/>
        <w:szCs w:val="26"/>
      </w:rPr>
    </w:pPr>
    <w:sdt>
      <w:sdtPr>
        <w:rPr>
          <w:b/>
          <w:bCs/>
          <w:color w:val="414042" w:themeColor="text1"/>
          <w:sz w:val="28"/>
          <w:szCs w:val="28"/>
        </w:rPr>
        <w:id w:val="-1738312011"/>
        <w:docPartObj>
          <w:docPartGallery w:val="Page Numbers (Bottom of Page)"/>
          <w:docPartUnique/>
        </w:docPartObj>
      </w:sdtPr>
      <w:sdtEndPr>
        <w:rPr>
          <w:noProof/>
          <w:sz w:val="26"/>
          <w:szCs w:val="26"/>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2</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annual report 202</w:t>
        </w:r>
        <w:r w:rsidR="007A7AD2">
          <w:rPr>
            <w:rFonts w:cs="Calibri Light"/>
            <w:caps/>
            <w:color w:val="58585B"/>
            <w:sz w:val="16"/>
            <w:szCs w:val="16"/>
          </w:rPr>
          <w:t>2</w:t>
        </w:r>
        <w:r w:rsidR="000442BE">
          <w:rPr>
            <w:rFonts w:cs="Calibri Light"/>
            <w:caps/>
            <w:color w:val="58585B"/>
            <w:sz w:val="16"/>
            <w:szCs w:val="16"/>
          </w:rPr>
          <w:t>–</w:t>
        </w:r>
        <w:r w:rsidR="000442BE" w:rsidRPr="005A3524">
          <w:rPr>
            <w:rFonts w:cs="Calibri Light"/>
            <w:caps/>
            <w:color w:val="58585B"/>
            <w:sz w:val="16"/>
            <w:szCs w:val="16"/>
          </w:rPr>
          <w:t>2</w:t>
        </w:r>
        <w:r w:rsidR="007A7AD2">
          <w:rPr>
            <w:rFonts w:cs="Calibri Light"/>
            <w:caps/>
            <w:color w:val="58585B"/>
            <w:sz w:val="16"/>
            <w:szCs w:val="16"/>
          </w:rPr>
          <w:t>3</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w:t>
        </w:r>
        <w:r w:rsidR="009846B4">
          <w:rPr>
            <w:rFonts w:ascii="Calibri" w:hAnsi="Calibri" w:cs="Calibri"/>
            <w:b/>
            <w:bCs/>
            <w:caps/>
            <w:color w:val="404041"/>
            <w:sz w:val="16"/>
            <w:szCs w:val="16"/>
          </w:rPr>
          <w:t>ION</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36EA" w14:textId="6F660CBE" w:rsidR="000442BE" w:rsidRPr="00862E3E" w:rsidRDefault="00086D38" w:rsidP="00862E3E">
    <w:pPr>
      <w:pStyle w:val="Footer"/>
      <w:spacing w:after="0"/>
      <w:jc w:val="right"/>
      <w:rPr>
        <w:b/>
        <w:bCs/>
        <w:color w:val="414042" w:themeColor="text1"/>
        <w:sz w:val="26"/>
        <w:szCs w:val="26"/>
      </w:rPr>
    </w:pPr>
    <w:sdt>
      <w:sdtPr>
        <w:rPr>
          <w:b/>
          <w:bCs/>
          <w:color w:val="414042" w:themeColor="text1"/>
          <w:sz w:val="28"/>
          <w:szCs w:val="28"/>
        </w:rPr>
        <w:id w:val="1466933286"/>
        <w:docPartObj>
          <w:docPartGallery w:val="Page Numbers (Bottom of Page)"/>
          <w:docPartUnique/>
        </w:docPartObj>
      </w:sdtPr>
      <w:sdtEndPr>
        <w:rPr>
          <w:noProof/>
          <w:sz w:val="26"/>
          <w:szCs w:val="26"/>
        </w:rPr>
      </w:sdtEndPr>
      <w:sdtContent>
        <w:r w:rsidR="00862E3E" w:rsidRPr="005A3524">
          <w:rPr>
            <w:rFonts w:cs="Calibri Light"/>
            <w:caps/>
            <w:color w:val="58585B"/>
            <w:sz w:val="16"/>
            <w:szCs w:val="16"/>
          </w:rPr>
          <w:t>annual report 202</w:t>
        </w:r>
        <w:r w:rsidR="00130B40">
          <w:rPr>
            <w:rFonts w:cs="Calibri Light"/>
            <w:caps/>
            <w:color w:val="58585B"/>
            <w:sz w:val="16"/>
            <w:szCs w:val="16"/>
          </w:rPr>
          <w:t>2</w:t>
        </w:r>
        <w:r w:rsidR="00A45810" w:rsidRPr="00A45810">
          <w:rPr>
            <w:rFonts w:cs="Calibri Light"/>
            <w:caps/>
            <w:color w:val="58585B"/>
            <w:sz w:val="16"/>
            <w:szCs w:val="16"/>
          </w:rPr>
          <w:t>–</w:t>
        </w:r>
        <w:r w:rsidR="00862E3E" w:rsidRPr="005A3524">
          <w:rPr>
            <w:rFonts w:cs="Calibri Light"/>
            <w:caps/>
            <w:color w:val="58585B"/>
            <w:sz w:val="16"/>
            <w:szCs w:val="16"/>
          </w:rPr>
          <w:t>2</w:t>
        </w:r>
        <w:r w:rsidR="00130B40">
          <w:rPr>
            <w:rFonts w:cs="Calibri Light"/>
            <w:caps/>
            <w:color w:val="58585B"/>
            <w:sz w:val="16"/>
            <w:szCs w:val="16"/>
          </w:rPr>
          <w:t>3</w:t>
        </w:r>
        <w:r w:rsidR="00862E3E" w:rsidRPr="005A3524">
          <w:rPr>
            <w:rFonts w:cs="Calibri Light"/>
            <w:caps/>
            <w:color w:val="58585B"/>
            <w:sz w:val="16"/>
            <w:szCs w:val="16"/>
          </w:rPr>
          <w:t xml:space="preserve"> </w:t>
        </w:r>
        <w:r w:rsidR="00862E3E">
          <w:rPr>
            <w:rFonts w:cs="Calibri Light"/>
            <w:caps/>
            <w:color w:val="58585B"/>
            <w:sz w:val="16"/>
            <w:szCs w:val="16"/>
          </w:rPr>
          <w:t xml:space="preserve">  </w:t>
        </w:r>
        <w:r w:rsidR="00862E3E" w:rsidRPr="005A3524">
          <w:rPr>
            <w:rFonts w:cs="Calibri Light"/>
            <w:caps/>
            <w:color w:val="58585B"/>
            <w:sz w:val="16"/>
            <w:szCs w:val="16"/>
          </w:rPr>
          <w:t xml:space="preserve">     </w:t>
        </w:r>
        <w:r w:rsidR="00862E3E">
          <w:rPr>
            <w:rFonts w:cs="Calibri Light"/>
            <w:caps/>
            <w:color w:val="58585B"/>
            <w:sz w:val="16"/>
            <w:szCs w:val="16"/>
          </w:rPr>
          <w:t xml:space="preserve"> </w:t>
        </w:r>
        <w:r w:rsidR="00862E3E" w:rsidRPr="005A3524">
          <w:rPr>
            <w:rFonts w:cs="Calibri Light"/>
            <w:caps/>
            <w:color w:val="58585B"/>
            <w:sz w:val="16"/>
            <w:szCs w:val="16"/>
          </w:rPr>
          <w:t xml:space="preserve">   </w:t>
        </w:r>
        <w:r w:rsidR="00862E3E" w:rsidRPr="005A3524">
          <w:rPr>
            <w:rFonts w:ascii="Calibri" w:hAnsi="Calibri" w:cs="Calibri"/>
            <w:b/>
            <w:bCs/>
            <w:caps/>
            <w:color w:val="404041"/>
            <w:sz w:val="16"/>
            <w:szCs w:val="16"/>
          </w:rPr>
          <w:t>crime and corruption commission</w:t>
        </w:r>
        <w:r w:rsidR="00862E3E">
          <w:rPr>
            <w:rFonts w:ascii="Calibri" w:hAnsi="Calibri" w:cs="Calibri"/>
            <w:b/>
            <w:bCs/>
            <w:caps/>
            <w:color w:val="404041"/>
            <w:sz w:val="16"/>
            <w:szCs w:val="16"/>
          </w:rPr>
          <w:t xml:space="preserve">                                                  </w:t>
        </w:r>
        <w:r w:rsidR="00862E3E" w:rsidRPr="00862E3E">
          <w:rPr>
            <w:rStyle w:val="PagenumberChar"/>
          </w:rPr>
          <w:fldChar w:fldCharType="begin"/>
        </w:r>
        <w:r w:rsidR="00862E3E" w:rsidRPr="00862E3E">
          <w:rPr>
            <w:rStyle w:val="PagenumberChar"/>
          </w:rPr>
          <w:instrText xml:space="preserve"> PAGE   \* MERGEFORMAT </w:instrText>
        </w:r>
        <w:r w:rsidR="00862E3E" w:rsidRPr="00862E3E">
          <w:rPr>
            <w:rStyle w:val="PagenumberChar"/>
          </w:rPr>
          <w:fldChar w:fldCharType="separate"/>
        </w:r>
        <w:r w:rsidR="00862E3E">
          <w:rPr>
            <w:rStyle w:val="PagenumberChar"/>
          </w:rPr>
          <w:t>5</w:t>
        </w:r>
        <w:r w:rsidR="00862E3E" w:rsidRPr="00862E3E">
          <w:rPr>
            <w:rStyle w:val="PagenumberCha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726" w14:textId="23D9B026" w:rsidR="000442BE" w:rsidRPr="006A0A5F" w:rsidRDefault="00086D38" w:rsidP="006A0A5F">
    <w:pPr>
      <w:pStyle w:val="Footer"/>
      <w:spacing w:after="0"/>
      <w:jc w:val="right"/>
      <w:rPr>
        <w:b/>
        <w:bCs/>
        <w:color w:val="414042" w:themeColor="text1"/>
        <w:sz w:val="26"/>
        <w:szCs w:val="26"/>
      </w:rPr>
    </w:pPr>
    <w:sdt>
      <w:sdtPr>
        <w:rPr>
          <w:b/>
          <w:bCs/>
          <w:color w:val="414042" w:themeColor="text1"/>
          <w:sz w:val="28"/>
          <w:szCs w:val="28"/>
        </w:rPr>
        <w:id w:val="1737432959"/>
        <w:docPartObj>
          <w:docPartGallery w:val="Page Numbers (Bottom of Page)"/>
          <w:docPartUnique/>
        </w:docPartObj>
      </w:sdtPr>
      <w:sdtEndPr>
        <w:rPr>
          <w:noProof/>
          <w:sz w:val="26"/>
          <w:szCs w:val="26"/>
        </w:rPr>
      </w:sdtEndPr>
      <w:sdtContent>
        <w:r w:rsidR="000442BE" w:rsidRPr="005A3524">
          <w:rPr>
            <w:rFonts w:cs="Calibri Light"/>
            <w:caps/>
            <w:color w:val="58585B"/>
            <w:sz w:val="16"/>
            <w:szCs w:val="16"/>
          </w:rPr>
          <w:t>annual report 202</w:t>
        </w:r>
        <w:r w:rsidR="00130B40">
          <w:rPr>
            <w:rFonts w:cs="Calibri Light"/>
            <w:caps/>
            <w:color w:val="58585B"/>
            <w:sz w:val="16"/>
            <w:szCs w:val="16"/>
          </w:rPr>
          <w:t>2</w:t>
        </w:r>
        <w:r w:rsidR="00756F36">
          <w:rPr>
            <w:rFonts w:cs="Calibri Light"/>
            <w:caps/>
            <w:color w:val="58585B"/>
            <w:sz w:val="16"/>
            <w:szCs w:val="16"/>
          </w:rPr>
          <w:t>–</w:t>
        </w:r>
        <w:r w:rsidR="000442BE" w:rsidRPr="005A3524">
          <w:rPr>
            <w:rFonts w:cs="Calibri Light"/>
            <w:caps/>
            <w:color w:val="58585B"/>
            <w:sz w:val="16"/>
            <w:szCs w:val="16"/>
          </w:rPr>
          <w:t>2</w:t>
        </w:r>
        <w:r w:rsidR="00130B40">
          <w:rPr>
            <w:rFonts w:cs="Calibri Light"/>
            <w:caps/>
            <w:color w:val="58585B"/>
            <w:sz w:val="16"/>
            <w:szCs w:val="16"/>
          </w:rPr>
          <w:t>3</w:t>
        </w:r>
        <w:r w:rsidR="000442BE" w:rsidRPr="005A3524">
          <w:rPr>
            <w:rFonts w:cs="Calibri Light"/>
            <w:caps/>
            <w:color w:val="58585B"/>
            <w:sz w:val="16"/>
            <w:szCs w:val="16"/>
          </w:rPr>
          <w:t xml:space="preserve"> </w:t>
        </w:r>
        <w:r w:rsidR="00862E3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r w:rsidR="000442BE" w:rsidRPr="00862E3E">
          <w:rPr>
            <w:rStyle w:val="PagenumberChar"/>
          </w:rPr>
          <w:fldChar w:fldCharType="begin"/>
        </w:r>
        <w:r w:rsidR="000442BE" w:rsidRPr="00862E3E">
          <w:rPr>
            <w:rStyle w:val="PagenumberChar"/>
          </w:rPr>
          <w:instrText xml:space="preserve"> PAGE   \* MERGEFORMAT </w:instrText>
        </w:r>
        <w:r w:rsidR="000442BE" w:rsidRPr="00862E3E">
          <w:rPr>
            <w:rStyle w:val="PagenumberChar"/>
          </w:rPr>
          <w:fldChar w:fldCharType="separate"/>
        </w:r>
        <w:r w:rsidR="000442BE" w:rsidRPr="00862E3E">
          <w:rPr>
            <w:rStyle w:val="PagenumberChar"/>
          </w:rPr>
          <w:t>7</w:t>
        </w:r>
        <w:r w:rsidR="000442BE" w:rsidRPr="00862E3E">
          <w:rPr>
            <w:rStyle w:val="PagenumberCha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1CB5" w14:textId="7D8ED956" w:rsidR="00C81986" w:rsidRPr="0006746C" w:rsidRDefault="00BB5386" w:rsidP="002D5AE6">
    <w:pPr>
      <w:pStyle w:val="Footer"/>
      <w:spacing w:after="0"/>
      <w:rPr>
        <w:b/>
        <w:bCs/>
        <w:color w:val="414042" w:themeColor="text1"/>
        <w:sz w:val="26"/>
        <w:szCs w:val="26"/>
      </w:rPr>
    </w:pPr>
    <w:r>
      <w:rPr>
        <w:noProof/>
      </w:rPr>
      <w:drawing>
        <wp:anchor distT="0" distB="0" distL="114300" distR="114300" simplePos="0" relativeHeight="251696640" behindDoc="1" locked="0" layoutInCell="1" allowOverlap="1" wp14:anchorId="519A2278" wp14:editId="78B21F23">
          <wp:simplePos x="0" y="0"/>
          <wp:positionH relativeFrom="page">
            <wp:posOffset>-2924</wp:posOffset>
          </wp:positionH>
          <wp:positionV relativeFrom="paragraph">
            <wp:posOffset>455827</wp:posOffset>
          </wp:positionV>
          <wp:extent cx="7558405" cy="10691495"/>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sdt>
      <w:sdtPr>
        <w:rPr>
          <w:b/>
          <w:bCs/>
          <w:color w:val="414042" w:themeColor="text1"/>
          <w:sz w:val="28"/>
          <w:szCs w:val="28"/>
        </w:rPr>
        <w:id w:val="-564489670"/>
        <w:docPartObj>
          <w:docPartGallery w:val="Page Numbers (Bottom of Page)"/>
          <w:docPartUnique/>
        </w:docPartObj>
      </w:sdtPr>
      <w:sdtEndPr>
        <w:rPr>
          <w:noProof/>
          <w:sz w:val="26"/>
          <w:szCs w:val="26"/>
        </w:rPr>
      </w:sdtEndPr>
      <w:sdtContent>
        <w:r w:rsidR="00C81986" w:rsidRPr="009846B4">
          <w:rPr>
            <w:rStyle w:val="PagenumberChar"/>
          </w:rPr>
          <w:fldChar w:fldCharType="begin"/>
        </w:r>
        <w:r w:rsidR="00C81986" w:rsidRPr="009846B4">
          <w:rPr>
            <w:rStyle w:val="PagenumberChar"/>
          </w:rPr>
          <w:instrText xml:space="preserve"> PAGE   \* MERGEFORMAT </w:instrText>
        </w:r>
        <w:r w:rsidR="00C81986" w:rsidRPr="009846B4">
          <w:rPr>
            <w:rStyle w:val="PagenumberChar"/>
          </w:rPr>
          <w:fldChar w:fldCharType="separate"/>
        </w:r>
        <w:r w:rsidR="00C81986" w:rsidRPr="009846B4">
          <w:rPr>
            <w:rStyle w:val="PagenumberChar"/>
          </w:rPr>
          <w:t>2</w:t>
        </w:r>
        <w:r w:rsidR="00C81986" w:rsidRPr="009846B4">
          <w:rPr>
            <w:rStyle w:val="PagenumberChar"/>
          </w:rPr>
          <w:fldChar w:fldCharType="end"/>
        </w:r>
        <w:r w:rsidR="00C81986" w:rsidRPr="005A3524">
          <w:rPr>
            <w:rFonts w:cs="Calibri Light"/>
            <w:caps/>
            <w:color w:val="58585B"/>
            <w:sz w:val="16"/>
            <w:szCs w:val="16"/>
          </w:rPr>
          <w:t xml:space="preserve"> </w:t>
        </w:r>
        <w:r w:rsidR="00C81986">
          <w:rPr>
            <w:rFonts w:cs="Calibri Light"/>
            <w:caps/>
            <w:color w:val="58585B"/>
            <w:sz w:val="16"/>
            <w:szCs w:val="16"/>
          </w:rPr>
          <w:tab/>
          <w:t xml:space="preserve">                                            </w:t>
        </w:r>
        <w:r w:rsidR="00C81986" w:rsidRPr="005A3524">
          <w:rPr>
            <w:rFonts w:cs="Calibri Light"/>
            <w:caps/>
            <w:color w:val="58585B"/>
            <w:sz w:val="16"/>
            <w:szCs w:val="16"/>
          </w:rPr>
          <w:t>annual report 202</w:t>
        </w:r>
        <w:r w:rsidR="00130B40">
          <w:rPr>
            <w:rFonts w:cs="Calibri Light"/>
            <w:caps/>
            <w:color w:val="58585B"/>
            <w:sz w:val="16"/>
            <w:szCs w:val="16"/>
          </w:rPr>
          <w:t>2</w:t>
        </w:r>
        <w:r w:rsidR="00C81986">
          <w:rPr>
            <w:rFonts w:cs="Calibri Light"/>
            <w:caps/>
            <w:color w:val="58585B"/>
            <w:sz w:val="16"/>
            <w:szCs w:val="16"/>
          </w:rPr>
          <w:t>–</w:t>
        </w:r>
        <w:r w:rsidR="00C81986" w:rsidRPr="005A3524">
          <w:rPr>
            <w:rFonts w:cs="Calibri Light"/>
            <w:caps/>
            <w:color w:val="58585B"/>
            <w:sz w:val="16"/>
            <w:szCs w:val="16"/>
          </w:rPr>
          <w:t>2</w:t>
        </w:r>
        <w:r w:rsidR="00130B40">
          <w:rPr>
            <w:rFonts w:cs="Calibri Light"/>
            <w:caps/>
            <w:color w:val="58585B"/>
            <w:sz w:val="16"/>
            <w:szCs w:val="16"/>
          </w:rPr>
          <w:t>3</w:t>
        </w:r>
        <w:r w:rsidR="00C81986">
          <w:rPr>
            <w:rFonts w:cs="Calibri Light"/>
            <w:caps/>
            <w:color w:val="58585B"/>
            <w:sz w:val="16"/>
            <w:szCs w:val="16"/>
          </w:rPr>
          <w:t xml:space="preserve">    </w:t>
        </w:r>
        <w:r w:rsidR="00C81986" w:rsidRPr="005A3524">
          <w:rPr>
            <w:rFonts w:cs="Calibri Light"/>
            <w:caps/>
            <w:color w:val="58585B"/>
            <w:sz w:val="16"/>
            <w:szCs w:val="16"/>
          </w:rPr>
          <w:t xml:space="preserve">    </w:t>
        </w:r>
        <w:r w:rsidR="00C81986">
          <w:rPr>
            <w:rFonts w:cs="Calibri Light"/>
            <w:caps/>
            <w:color w:val="58585B"/>
            <w:sz w:val="16"/>
            <w:szCs w:val="16"/>
          </w:rPr>
          <w:t xml:space="preserve"> </w:t>
        </w:r>
        <w:r w:rsidR="00C81986" w:rsidRPr="005A3524">
          <w:rPr>
            <w:rFonts w:cs="Calibri Light"/>
            <w:caps/>
            <w:color w:val="58585B"/>
            <w:sz w:val="16"/>
            <w:szCs w:val="16"/>
          </w:rPr>
          <w:t xml:space="preserve"> </w:t>
        </w:r>
        <w:r w:rsidR="00C81986" w:rsidRPr="005A3524">
          <w:rPr>
            <w:rFonts w:ascii="Calibri" w:hAnsi="Calibri" w:cs="Calibri"/>
            <w:b/>
            <w:bCs/>
            <w:caps/>
            <w:color w:val="404041"/>
            <w:sz w:val="16"/>
            <w:szCs w:val="16"/>
          </w:rPr>
          <w:t>crime and corruption commiss</w:t>
        </w:r>
        <w:r w:rsidR="00C81986">
          <w:rPr>
            <w:rFonts w:ascii="Calibri" w:hAnsi="Calibri" w:cs="Calibri"/>
            <w:b/>
            <w:bCs/>
            <w:caps/>
            <w:color w:val="404041"/>
            <w:sz w:val="16"/>
            <w:szCs w:val="16"/>
          </w:rPr>
          <w:t>ION</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C67D" w14:textId="1A705FB2" w:rsidR="007A3E39" w:rsidRPr="00AF2677" w:rsidRDefault="00086D38" w:rsidP="00AF2677">
    <w:pPr>
      <w:pStyle w:val="Footer"/>
      <w:spacing w:after="0"/>
      <w:rPr>
        <w:b/>
        <w:bCs/>
        <w:color w:val="414042" w:themeColor="text1"/>
        <w:sz w:val="26"/>
        <w:szCs w:val="26"/>
      </w:rPr>
    </w:pPr>
    <w:sdt>
      <w:sdtPr>
        <w:rPr>
          <w:b/>
          <w:bCs/>
          <w:color w:val="414042" w:themeColor="text1"/>
          <w:sz w:val="28"/>
          <w:szCs w:val="28"/>
        </w:rPr>
        <w:id w:val="-497875952"/>
        <w:docPartObj>
          <w:docPartGallery w:val="Page Numbers (Bottom of Page)"/>
          <w:docPartUnique/>
        </w:docPartObj>
      </w:sdtPr>
      <w:sdtEndPr>
        <w:rPr>
          <w:noProof/>
          <w:sz w:val="26"/>
          <w:szCs w:val="26"/>
        </w:rPr>
      </w:sdtEndPr>
      <w:sdtContent>
        <w:r w:rsidR="00AF2677" w:rsidRPr="009846B4">
          <w:rPr>
            <w:rStyle w:val="PagenumberChar"/>
          </w:rPr>
          <w:fldChar w:fldCharType="begin"/>
        </w:r>
        <w:r w:rsidR="00AF2677" w:rsidRPr="009846B4">
          <w:rPr>
            <w:rStyle w:val="PagenumberChar"/>
          </w:rPr>
          <w:instrText xml:space="preserve"> PAGE   \* MERGEFORMAT </w:instrText>
        </w:r>
        <w:r w:rsidR="00AF2677" w:rsidRPr="009846B4">
          <w:rPr>
            <w:rStyle w:val="PagenumberChar"/>
          </w:rPr>
          <w:fldChar w:fldCharType="separate"/>
        </w:r>
        <w:r w:rsidR="00AF2677">
          <w:rPr>
            <w:rStyle w:val="PagenumberChar"/>
          </w:rPr>
          <w:t>4</w:t>
        </w:r>
        <w:r w:rsidR="00AF2677" w:rsidRPr="009846B4">
          <w:rPr>
            <w:rStyle w:val="PagenumberChar"/>
          </w:rPr>
          <w:fldChar w:fldCharType="end"/>
        </w:r>
        <w:r w:rsidR="00AF2677" w:rsidRPr="005A3524">
          <w:rPr>
            <w:rFonts w:cs="Calibri Light"/>
            <w:caps/>
            <w:color w:val="58585B"/>
            <w:sz w:val="16"/>
            <w:szCs w:val="16"/>
          </w:rPr>
          <w:t xml:space="preserve"> </w:t>
        </w:r>
        <w:r w:rsidR="00AF2677">
          <w:rPr>
            <w:rFonts w:cs="Calibri Light"/>
            <w:caps/>
            <w:color w:val="58585B"/>
            <w:sz w:val="16"/>
            <w:szCs w:val="16"/>
          </w:rPr>
          <w:tab/>
          <w:t xml:space="preserve">                                            </w:t>
        </w:r>
        <w:r w:rsidR="00AF2677" w:rsidRPr="005A3524">
          <w:rPr>
            <w:rFonts w:cs="Calibri Light"/>
            <w:caps/>
            <w:color w:val="58585B"/>
            <w:sz w:val="16"/>
            <w:szCs w:val="16"/>
          </w:rPr>
          <w:t>annual report 202</w:t>
        </w:r>
        <w:r w:rsidR="00EA62AE">
          <w:rPr>
            <w:rFonts w:cs="Calibri Light"/>
            <w:caps/>
            <w:color w:val="58585B"/>
            <w:sz w:val="16"/>
            <w:szCs w:val="16"/>
          </w:rPr>
          <w:t>2</w:t>
        </w:r>
        <w:r w:rsidR="00AF2677">
          <w:rPr>
            <w:rFonts w:cs="Calibri Light"/>
            <w:caps/>
            <w:color w:val="58585B"/>
            <w:sz w:val="16"/>
            <w:szCs w:val="16"/>
          </w:rPr>
          <w:t>–</w:t>
        </w:r>
        <w:r w:rsidR="00AF2677" w:rsidRPr="005A3524">
          <w:rPr>
            <w:rFonts w:cs="Calibri Light"/>
            <w:caps/>
            <w:color w:val="58585B"/>
            <w:sz w:val="16"/>
            <w:szCs w:val="16"/>
          </w:rPr>
          <w:t>2</w:t>
        </w:r>
        <w:r w:rsidR="00EA62AE">
          <w:rPr>
            <w:rFonts w:cs="Calibri Light"/>
            <w:caps/>
            <w:color w:val="58585B"/>
            <w:sz w:val="16"/>
            <w:szCs w:val="16"/>
          </w:rPr>
          <w:t>3</w:t>
        </w:r>
        <w:r w:rsidR="00AF2677">
          <w:rPr>
            <w:rFonts w:cs="Calibri Light"/>
            <w:caps/>
            <w:color w:val="58585B"/>
            <w:sz w:val="16"/>
            <w:szCs w:val="16"/>
          </w:rPr>
          <w:t xml:space="preserve">    </w:t>
        </w:r>
        <w:r w:rsidR="00AF2677" w:rsidRPr="005A3524">
          <w:rPr>
            <w:rFonts w:cs="Calibri Light"/>
            <w:caps/>
            <w:color w:val="58585B"/>
            <w:sz w:val="16"/>
            <w:szCs w:val="16"/>
          </w:rPr>
          <w:t xml:space="preserve">    </w:t>
        </w:r>
        <w:r w:rsidR="00AF2677">
          <w:rPr>
            <w:rFonts w:cs="Calibri Light"/>
            <w:caps/>
            <w:color w:val="58585B"/>
            <w:sz w:val="16"/>
            <w:szCs w:val="16"/>
          </w:rPr>
          <w:t xml:space="preserve"> </w:t>
        </w:r>
        <w:r w:rsidR="00AF2677" w:rsidRPr="005A3524">
          <w:rPr>
            <w:rFonts w:cs="Calibri Light"/>
            <w:caps/>
            <w:color w:val="58585B"/>
            <w:sz w:val="16"/>
            <w:szCs w:val="16"/>
          </w:rPr>
          <w:t xml:space="preserve"> </w:t>
        </w:r>
        <w:r w:rsidR="00AF2677" w:rsidRPr="005A3524">
          <w:rPr>
            <w:rFonts w:ascii="Calibri" w:hAnsi="Calibri" w:cs="Calibri"/>
            <w:b/>
            <w:bCs/>
            <w:caps/>
            <w:color w:val="404041"/>
            <w:sz w:val="16"/>
            <w:szCs w:val="16"/>
          </w:rPr>
          <w:t>crime and corruption commiss</w:t>
        </w:r>
        <w:r w:rsidR="00AF2677">
          <w:rPr>
            <w:rFonts w:ascii="Calibri" w:hAnsi="Calibri" w:cs="Calibri"/>
            <w:b/>
            <w:bCs/>
            <w:caps/>
            <w:color w:val="404041"/>
            <w:sz w:val="16"/>
            <w:szCs w:val="16"/>
          </w:rPr>
          <w:t>ION</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B11F" w14:textId="2465C99B" w:rsidR="007A3E39" w:rsidRPr="00AF2677" w:rsidRDefault="00086D38" w:rsidP="00AF2677">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2019966614"/>
        <w:docPartObj>
          <w:docPartGallery w:val="Page Numbers (Bottom of Page)"/>
          <w:docPartUnique/>
        </w:docPartObj>
      </w:sdtPr>
      <w:sdtEndPr>
        <w:rPr>
          <w:noProof/>
          <w:sz w:val="26"/>
          <w:szCs w:val="26"/>
        </w:rPr>
      </w:sdtEndPr>
      <w:sdtContent>
        <w:r w:rsidR="00AF2677">
          <w:rPr>
            <w:rFonts w:ascii="Calibri Light" w:hAnsi="Calibri Light" w:cs="Calibri Light"/>
            <w:caps/>
            <w:color w:val="58585B"/>
            <w:sz w:val="16"/>
            <w:szCs w:val="16"/>
          </w:rPr>
          <w:t xml:space="preserve">                                                                                  </w:t>
        </w:r>
        <w:r w:rsidR="00AF2677" w:rsidRPr="005A3524">
          <w:rPr>
            <w:rFonts w:ascii="Calibri Light" w:hAnsi="Calibri Light" w:cs="Calibri Light"/>
            <w:caps/>
            <w:color w:val="58585B"/>
            <w:sz w:val="16"/>
            <w:szCs w:val="16"/>
          </w:rPr>
          <w:t>annual report 202</w:t>
        </w:r>
        <w:r w:rsidR="00AF2677">
          <w:rPr>
            <w:rFonts w:ascii="Calibri Light" w:hAnsi="Calibri Light" w:cs="Calibri Light"/>
            <w:caps/>
            <w:color w:val="58585B"/>
            <w:sz w:val="16"/>
            <w:szCs w:val="16"/>
          </w:rPr>
          <w:t>2–</w:t>
        </w:r>
        <w:r w:rsidR="00AF2677" w:rsidRPr="005A3524">
          <w:rPr>
            <w:rFonts w:ascii="Calibri Light" w:hAnsi="Calibri Light" w:cs="Calibri Light"/>
            <w:caps/>
            <w:color w:val="58585B"/>
            <w:sz w:val="16"/>
            <w:szCs w:val="16"/>
          </w:rPr>
          <w:t>2</w:t>
        </w:r>
        <w:r w:rsidR="00AF2677">
          <w:rPr>
            <w:rFonts w:ascii="Calibri Light" w:hAnsi="Calibri Light" w:cs="Calibri Light"/>
            <w:caps/>
            <w:color w:val="58585B"/>
            <w:sz w:val="16"/>
            <w:szCs w:val="16"/>
          </w:rPr>
          <w:t>3</w:t>
        </w:r>
        <w:r w:rsidR="00AF2677" w:rsidRPr="005A3524">
          <w:rPr>
            <w:rFonts w:ascii="Calibri Light" w:hAnsi="Calibri Light" w:cs="Calibri Light"/>
            <w:caps/>
            <w:color w:val="58585B"/>
            <w:sz w:val="16"/>
            <w:szCs w:val="16"/>
          </w:rPr>
          <w:t xml:space="preserve">         </w:t>
        </w:r>
        <w:r w:rsidR="00AF2677" w:rsidRPr="005A3524">
          <w:rPr>
            <w:rFonts w:ascii="Calibri" w:hAnsi="Calibri" w:cs="Calibri"/>
            <w:b/>
            <w:bCs/>
            <w:caps/>
            <w:color w:val="404041"/>
            <w:sz w:val="16"/>
            <w:szCs w:val="16"/>
          </w:rPr>
          <w:t>crime and corruption commission</w:t>
        </w:r>
        <w:r w:rsidR="00AF2677">
          <w:rPr>
            <w:rFonts w:ascii="Calibri" w:hAnsi="Calibri" w:cs="Calibri"/>
            <w:b/>
            <w:bCs/>
            <w:caps/>
            <w:color w:val="404041"/>
            <w:sz w:val="16"/>
            <w:szCs w:val="16"/>
          </w:rPr>
          <w:tab/>
        </w:r>
        <w:r w:rsidR="00AF2677">
          <w:rPr>
            <w:rFonts w:ascii="Calibri" w:hAnsi="Calibri" w:cs="Calibri"/>
            <w:b/>
            <w:bCs/>
            <w:caps/>
            <w:color w:val="404041"/>
            <w:sz w:val="16"/>
            <w:szCs w:val="16"/>
          </w:rPr>
          <w:tab/>
        </w:r>
        <w:r w:rsidR="00AF2677">
          <w:rPr>
            <w:rFonts w:ascii="Calibri" w:hAnsi="Calibri" w:cs="Calibri"/>
            <w:b/>
            <w:bCs/>
            <w:caps/>
            <w:color w:val="404041"/>
            <w:sz w:val="16"/>
            <w:szCs w:val="16"/>
          </w:rPr>
          <w:tab/>
        </w:r>
        <w:r w:rsidR="00AF2677" w:rsidRPr="00811C7B">
          <w:rPr>
            <w:rStyle w:val="PagenumberChar"/>
          </w:rPr>
          <w:fldChar w:fldCharType="begin"/>
        </w:r>
        <w:r w:rsidR="00AF2677" w:rsidRPr="00811C7B">
          <w:rPr>
            <w:rStyle w:val="PagenumberChar"/>
          </w:rPr>
          <w:instrText xml:space="preserve"> PAGE   \* MERGEFORMAT </w:instrText>
        </w:r>
        <w:r w:rsidR="00AF2677" w:rsidRPr="00811C7B">
          <w:rPr>
            <w:rStyle w:val="PagenumberChar"/>
          </w:rPr>
          <w:fldChar w:fldCharType="separate"/>
        </w:r>
        <w:r w:rsidR="00AF2677">
          <w:rPr>
            <w:rStyle w:val="PagenumberChar"/>
          </w:rPr>
          <w:t>9</w:t>
        </w:r>
        <w:r w:rsidR="00AF2677" w:rsidRPr="00811C7B">
          <w:rPr>
            <w:rStyle w:val="PagenumberCha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21D0" w14:textId="77777777" w:rsidR="00A212F6" w:rsidRDefault="00A212F6" w:rsidP="008F384A">
      <w:pPr>
        <w:spacing w:after="0"/>
      </w:pPr>
      <w:r>
        <w:separator/>
      </w:r>
    </w:p>
  </w:footnote>
  <w:footnote w:type="continuationSeparator" w:id="0">
    <w:p w14:paraId="17E83D5D" w14:textId="77777777" w:rsidR="00A212F6" w:rsidRDefault="00A212F6" w:rsidP="008F384A">
      <w:pPr>
        <w:spacing w:after="0"/>
      </w:pPr>
      <w:r>
        <w:continuationSeparator/>
      </w:r>
    </w:p>
  </w:footnote>
  <w:footnote w:id="1">
    <w:p w14:paraId="13EA9979" w14:textId="7A4D8EAF" w:rsidR="00DA23C2" w:rsidRPr="00713016" w:rsidRDefault="00DA23C2" w:rsidP="00DA23C2">
      <w:pPr>
        <w:pStyle w:val="Footnote"/>
        <w:numPr>
          <w:ilvl w:val="0"/>
          <w:numId w:val="0"/>
        </w:numPr>
        <w:ind w:left="357" w:hanging="357"/>
      </w:pPr>
      <w:r w:rsidRPr="00820EDD">
        <w:rPr>
          <w:rStyle w:val="FootnotestyleChar"/>
        </w:rPr>
        <w:footnoteRef/>
      </w:r>
      <w:r w:rsidRPr="00820EDD">
        <w:rPr>
          <w:rStyle w:val="FootnotestyleChar"/>
        </w:rPr>
        <w:t xml:space="preserve">  </w:t>
      </w:r>
      <w:r w:rsidRPr="00820EDD">
        <w:rPr>
          <w:rStyle w:val="FootnotestyleChar"/>
        </w:rPr>
        <w:tab/>
      </w:r>
      <w:r w:rsidRPr="00DA23C2">
        <w:rPr>
          <w:rStyle w:val="FootnotestyleChar"/>
        </w:rPr>
        <w:t xml:space="preserve">Under the </w:t>
      </w:r>
      <w:r w:rsidRPr="00DA23C2">
        <w:rPr>
          <w:rStyle w:val="FootnotestyleChar"/>
          <w:i/>
          <w:iCs/>
        </w:rPr>
        <w:t>Crime and Corruption Act 2001</w:t>
      </w:r>
      <w:r w:rsidRPr="00DA23C2">
        <w:rPr>
          <w:rStyle w:val="FootnotestyleChar"/>
        </w:rPr>
        <w:t xml:space="preserve">, our corruption function relates to ‘units of public administration’ as defined under section 20 of the Act. In this report, we also use the term ‘public sector agency/agencies’ to cover this broad and diverse jurisdiction, which includes Queensland State Government departments, public sector agencies and statutory bodies, the </w:t>
      </w:r>
      <w:r>
        <w:rPr>
          <w:rStyle w:val="FootnotestyleChar"/>
        </w:rPr>
        <w:t>QPS</w:t>
      </w:r>
      <w:r w:rsidRPr="00DA23C2">
        <w:rPr>
          <w:rStyle w:val="FootnotestyleChar"/>
        </w:rPr>
        <w:t>, local governments, government-owned corporations, universities, prisons, courts, tribunals and elected officials</w:t>
      </w:r>
      <w:r w:rsidRPr="00DA23C2">
        <w:rPr>
          <w:color w:val="auto"/>
        </w:rPr>
        <w:t>.</w:t>
      </w:r>
    </w:p>
  </w:footnote>
  <w:footnote w:id="2">
    <w:p w14:paraId="0857AE48" w14:textId="226FF1F7" w:rsidR="00B84422" w:rsidRPr="00B84422" w:rsidRDefault="00B84422" w:rsidP="000C6A20">
      <w:pPr>
        <w:pStyle w:val="FootnoteText"/>
        <w:ind w:left="567" w:hanging="567"/>
        <w:rPr>
          <w:lang w:val="en-GB"/>
        </w:rPr>
      </w:pPr>
      <w:r>
        <w:rPr>
          <w:rStyle w:val="FootnoteReference"/>
        </w:rPr>
        <w:footnoteRef/>
      </w:r>
      <w:r>
        <w:t xml:space="preserve"> </w:t>
      </w:r>
      <w:r w:rsidRPr="000C6A20">
        <w:rPr>
          <w:rStyle w:val="FootnotestyleChar"/>
        </w:rPr>
        <w:t xml:space="preserve">The CCC Strategic Plan 2022–26 is available at </w:t>
      </w:r>
      <w:hyperlink r:id="rId1" w:history="1">
        <w:r w:rsidRPr="000C6A20">
          <w:rPr>
            <w:rStyle w:val="FootnotestyleChar"/>
          </w:rPr>
          <w:t>www.ccc.qld.gov.au/publications/ccc-strategic-plan</w:t>
        </w:r>
      </w:hyperlink>
      <w:r w:rsidRPr="000C6A20">
        <w:rPr>
          <w:rStyle w:val="FootnotestyleChar"/>
        </w:rPr>
        <w:t>.</w:t>
      </w:r>
    </w:p>
  </w:footnote>
  <w:footnote w:id="3">
    <w:p w14:paraId="40F90366" w14:textId="5860A085" w:rsidR="000C6A20" w:rsidRPr="000C6A20" w:rsidRDefault="000C6A20">
      <w:pPr>
        <w:pStyle w:val="FootnoteText"/>
        <w:rPr>
          <w:lang w:val="en-GB"/>
        </w:rPr>
      </w:pPr>
      <w:r>
        <w:rPr>
          <w:rStyle w:val="FootnoteReference"/>
        </w:rPr>
        <w:footnoteRef/>
      </w:r>
      <w:r>
        <w:t xml:space="preserve"> </w:t>
      </w:r>
      <w:r w:rsidRPr="000C6A20">
        <w:rPr>
          <w:rStyle w:val="FootnotestyleChar"/>
        </w:rPr>
        <w:t xml:space="preserve">The ODPP reported a 54.7 per cent conviction rate after trial in 2021–22 (Source: </w:t>
      </w:r>
      <w:r w:rsidRPr="0038503E">
        <w:rPr>
          <w:rStyle w:val="FootnotestyleChar"/>
          <w:i/>
          <w:iCs/>
        </w:rPr>
        <w:t xml:space="preserve">Office </w:t>
      </w:r>
      <w:r w:rsidR="0038503E" w:rsidRPr="0038503E">
        <w:rPr>
          <w:rStyle w:val="FootnotestyleChar"/>
          <w:i/>
          <w:iCs/>
        </w:rPr>
        <w:t>of</w:t>
      </w:r>
      <w:r w:rsidRPr="0038503E">
        <w:rPr>
          <w:rStyle w:val="FootnotestyleChar"/>
          <w:i/>
          <w:iCs/>
        </w:rPr>
        <w:t xml:space="preserve"> </w:t>
      </w:r>
      <w:r w:rsidR="0038503E" w:rsidRPr="0038503E">
        <w:rPr>
          <w:rStyle w:val="FootnotestyleChar"/>
          <w:i/>
          <w:iCs/>
        </w:rPr>
        <w:t>t</w:t>
      </w:r>
      <w:r w:rsidRPr="0038503E">
        <w:rPr>
          <w:rStyle w:val="FootnotestyleChar"/>
          <w:i/>
          <w:iCs/>
        </w:rPr>
        <w:t xml:space="preserve">he Director </w:t>
      </w:r>
      <w:r w:rsidR="0038503E" w:rsidRPr="0038503E">
        <w:rPr>
          <w:rStyle w:val="FootnotestyleChar"/>
          <w:i/>
          <w:iCs/>
        </w:rPr>
        <w:t>o</w:t>
      </w:r>
      <w:r w:rsidRPr="0038503E">
        <w:rPr>
          <w:rStyle w:val="FootnotestyleChar"/>
          <w:i/>
          <w:iCs/>
        </w:rPr>
        <w:t xml:space="preserve">f Public Prosecutions Annual Report </w:t>
      </w:r>
      <w:r w:rsidR="0038503E">
        <w:rPr>
          <w:rStyle w:val="FootnotestyleChar"/>
          <w:i/>
          <w:iCs/>
        </w:rPr>
        <w:br/>
      </w:r>
      <w:r w:rsidRPr="0038503E">
        <w:rPr>
          <w:rStyle w:val="FootnotestyleChar"/>
          <w:i/>
          <w:iCs/>
        </w:rPr>
        <w:t>2021–22</w:t>
      </w:r>
      <w:r w:rsidRPr="000C6A20">
        <w:rPr>
          <w:rStyle w:val="FootnotestyleChar"/>
        </w:rPr>
        <w:t>, page 30).</w:t>
      </w:r>
    </w:p>
  </w:footnote>
  <w:footnote w:id="4">
    <w:p w14:paraId="66F671FD" w14:textId="5D945989" w:rsidR="00835A10" w:rsidRPr="00835A10" w:rsidRDefault="00835A10">
      <w:pPr>
        <w:pStyle w:val="FootnoteText"/>
        <w:rPr>
          <w:lang w:val="en-GB"/>
        </w:rPr>
      </w:pPr>
      <w:r>
        <w:rPr>
          <w:rStyle w:val="FootnoteReference"/>
        </w:rPr>
        <w:footnoteRef/>
      </w:r>
      <w:r>
        <w:t xml:space="preserve"> </w:t>
      </w:r>
      <w:r w:rsidRPr="00835A10">
        <w:rPr>
          <w:rStyle w:val="FootnotestyleChar"/>
        </w:rPr>
        <w:t>This includes CCC officers on five-year fixed-term contracts of employment.</w:t>
      </w:r>
    </w:p>
  </w:footnote>
  <w:footnote w:id="5">
    <w:p w14:paraId="25588B79" w14:textId="38035382" w:rsidR="0009256E" w:rsidRPr="0009256E" w:rsidRDefault="0009256E" w:rsidP="0043126C">
      <w:pPr>
        <w:pStyle w:val="FootnoteText"/>
        <w:ind w:left="113" w:hanging="113"/>
        <w:rPr>
          <w:sz w:val="16"/>
          <w:szCs w:val="16"/>
        </w:rPr>
      </w:pPr>
      <w:r w:rsidRPr="0009256E">
        <w:rPr>
          <w:rStyle w:val="FootnoteReference"/>
          <w:sz w:val="16"/>
          <w:szCs w:val="16"/>
        </w:rPr>
        <w:footnoteRef/>
      </w:r>
      <w:r w:rsidRPr="0009256E">
        <w:rPr>
          <w:sz w:val="16"/>
          <w:szCs w:val="16"/>
        </w:rPr>
        <w:t xml:space="preserve"> These recommendation will </w:t>
      </w:r>
      <w:r>
        <w:rPr>
          <w:sz w:val="16"/>
          <w:szCs w:val="16"/>
        </w:rPr>
        <w:t xml:space="preserve">only </w:t>
      </w:r>
      <w:r w:rsidRPr="0009256E">
        <w:rPr>
          <w:sz w:val="16"/>
          <w:szCs w:val="16"/>
        </w:rPr>
        <w:t>impact the CCC if the Queensland Government supports the establishment of an independent Police Integrity Unit to be housed within the CCC</w:t>
      </w:r>
      <w:r>
        <w:rPr>
          <w:sz w:val="16"/>
          <w:szCs w:val="16"/>
        </w:rPr>
        <w:t>,</w:t>
      </w:r>
      <w:r w:rsidRPr="0009256E">
        <w:rPr>
          <w:sz w:val="16"/>
          <w:szCs w:val="16"/>
        </w:rPr>
        <w:t xml:space="preserve"> as proposed through the following recommendations: </w:t>
      </w:r>
    </w:p>
    <w:p w14:paraId="531A7526" w14:textId="77777777" w:rsidR="0009256E" w:rsidRPr="0009256E" w:rsidRDefault="0009256E" w:rsidP="0009256E">
      <w:pPr>
        <w:pStyle w:val="ListParagraph"/>
        <w:numPr>
          <w:ilvl w:val="0"/>
          <w:numId w:val="66"/>
        </w:numPr>
        <w:rPr>
          <w:sz w:val="16"/>
          <w:szCs w:val="16"/>
        </w:rPr>
      </w:pPr>
      <w:r w:rsidRPr="0009256E">
        <w:rPr>
          <w:b/>
          <w:bCs/>
          <w:sz w:val="16"/>
          <w:szCs w:val="16"/>
        </w:rPr>
        <w:t>Recommendation 68:</w:t>
      </w:r>
      <w:r w:rsidRPr="0009256E">
        <w:rPr>
          <w:sz w:val="16"/>
          <w:szCs w:val="16"/>
        </w:rPr>
        <w:t xml:space="preserve"> Within 18 months, the Queensland Government establish the Police Integrity Unit as an independent and separate unit of the CCC to deal with all complaints in relation to police. The Police Integrity Unit must, at a minimum: • be led by a Senior Executive Officer who is a civilian • provide for whistleblower protections • include a victim advocate • include identified positions for First Nations staff in the intake and victim advocacy teams • include civilian investigators, and transition to a predominately civilianised model as soon as possible • implement an adequate complaints management system, including fit for purpose data collection and reporting, including providing for aggregate trends analysis • publicly report annually on activities and outcomes.</w:t>
      </w:r>
    </w:p>
    <w:p w14:paraId="3FF0F342" w14:textId="489C8361" w:rsidR="0009256E" w:rsidRPr="0009256E" w:rsidRDefault="0009256E" w:rsidP="0009256E">
      <w:pPr>
        <w:pStyle w:val="ListParagraph"/>
        <w:numPr>
          <w:ilvl w:val="0"/>
          <w:numId w:val="66"/>
        </w:numPr>
        <w:spacing w:before="240" w:after="60"/>
        <w:ind w:left="714" w:hanging="357"/>
        <w:rPr>
          <w:sz w:val="16"/>
          <w:szCs w:val="16"/>
        </w:rPr>
      </w:pPr>
      <w:r w:rsidRPr="0009256E">
        <w:rPr>
          <w:b/>
          <w:bCs/>
          <w:sz w:val="16"/>
          <w:szCs w:val="16"/>
          <w:lang w:eastAsia="en-AU"/>
        </w:rPr>
        <w:t>Recommendation 69</w:t>
      </w:r>
      <w:r w:rsidRPr="0009256E">
        <w:rPr>
          <w:b/>
          <w:bCs/>
          <w:sz w:val="16"/>
          <w:szCs w:val="16"/>
        </w:rPr>
        <w:t>:</w:t>
      </w:r>
      <w:r w:rsidRPr="0009256E">
        <w:rPr>
          <w:sz w:val="16"/>
          <w:szCs w:val="16"/>
        </w:rPr>
        <w:t xml:space="preserve"> </w:t>
      </w:r>
      <w:r w:rsidRPr="0009256E">
        <w:rPr>
          <w:sz w:val="16"/>
          <w:szCs w:val="16"/>
          <w:lang w:eastAsia="en-AU"/>
        </w:rPr>
        <w:t>Within three months of acceptance of Recommendation 67, the Queensland Government create and publish an</w:t>
      </w:r>
      <w:r w:rsidRPr="0009256E">
        <w:rPr>
          <w:sz w:val="16"/>
          <w:szCs w:val="16"/>
        </w:rPr>
        <w:t xml:space="preserve"> </w:t>
      </w:r>
      <w:r w:rsidRPr="0009256E">
        <w:rPr>
          <w:sz w:val="16"/>
          <w:szCs w:val="16"/>
          <w:lang w:eastAsia="en-AU"/>
        </w:rPr>
        <w:t>implementation plan which clearly identifies timeframes for key implementation activities, with a view to the Police</w:t>
      </w:r>
      <w:r w:rsidRPr="0009256E">
        <w:rPr>
          <w:sz w:val="16"/>
          <w:szCs w:val="16"/>
        </w:rPr>
        <w:t xml:space="preserve"> </w:t>
      </w:r>
      <w:r w:rsidRPr="0009256E">
        <w:rPr>
          <w:sz w:val="16"/>
          <w:szCs w:val="16"/>
          <w:lang w:eastAsia="en-AU"/>
        </w:rPr>
        <w:t>Integrity Unit being fully operational within 12 months of acceptance.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2CA6" w14:textId="7432F2A5" w:rsidR="005F42AC" w:rsidRDefault="00420125">
    <w:pPr>
      <w:pStyle w:val="Header"/>
    </w:pPr>
    <w:r>
      <w:rPr>
        <w:noProof/>
      </w:rPr>
      <w:drawing>
        <wp:anchor distT="0" distB="0" distL="114300" distR="114300" simplePos="0" relativeHeight="251562496" behindDoc="1" locked="0" layoutInCell="1" allowOverlap="1" wp14:anchorId="6007A16D" wp14:editId="60C5868D">
          <wp:simplePos x="0" y="0"/>
          <wp:positionH relativeFrom="page">
            <wp:posOffset>-4759</wp:posOffset>
          </wp:positionH>
          <wp:positionV relativeFrom="paragraph">
            <wp:posOffset>-450215</wp:posOffset>
          </wp:positionV>
          <wp:extent cx="7558765" cy="1069199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p w14:paraId="5916B64B" w14:textId="6D1CA69A" w:rsidR="005F42AC" w:rsidRDefault="005F42AC" w:rsidP="00AD6C5F">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8E51" w14:textId="7881B1BD" w:rsidR="000442BE" w:rsidRDefault="00BA4ED9" w:rsidP="002D5AE6">
    <w:pPr>
      <w:pStyle w:val="Header"/>
      <w:tabs>
        <w:tab w:val="clear" w:pos="4513"/>
        <w:tab w:val="clear" w:pos="9026"/>
        <w:tab w:val="left" w:pos="5292"/>
      </w:tabs>
    </w:pPr>
    <w:r>
      <w:rPr>
        <w:noProof/>
      </w:rPr>
      <mc:AlternateContent>
        <mc:Choice Requires="wps">
          <w:drawing>
            <wp:anchor distT="0" distB="0" distL="114300" distR="114300" simplePos="0" relativeHeight="251636224" behindDoc="0" locked="0" layoutInCell="0" allowOverlap="1" wp14:anchorId="6B38DB42" wp14:editId="35ACEBCD">
              <wp:simplePos x="0" y="0"/>
              <wp:positionH relativeFrom="page">
                <wp:align>center</wp:align>
              </wp:positionH>
              <wp:positionV relativeFrom="page">
                <wp:align>top</wp:align>
              </wp:positionV>
              <wp:extent cx="7772400" cy="463550"/>
              <wp:effectExtent l="0" t="0" r="0" b="12700"/>
              <wp:wrapNone/>
              <wp:docPr id="22" name="MSIPCM95564c67be612c26b402a835" descr="{&quot;HashCode&quot;:431350885,&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BBAAF" w14:textId="4F31912C" w:rsidR="00BA4ED9" w:rsidRPr="009B0939" w:rsidRDefault="003D6A1D" w:rsidP="003D6A1D">
                          <w:pPr>
                            <w:spacing w:after="0"/>
                            <w:jc w:val="center"/>
                            <w:rPr>
                              <w:rFonts w:ascii="Calibri" w:hAnsi="Calibri" w:cs="Calibri"/>
                              <w:color w:val="auto"/>
                              <w:sz w:val="24"/>
                            </w:rPr>
                          </w:pPr>
                          <w:r w:rsidRPr="00604D9B">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38DB42" id="_x0000_t202" coordsize="21600,21600" o:spt="202" path="m,l,21600r21600,l21600,xe">
              <v:stroke joinstyle="miter"/>
              <v:path gradientshapeok="t" o:connecttype="rect"/>
            </v:shapetype>
            <v:shape id="MSIPCM95564c67be612c26b402a835" o:spid="_x0000_s1044" type="#_x0000_t202" alt="{&quot;HashCode&quot;:431350885,&quot;Height&quot;:9999999.0,&quot;Width&quot;:9999999.0,&quot;Placement&quot;:&quot;Header&quot;,&quot;Index&quot;:&quot;OddAndEven&quot;,&quot;Section&quot;:6,&quot;Top&quot;:0.0,&quot;Left&quot;:0.0}" style="position:absolute;margin-left:0;margin-top:0;width:612pt;height:36.5pt;z-index:2516362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3CBBAAF" w14:textId="4F31912C" w:rsidR="00BA4ED9" w:rsidRPr="009B0939" w:rsidRDefault="003D6A1D" w:rsidP="003D6A1D">
                    <w:pPr>
                      <w:spacing w:after="0"/>
                      <w:jc w:val="center"/>
                      <w:rPr>
                        <w:rFonts w:ascii="Calibri" w:hAnsi="Calibri" w:cs="Calibri"/>
                        <w:color w:val="auto"/>
                        <w:sz w:val="24"/>
                      </w:rPr>
                    </w:pPr>
                    <w:r w:rsidRPr="00604D9B">
                      <w:rPr>
                        <w:rFonts w:ascii="Calibri" w:hAnsi="Calibri" w:cs="Calibri"/>
                        <w:color w:val="auto"/>
                        <w:sz w:val="24"/>
                      </w:rPr>
                      <w:t>OFFICIAL</w:t>
                    </w:r>
                  </w:p>
                </w:txbxContent>
              </v:textbox>
              <w10:wrap anchorx="page" anchory="page"/>
            </v:shape>
          </w:pict>
        </mc:Fallback>
      </mc:AlternateContent>
    </w:r>
    <w:r w:rsidR="00333242">
      <w:rPr>
        <w:noProof/>
      </w:rPr>
      <w:drawing>
        <wp:anchor distT="0" distB="0" distL="114300" distR="114300" simplePos="0" relativeHeight="251569664" behindDoc="1" locked="0" layoutInCell="1" allowOverlap="1" wp14:anchorId="2D3246D7" wp14:editId="21467D63">
          <wp:simplePos x="0" y="0"/>
          <wp:positionH relativeFrom="page">
            <wp:align>right</wp:align>
          </wp:positionH>
          <wp:positionV relativeFrom="paragraph">
            <wp:posOffset>-447896</wp:posOffset>
          </wp:positionV>
          <wp:extent cx="7558762" cy="10691992"/>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p w14:paraId="674594D6" w14:textId="77777777" w:rsidR="000442BE" w:rsidRDefault="000442BE"/>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3AF7" w14:textId="4009FFAA" w:rsidR="00775BC5" w:rsidRDefault="008F7730">
    <w:pPr>
      <w:pStyle w:val="Header"/>
    </w:pPr>
    <w:r>
      <w:rPr>
        <w:noProof/>
      </w:rPr>
      <mc:AlternateContent>
        <mc:Choice Requires="wps">
          <w:drawing>
            <wp:anchor distT="0" distB="0" distL="114300" distR="114300" simplePos="0" relativeHeight="251649536" behindDoc="0" locked="0" layoutInCell="0" allowOverlap="1" wp14:anchorId="451BBB51" wp14:editId="53EDECF0">
              <wp:simplePos x="0" y="0"/>
              <wp:positionH relativeFrom="page">
                <wp:posOffset>0</wp:posOffset>
              </wp:positionH>
              <wp:positionV relativeFrom="page">
                <wp:posOffset>0</wp:posOffset>
              </wp:positionV>
              <wp:extent cx="7772400" cy="463550"/>
              <wp:effectExtent l="0" t="0" r="0" b="12700"/>
              <wp:wrapNone/>
              <wp:docPr id="175662657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AAFC5"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1BBB51" id="_x0000_t202" coordsize="21600,21600" o:spt="202" path="m,l,21600r21600,l21600,xe">
              <v:stroke joinstyle="miter"/>
              <v:path gradientshapeok="t" o:connecttype="rect"/>
            </v:shapetype>
            <v:shape id="_x0000_s1059" type="#_x0000_t202" alt="{&quot;HashCode&quot;:431350885,&quot;Height&quot;:9999999.0,&quot;Width&quot;:9999999.0,&quot;Placement&quot;:&quot;Header&quot;,&quot;Index&quot;:&quot;Primary&quot;,&quot;Section&quot;:8,&quot;Top&quot;:0.0,&quot;Left&quot;:0.0}" style="position:absolute;margin-left:0;margin-top:0;width:612pt;height:36.5pt;z-index:2516495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textbox inset=",0,,0">
                <w:txbxContent>
                  <w:p w14:paraId="087AAFC5"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775BC5">
      <w:rPr>
        <w:noProof/>
      </w:rPr>
      <w:drawing>
        <wp:anchor distT="0" distB="0" distL="114300" distR="114300" simplePos="0" relativeHeight="251625984" behindDoc="1" locked="0" layoutInCell="1" allowOverlap="1" wp14:anchorId="4430605A" wp14:editId="0EED3B09">
          <wp:simplePos x="0" y="0"/>
          <wp:positionH relativeFrom="page">
            <wp:align>right</wp:align>
          </wp:positionH>
          <wp:positionV relativeFrom="paragraph">
            <wp:posOffset>-457200</wp:posOffset>
          </wp:positionV>
          <wp:extent cx="7558763" cy="10691993"/>
          <wp:effectExtent l="0" t="0" r="0" b="0"/>
          <wp:wrapNone/>
          <wp:docPr id="1756629466" name="Picture 17566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9D07" w14:textId="5AA1E6A3" w:rsidR="00DA3DA7" w:rsidRDefault="00DA3DA7">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32B4" w14:textId="4E5578D9" w:rsidR="00DA3DA7" w:rsidRDefault="00DA3DA7">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0645" w14:textId="4A9F054B" w:rsidR="00DA3DA7" w:rsidRDefault="00663467">
    <w:pPr>
      <w:pStyle w:val="Header"/>
    </w:pPr>
    <w:r>
      <w:rPr>
        <w:noProof/>
      </w:rPr>
      <w:drawing>
        <wp:anchor distT="0" distB="0" distL="114300" distR="114300" simplePos="0" relativeHeight="251721216" behindDoc="1" locked="0" layoutInCell="1" allowOverlap="1" wp14:anchorId="3BBE7A5F" wp14:editId="19BA344F">
          <wp:simplePos x="0" y="0"/>
          <wp:positionH relativeFrom="page">
            <wp:posOffset>-2924</wp:posOffset>
          </wp:positionH>
          <wp:positionV relativeFrom="paragraph">
            <wp:posOffset>-457200</wp:posOffset>
          </wp:positionV>
          <wp:extent cx="7558763" cy="10691993"/>
          <wp:effectExtent l="0" t="0" r="0" b="0"/>
          <wp:wrapNone/>
          <wp:docPr id="1756629467" name="Picture 175662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FEA6" w14:textId="519AD966" w:rsidR="00775BC5" w:rsidRDefault="008F7730">
    <w:pPr>
      <w:pStyle w:val="Header"/>
    </w:pPr>
    <w:r>
      <w:rPr>
        <w:noProof/>
      </w:rPr>
      <mc:AlternateContent>
        <mc:Choice Requires="wps">
          <w:drawing>
            <wp:anchor distT="0" distB="0" distL="114300" distR="114300" simplePos="0" relativeHeight="251650560" behindDoc="0" locked="0" layoutInCell="0" allowOverlap="1" wp14:anchorId="36671D70" wp14:editId="2CE113ED">
              <wp:simplePos x="0" y="0"/>
              <wp:positionH relativeFrom="page">
                <wp:posOffset>0</wp:posOffset>
              </wp:positionH>
              <wp:positionV relativeFrom="page">
                <wp:posOffset>0</wp:posOffset>
              </wp:positionV>
              <wp:extent cx="7772400" cy="463550"/>
              <wp:effectExtent l="0" t="0" r="0" b="12700"/>
              <wp:wrapNone/>
              <wp:docPr id="175662657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75600D"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671D70" id="_x0000_t202" coordsize="21600,21600" o:spt="202" path="m,l,21600r21600,l21600,xe">
              <v:stroke joinstyle="miter"/>
              <v:path gradientshapeok="t" o:connecttype="rect"/>
            </v:shapetype>
            <v:shape id="_x0000_s1060" type="#_x0000_t202" alt="{&quot;HashCode&quot;:431350885,&quot;Height&quot;:9999999.0,&quot;Width&quot;:9999999.0,&quot;Placement&quot;:&quot;Header&quot;,&quot;Index&quot;:&quot;Primary&quot;,&quot;Section&quot;:8,&quot;Top&quot;:0.0,&quot;Left&quot;:0.0}" style="position:absolute;margin-left:0;margin-top:0;width:612pt;height:36.5pt;z-index:251650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2575600D"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775BC5">
      <w:rPr>
        <w:noProof/>
      </w:rPr>
      <w:drawing>
        <wp:anchor distT="0" distB="0" distL="114300" distR="114300" simplePos="0" relativeHeight="251627008" behindDoc="1" locked="0" layoutInCell="1" allowOverlap="1" wp14:anchorId="4EAA51AD" wp14:editId="770C364E">
          <wp:simplePos x="0" y="0"/>
          <wp:positionH relativeFrom="page">
            <wp:align>right</wp:align>
          </wp:positionH>
          <wp:positionV relativeFrom="paragraph">
            <wp:posOffset>-457200</wp:posOffset>
          </wp:positionV>
          <wp:extent cx="7558764" cy="10691995"/>
          <wp:effectExtent l="0" t="0" r="4445" b="0"/>
          <wp:wrapNone/>
          <wp:docPr id="1756629468" name="Picture 175662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8A9" w14:textId="1019D8CE" w:rsidR="00DA3DA7" w:rsidRDefault="00DA3DA7">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444C" w14:textId="6E4DF193" w:rsidR="00DA3DA7" w:rsidRDefault="00DA3DA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D890" w14:textId="3F398C4A" w:rsidR="00DA3DA7" w:rsidRDefault="00663467">
    <w:pPr>
      <w:pStyle w:val="Header"/>
    </w:pPr>
    <w:r>
      <w:rPr>
        <w:noProof/>
      </w:rPr>
      <w:drawing>
        <wp:anchor distT="0" distB="0" distL="114300" distR="114300" simplePos="0" relativeHeight="251719168" behindDoc="1" locked="0" layoutInCell="1" allowOverlap="1" wp14:anchorId="2EBE66A1" wp14:editId="146EC719">
          <wp:simplePos x="0" y="0"/>
          <wp:positionH relativeFrom="page">
            <wp:posOffset>18341</wp:posOffset>
          </wp:positionH>
          <wp:positionV relativeFrom="paragraph">
            <wp:posOffset>-457200</wp:posOffset>
          </wp:positionV>
          <wp:extent cx="7558765" cy="10691997"/>
          <wp:effectExtent l="0" t="0" r="4445" b="0"/>
          <wp:wrapNone/>
          <wp:docPr id="1756629470" name="Picture 175662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C1A2" w14:textId="3C92FF03" w:rsidR="00DA3DA7" w:rsidRDefault="00DA3DA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A36E" w14:textId="12DDBFB6" w:rsidR="000A32C4" w:rsidRDefault="000A32C4">
    <w:pPr>
      <w:pStyle w:val="Header"/>
    </w:pPr>
    <w:r>
      <w:rPr>
        <w:noProof/>
      </w:rPr>
      <w:drawing>
        <wp:anchor distT="0" distB="0" distL="114300" distR="114300" simplePos="0" relativeHeight="251595264" behindDoc="1" locked="0" layoutInCell="1" allowOverlap="1" wp14:anchorId="33795FC9" wp14:editId="4FF6C3C0">
          <wp:simplePos x="0" y="0"/>
          <wp:positionH relativeFrom="page">
            <wp:align>right</wp:align>
          </wp:positionH>
          <wp:positionV relativeFrom="paragraph">
            <wp:posOffset>-457835</wp:posOffset>
          </wp:positionV>
          <wp:extent cx="7558763" cy="10691993"/>
          <wp:effectExtent l="0" t="0" r="0" b="0"/>
          <wp:wrapNone/>
          <wp:docPr id="1756629471" name="Picture 175662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p w14:paraId="3D1491E5" w14:textId="77777777" w:rsidR="000A32C4" w:rsidRDefault="000A32C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F37D" w14:textId="0E1BF0EB" w:rsidR="000442BE" w:rsidRDefault="003F1D80">
    <w:pPr>
      <w:pStyle w:val="Header"/>
    </w:pPr>
    <w:r>
      <w:rPr>
        <w:noProof/>
      </w:rPr>
      <w:drawing>
        <wp:anchor distT="0" distB="0" distL="114300" distR="114300" simplePos="0" relativeHeight="251563520" behindDoc="1" locked="0" layoutInCell="1" allowOverlap="1" wp14:anchorId="12283620" wp14:editId="60F631D9">
          <wp:simplePos x="0" y="0"/>
          <wp:positionH relativeFrom="page">
            <wp:align>right</wp:align>
          </wp:positionH>
          <wp:positionV relativeFrom="paragraph">
            <wp:posOffset>-448310</wp:posOffset>
          </wp:positionV>
          <wp:extent cx="7558764" cy="10691993"/>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1BB4" w14:textId="6010741E" w:rsidR="00DA3DA7" w:rsidRDefault="00DA3DA7">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E875" w14:textId="1DC7BE57" w:rsidR="00DA3DA7" w:rsidRDefault="00DA3DA7">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9365" w14:textId="26CF59E3" w:rsidR="000A32C4" w:rsidRDefault="008F7730">
    <w:pPr>
      <w:pStyle w:val="Header"/>
    </w:pPr>
    <w:r>
      <w:rPr>
        <w:noProof/>
      </w:rPr>
      <mc:AlternateContent>
        <mc:Choice Requires="wps">
          <w:drawing>
            <wp:anchor distT="0" distB="0" distL="114300" distR="114300" simplePos="0" relativeHeight="251651584" behindDoc="0" locked="0" layoutInCell="0" allowOverlap="1" wp14:anchorId="61D9499F" wp14:editId="67EA4987">
              <wp:simplePos x="0" y="0"/>
              <wp:positionH relativeFrom="page">
                <wp:posOffset>31531</wp:posOffset>
              </wp:positionH>
              <wp:positionV relativeFrom="page">
                <wp:posOffset>31531</wp:posOffset>
              </wp:positionV>
              <wp:extent cx="7772400" cy="463550"/>
              <wp:effectExtent l="0" t="0" r="0" b="12700"/>
              <wp:wrapNone/>
              <wp:docPr id="1756626574"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4B82E2"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D9499F" id="_x0000_t202" coordsize="21600,21600" o:spt="202" path="m,l,21600r21600,l21600,xe">
              <v:stroke joinstyle="miter"/>
              <v:path gradientshapeok="t" o:connecttype="rect"/>
            </v:shapetype>
            <v:shape id="_x0000_s1061" type="#_x0000_t202" alt="{&quot;HashCode&quot;:431350885,&quot;Height&quot;:9999999.0,&quot;Width&quot;:9999999.0,&quot;Placement&quot;:&quot;Header&quot;,&quot;Index&quot;:&quot;Primary&quot;,&quot;Section&quot;:8,&quot;Top&quot;:0.0,&quot;Left&quot;:0.0}" style="position:absolute;margin-left:2.5pt;margin-top:2.5pt;width:612pt;height:36.5pt;z-index:2516515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wh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" o:allowincell="f" filled="f" stroked="f" strokeweight=".5pt">
              <v:textbox inset=",0,,0">
                <w:txbxContent>
                  <w:p w14:paraId="704B82E2"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AE35D2">
      <w:rPr>
        <w:noProof/>
      </w:rPr>
      <w:drawing>
        <wp:anchor distT="0" distB="0" distL="114300" distR="114300" simplePos="0" relativeHeight="251633152" behindDoc="1" locked="0" layoutInCell="1" allowOverlap="1" wp14:anchorId="2D3C0799" wp14:editId="6DB5C362">
          <wp:simplePos x="0" y="0"/>
          <wp:positionH relativeFrom="page">
            <wp:posOffset>29055</wp:posOffset>
          </wp:positionH>
          <wp:positionV relativeFrom="paragraph">
            <wp:posOffset>-432769</wp:posOffset>
          </wp:positionV>
          <wp:extent cx="7558763" cy="10691993"/>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F227" w14:textId="7BB82A4F" w:rsidR="000A32C4" w:rsidRDefault="000A32C4">
    <w:pPr>
      <w:pStyle w:val="Header"/>
    </w:pPr>
    <w:r>
      <w:rPr>
        <w:noProof/>
      </w:rPr>
      <w:drawing>
        <wp:anchor distT="0" distB="0" distL="114300" distR="114300" simplePos="0" relativeHeight="251596288" behindDoc="1" locked="0" layoutInCell="1" allowOverlap="1" wp14:anchorId="612D6C1D" wp14:editId="48F0A807">
          <wp:simplePos x="0" y="0"/>
          <wp:positionH relativeFrom="page">
            <wp:align>left</wp:align>
          </wp:positionH>
          <wp:positionV relativeFrom="paragraph">
            <wp:posOffset>-457200</wp:posOffset>
          </wp:positionV>
          <wp:extent cx="7558764" cy="10691995"/>
          <wp:effectExtent l="0" t="0" r="4445"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D4C8" w14:textId="72439C48" w:rsidR="00DA3DA7" w:rsidRDefault="00DA3DA7">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245E" w14:textId="1385C864" w:rsidR="00DA3DA7" w:rsidRDefault="00663467">
    <w:pPr>
      <w:pStyle w:val="Header"/>
    </w:pPr>
    <w:r>
      <w:rPr>
        <w:noProof/>
      </w:rPr>
      <w:drawing>
        <wp:anchor distT="0" distB="0" distL="114300" distR="114300" simplePos="0" relativeHeight="251722240" behindDoc="1" locked="0" layoutInCell="1" allowOverlap="1" wp14:anchorId="1027597A" wp14:editId="0764D7D9">
          <wp:simplePos x="0" y="0"/>
          <wp:positionH relativeFrom="page">
            <wp:posOffset>7709</wp:posOffset>
          </wp:positionH>
          <wp:positionV relativeFrom="paragraph">
            <wp:posOffset>-446568</wp:posOffset>
          </wp:positionV>
          <wp:extent cx="7558763" cy="10691993"/>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17B1" w14:textId="0E655389" w:rsidR="00DA3DA7" w:rsidRDefault="00DA3DA7">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2AB1" w14:textId="633C1886" w:rsidR="00DA3DA7" w:rsidRDefault="00DA3DA7">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BB9C" w14:textId="703DFFD8" w:rsidR="009F0652" w:rsidRDefault="008B2D3B">
    <w:pPr>
      <w:pStyle w:val="Header"/>
    </w:pPr>
    <w:r>
      <w:rPr>
        <w:noProof/>
      </w:rPr>
      <mc:AlternateContent>
        <mc:Choice Requires="wps">
          <w:drawing>
            <wp:anchor distT="0" distB="0" distL="114300" distR="114300" simplePos="0" relativeHeight="251687424" behindDoc="0" locked="0" layoutInCell="0" allowOverlap="1" wp14:anchorId="29FD6B48" wp14:editId="7A096E76">
              <wp:simplePos x="0" y="0"/>
              <wp:positionH relativeFrom="page">
                <wp:posOffset>0</wp:posOffset>
              </wp:positionH>
              <wp:positionV relativeFrom="page">
                <wp:posOffset>0</wp:posOffset>
              </wp:positionV>
              <wp:extent cx="7772400" cy="463550"/>
              <wp:effectExtent l="0" t="0" r="0" b="12700"/>
              <wp:wrapNone/>
              <wp:docPr id="56"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665A47"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FD6B48" id="_x0000_t202" coordsize="21600,21600" o:spt="202" path="m,l,21600r21600,l21600,xe">
              <v:stroke joinstyle="miter"/>
              <v:path gradientshapeok="t" o:connecttype="rect"/>
            </v:shapetype>
            <v:shape id="_x0000_s1062" type="#_x0000_t202" alt="{&quot;HashCode&quot;:431350885,&quot;Height&quot;:9999999.0,&quot;Width&quot;:9999999.0,&quot;Placement&quot;:&quot;Header&quot;,&quot;Index&quot;:&quot;Primary&quot;,&quot;Section&quot;:8,&quot;Top&quot;:0.0,&quot;Left&quot;:0.0}" style="position:absolute;margin-left:0;margin-top:0;width:612pt;height:36.5pt;z-index:2516874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C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O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Ah8JsZAgAALgQAAA4AAAAAAAAAAAAAAAAALgIAAGRycy9lMm9Eb2MueG1sUEsBAi0AFAAGAAgA&#10;AAAhAL4fCrfaAAAABQEAAA8AAAAAAAAAAAAAAAAAcwQAAGRycy9kb3ducmV2LnhtbFBLBQYAAAAA&#10;BAAEAPMAAAB6BQAAAAA=&#10;" o:allowincell="f" filled="f" stroked="f" strokeweight=".5pt">
              <v:textbox inset=",0,,0">
                <w:txbxContent>
                  <w:p w14:paraId="57665A47"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4B3CC1">
      <w:rPr>
        <w:noProof/>
      </w:rPr>
      <w:drawing>
        <wp:anchor distT="0" distB="0" distL="114300" distR="114300" simplePos="0" relativeHeight="251568640" behindDoc="1" locked="0" layoutInCell="1" allowOverlap="1" wp14:anchorId="1B94480F" wp14:editId="40A6CCBD">
          <wp:simplePos x="0" y="0"/>
          <wp:positionH relativeFrom="page">
            <wp:align>right</wp:align>
          </wp:positionH>
          <wp:positionV relativeFrom="paragraph">
            <wp:posOffset>-457200</wp:posOffset>
          </wp:positionV>
          <wp:extent cx="7558763" cy="10691993"/>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4F27" w14:textId="08DEDD21" w:rsidR="009F0652" w:rsidRDefault="00B257EE">
    <w:pPr>
      <w:pStyle w:val="Header"/>
    </w:pPr>
    <w:r>
      <w:rPr>
        <w:noProof/>
      </w:rPr>
      <w:drawing>
        <wp:anchor distT="0" distB="0" distL="114300" distR="114300" simplePos="0" relativeHeight="251567616" behindDoc="1" locked="0" layoutInCell="1" allowOverlap="1" wp14:anchorId="3D969246" wp14:editId="68D5EED6">
          <wp:simplePos x="0" y="0"/>
          <wp:positionH relativeFrom="page">
            <wp:align>right</wp:align>
          </wp:positionH>
          <wp:positionV relativeFrom="paragraph">
            <wp:posOffset>-457200</wp:posOffset>
          </wp:positionV>
          <wp:extent cx="7558764" cy="10691995"/>
          <wp:effectExtent l="0" t="0" r="4445"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46AA" w14:textId="3582DDBF" w:rsidR="000442BE" w:rsidRDefault="006E0CFE">
    <w:pPr>
      <w:pStyle w:val="Header"/>
    </w:pPr>
    <w:r>
      <w:rPr>
        <w:noProof/>
      </w:rPr>
      <mc:AlternateContent>
        <mc:Choice Requires="wps">
          <w:drawing>
            <wp:anchor distT="0" distB="0" distL="114300" distR="114300" simplePos="0" relativeHeight="251575808" behindDoc="0" locked="0" layoutInCell="0" allowOverlap="1" wp14:anchorId="40A6BC6C" wp14:editId="31C5DD82">
              <wp:simplePos x="0" y="190500"/>
              <wp:positionH relativeFrom="page">
                <wp:align>center</wp:align>
              </wp:positionH>
              <wp:positionV relativeFrom="page">
                <wp:align>top</wp:align>
              </wp:positionV>
              <wp:extent cx="7772400" cy="463550"/>
              <wp:effectExtent l="0" t="0" r="0" b="12700"/>
              <wp:wrapNone/>
              <wp:docPr id="2943" name="MSIPCMe01b437eb6f57e2261295d06" descr="{&quot;HashCode&quot;:431350885,&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3534BF" w14:textId="0DB94493"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A6BC6C" id="_x0000_t202" coordsize="21600,21600" o:spt="202" path="m,l,21600r21600,l21600,xe">
              <v:stroke joinstyle="miter"/>
              <v:path gradientshapeok="t" o:connecttype="rect"/>
            </v:shapetype>
            <v:shape id="MSIPCMe01b437eb6f57e2261295d06" o:spid="_x0000_s1045" type="#_x0000_t202" alt="{&quot;HashCode&quot;:431350885,&quot;Height&quot;:9999999.0,&quot;Width&quot;:9999999.0,&quot;Placement&quot;:&quot;Header&quot;,&quot;Index&quot;:&quot;FirstPage&quot;,&quot;Section&quot;:6,&quot;Top&quot;:0.0,&quot;Left&quot;:0.0}" style="position:absolute;margin-left:0;margin-top:0;width:612pt;height:36.5pt;z-index:2515758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C3534BF" w14:textId="0DB94493"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v:textbox>
              <w10:wrap anchorx="page" anchory="page"/>
            </v:shape>
          </w:pict>
        </mc:Fallback>
      </mc:AlternateContent>
    </w:r>
    <w:r w:rsidR="000442BE">
      <w:rPr>
        <w:noProof/>
      </w:rPr>
      <w:drawing>
        <wp:anchor distT="0" distB="0" distL="114300" distR="114300" simplePos="0" relativeHeight="251555328" behindDoc="1" locked="0" layoutInCell="1" allowOverlap="1" wp14:anchorId="5A6F9DB5" wp14:editId="43EF1C4B">
          <wp:simplePos x="0" y="0"/>
          <wp:positionH relativeFrom="page">
            <wp:align>left</wp:align>
          </wp:positionH>
          <wp:positionV relativeFrom="paragraph">
            <wp:posOffset>-448310</wp:posOffset>
          </wp:positionV>
          <wp:extent cx="7558767" cy="10691999"/>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554304" behindDoc="1" locked="0" layoutInCell="1" allowOverlap="1" wp14:anchorId="755AD9AB" wp14:editId="395D76E6">
          <wp:simplePos x="0" y="0"/>
          <wp:positionH relativeFrom="column">
            <wp:posOffset>6985635</wp:posOffset>
          </wp:positionH>
          <wp:positionV relativeFrom="paragraph">
            <wp:posOffset>-450215</wp:posOffset>
          </wp:positionV>
          <wp:extent cx="7558405" cy="10691495"/>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DC77" w14:textId="604272E1" w:rsidR="00DA3DA7" w:rsidRDefault="00DA3DA7">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14BA" w14:textId="72387C41" w:rsidR="00DA23C2" w:rsidRDefault="00663467">
    <w:pPr>
      <w:pStyle w:val="Header"/>
    </w:pPr>
    <w:r>
      <w:rPr>
        <w:noProof/>
      </w:rPr>
      <w:drawing>
        <wp:anchor distT="0" distB="0" distL="114300" distR="114300" simplePos="0" relativeHeight="251723264" behindDoc="1" locked="0" layoutInCell="1" allowOverlap="1" wp14:anchorId="0912AA76" wp14:editId="0C41A32C">
          <wp:simplePos x="0" y="0"/>
          <wp:positionH relativeFrom="page">
            <wp:posOffset>-2924</wp:posOffset>
          </wp:positionH>
          <wp:positionV relativeFrom="paragraph">
            <wp:posOffset>-457200</wp:posOffset>
          </wp:positionV>
          <wp:extent cx="7558763" cy="10691993"/>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p w14:paraId="5F4DF7DD" w14:textId="77777777" w:rsidR="00DA23C2" w:rsidRDefault="00DA23C2"/>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E8F3" w14:textId="37BD9C73" w:rsidR="00DA3DA7" w:rsidRDefault="00DA3DA7">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2C0B" w14:textId="5E54EBEB" w:rsidR="00DA3DA7" w:rsidRDefault="00DA3DA7">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6D67" w14:textId="106F59BF" w:rsidR="00DA23C2" w:rsidRDefault="00DA23C2">
    <w:pPr>
      <w:pStyle w:val="Header"/>
    </w:pPr>
    <w:r>
      <w:rPr>
        <w:noProof/>
      </w:rPr>
      <w:drawing>
        <wp:anchor distT="0" distB="0" distL="114300" distR="114300" simplePos="0" relativeHeight="251582976" behindDoc="1" locked="0" layoutInCell="1" allowOverlap="1" wp14:anchorId="06E44206" wp14:editId="7DC5924E">
          <wp:simplePos x="0" y="0"/>
          <wp:positionH relativeFrom="page">
            <wp:posOffset>0</wp:posOffset>
          </wp:positionH>
          <wp:positionV relativeFrom="paragraph">
            <wp:posOffset>-443551</wp:posOffset>
          </wp:positionV>
          <wp:extent cx="7558767" cy="10691997"/>
          <wp:effectExtent l="0" t="0" r="4445"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2F44" w14:textId="1AD2A9F7" w:rsidR="00DA23C2" w:rsidRDefault="008F7730">
    <w:pPr>
      <w:pStyle w:val="Header"/>
    </w:pPr>
    <w:r>
      <w:rPr>
        <w:noProof/>
      </w:rPr>
      <mc:AlternateContent>
        <mc:Choice Requires="wps">
          <w:drawing>
            <wp:anchor distT="0" distB="0" distL="114300" distR="114300" simplePos="0" relativeHeight="251652608" behindDoc="0" locked="0" layoutInCell="0" allowOverlap="1" wp14:anchorId="03111E7E" wp14:editId="42CB751B">
              <wp:simplePos x="0" y="0"/>
              <wp:positionH relativeFrom="page">
                <wp:posOffset>0</wp:posOffset>
              </wp:positionH>
              <wp:positionV relativeFrom="page">
                <wp:posOffset>0</wp:posOffset>
              </wp:positionV>
              <wp:extent cx="7772400" cy="463550"/>
              <wp:effectExtent l="0" t="0" r="0" b="12700"/>
              <wp:wrapNone/>
              <wp:docPr id="2983"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1E53D9"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111E7E" id="_x0000_t202" coordsize="21600,21600" o:spt="202" path="m,l,21600r21600,l21600,xe">
              <v:stroke joinstyle="miter"/>
              <v:path gradientshapeok="t" o:connecttype="rect"/>
            </v:shapetype>
            <v:shape id="_x0000_s1063" type="#_x0000_t202" alt="{&quot;HashCode&quot;:431350885,&quot;Height&quot;:9999999.0,&quot;Width&quot;:9999999.0,&quot;Placement&quot;:&quot;Header&quot;,&quot;Index&quot;:&quot;Primary&quot;,&quot;Section&quot;:8,&quot;Top&quot;:0.0,&quot;Left&quot;:0.0}" style="position:absolute;margin-left:0;margin-top:0;width:612pt;height:36.5pt;z-index:251652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vy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Prk6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t1kvyGgIAAC4EAAAOAAAAAAAAAAAAAAAAAC4CAABkcnMvZTJvRG9jLnhtbFBLAQItABQABgAI&#10;AAAAIQC+Hwq32gAAAAUBAAAPAAAAAAAAAAAAAAAAAHQEAABkcnMvZG93bnJldi54bWxQSwUGAAAA&#10;AAQABADzAAAAewUAAAAA&#10;" o:allowincell="f" filled="f" stroked="f" strokeweight=".5pt">
              <v:textbox inset=",0,,0">
                <w:txbxContent>
                  <w:p w14:paraId="031E53D9"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A23C2">
      <w:rPr>
        <w:noProof/>
      </w:rPr>
      <w:drawing>
        <wp:anchor distT="0" distB="0" distL="114300" distR="114300" simplePos="0" relativeHeight="251584000" behindDoc="1" locked="0" layoutInCell="1" allowOverlap="1" wp14:anchorId="1F8AA809" wp14:editId="255D11C0">
          <wp:simplePos x="0" y="0"/>
          <wp:positionH relativeFrom="page">
            <wp:align>right</wp:align>
          </wp:positionH>
          <wp:positionV relativeFrom="paragraph">
            <wp:posOffset>-457200</wp:posOffset>
          </wp:positionV>
          <wp:extent cx="7558764" cy="10691995"/>
          <wp:effectExtent l="0" t="0" r="4445"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8A0C" w14:textId="0027C2F8" w:rsidR="00DA3DA7" w:rsidRDefault="00DA3DA7">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3FB8" w14:textId="0BE6468E" w:rsidR="00DA23C2" w:rsidRDefault="008F7730">
    <w:pPr>
      <w:pStyle w:val="Header"/>
    </w:pPr>
    <w:r>
      <w:rPr>
        <w:noProof/>
      </w:rPr>
      <mc:AlternateContent>
        <mc:Choice Requires="wps">
          <w:drawing>
            <wp:anchor distT="0" distB="0" distL="114300" distR="114300" simplePos="0" relativeHeight="251653632" behindDoc="0" locked="0" layoutInCell="0" allowOverlap="1" wp14:anchorId="126341F9" wp14:editId="04E6958C">
              <wp:simplePos x="0" y="0"/>
              <wp:positionH relativeFrom="page">
                <wp:posOffset>0</wp:posOffset>
              </wp:positionH>
              <wp:positionV relativeFrom="page">
                <wp:posOffset>0</wp:posOffset>
              </wp:positionV>
              <wp:extent cx="7772400" cy="463550"/>
              <wp:effectExtent l="0" t="0" r="0" b="12700"/>
              <wp:wrapNone/>
              <wp:docPr id="2993"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F903A"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6341F9" id="_x0000_t202" coordsize="21600,21600" o:spt="202" path="m,l,21600r21600,l21600,xe">
              <v:stroke joinstyle="miter"/>
              <v:path gradientshapeok="t" o:connecttype="rect"/>
            </v:shapetype>
            <v:shape id="_x0000_s1064" type="#_x0000_t202" alt="{&quot;HashCode&quot;:431350885,&quot;Height&quot;:9999999.0,&quot;Width&quot;:9999999.0,&quot;Placement&quot;:&quot;Header&quot;,&quot;Index&quot;:&quot;Primary&quot;,&quot;Section&quot;:8,&quot;Top&quot;:0.0,&quot;Left&quot;:0.0}" style="position:absolute;margin-left:0;margin-top:0;width:612pt;height:36.5pt;z-index:251653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k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P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I8WGTUZAgAALgQAAA4AAAAAAAAAAAAAAAAALgIAAGRycy9lMm9Eb2MueG1sUEsBAi0AFAAGAAgA&#10;AAAhAL4fCrfaAAAABQEAAA8AAAAAAAAAAAAAAAAAcwQAAGRycy9kb3ducmV2LnhtbFBLBQYAAAAA&#10;BAAEAPMAAAB6BQAAAAA=&#10;" o:allowincell="f" filled="f" stroked="f" strokeweight=".5pt">
              <v:textbox inset=",0,,0">
                <w:txbxContent>
                  <w:p w14:paraId="318F903A"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A23C2">
      <w:rPr>
        <w:noProof/>
      </w:rPr>
      <w:drawing>
        <wp:anchor distT="0" distB="0" distL="114300" distR="114300" simplePos="0" relativeHeight="251585024" behindDoc="1" locked="0" layoutInCell="1" allowOverlap="1" wp14:anchorId="7E7EBA3A" wp14:editId="5EBB4E36">
          <wp:simplePos x="0" y="0"/>
          <wp:positionH relativeFrom="page">
            <wp:align>right</wp:align>
          </wp:positionH>
          <wp:positionV relativeFrom="paragraph">
            <wp:posOffset>-456786</wp:posOffset>
          </wp:positionV>
          <wp:extent cx="7558763" cy="10691993"/>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CA02" w14:textId="1C2D7919" w:rsidR="00C27723" w:rsidRDefault="00BA48C5">
    <w:pPr>
      <w:pStyle w:val="Header"/>
    </w:pPr>
    <w:r>
      <w:rPr>
        <w:noProof/>
      </w:rPr>
      <w:drawing>
        <wp:anchor distT="0" distB="0" distL="114300" distR="114300" simplePos="0" relativeHeight="251744768" behindDoc="1" locked="0" layoutInCell="1" allowOverlap="1" wp14:anchorId="1897642E" wp14:editId="1B3687BC">
          <wp:simplePos x="0" y="0"/>
          <wp:positionH relativeFrom="page">
            <wp:posOffset>18341</wp:posOffset>
          </wp:positionH>
          <wp:positionV relativeFrom="paragraph">
            <wp:posOffset>-435934</wp:posOffset>
          </wp:positionV>
          <wp:extent cx="7558765" cy="10691997"/>
          <wp:effectExtent l="0" t="0" r="4445"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7337" w14:textId="1ECF25B5" w:rsidR="00DA3DA7" w:rsidRDefault="00DA3D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0D07" w14:textId="08B229DF" w:rsidR="007A3E39" w:rsidRDefault="007A7AD2">
    <w:pPr>
      <w:pStyle w:val="Header"/>
    </w:pPr>
    <w:r>
      <w:rPr>
        <w:noProof/>
      </w:rPr>
      <w:drawing>
        <wp:anchor distT="0" distB="0" distL="114300" distR="114300" simplePos="0" relativeHeight="251748864" behindDoc="1" locked="0" layoutInCell="1" allowOverlap="1" wp14:anchorId="3F2D733E" wp14:editId="13FC2C77">
          <wp:simplePos x="0" y="0"/>
          <wp:positionH relativeFrom="page">
            <wp:posOffset>7709</wp:posOffset>
          </wp:positionH>
          <wp:positionV relativeFrom="paragraph">
            <wp:posOffset>-447202</wp:posOffset>
          </wp:positionV>
          <wp:extent cx="7558764" cy="1069199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r w:rsidR="00993BFF">
      <w:rPr>
        <w:noProof/>
      </w:rPr>
      <w:drawing>
        <wp:anchor distT="0" distB="0" distL="114300" distR="114300" simplePos="0" relativeHeight="251709952" behindDoc="1" locked="0" layoutInCell="1" allowOverlap="1" wp14:anchorId="696460DF" wp14:editId="35D7551F">
          <wp:simplePos x="0" y="0"/>
          <wp:positionH relativeFrom="page">
            <wp:posOffset>7708</wp:posOffset>
          </wp:positionH>
          <wp:positionV relativeFrom="paragraph">
            <wp:posOffset>-447202</wp:posOffset>
          </wp:positionV>
          <wp:extent cx="7558765" cy="10691997"/>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588E" w14:textId="5DD95F09" w:rsidR="00DA23C2" w:rsidRDefault="00DA23C2">
    <w:pPr>
      <w:pStyle w:val="Header"/>
    </w:pPr>
    <w:r>
      <w:rPr>
        <w:noProof/>
      </w:rPr>
      <w:drawing>
        <wp:anchor distT="0" distB="0" distL="114300" distR="114300" simplePos="0" relativeHeight="251586048" behindDoc="1" locked="0" layoutInCell="1" allowOverlap="1" wp14:anchorId="52B4534B" wp14:editId="6AEC50BD">
          <wp:simplePos x="0" y="0"/>
          <wp:positionH relativeFrom="page">
            <wp:align>right</wp:align>
          </wp:positionH>
          <wp:positionV relativeFrom="paragraph">
            <wp:posOffset>-457200</wp:posOffset>
          </wp:positionV>
          <wp:extent cx="7558763" cy="10691993"/>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CDE1" w14:textId="771FD44D" w:rsidR="00DA3DA7" w:rsidRDefault="00DA3DA7">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E185" w14:textId="178B80D0" w:rsidR="00DA3DA7" w:rsidRDefault="00DA3DA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4357" w14:textId="4AE9E6DF" w:rsidR="00C27723" w:rsidRDefault="00BA48C5">
    <w:pPr>
      <w:pStyle w:val="Header"/>
    </w:pPr>
    <w:r>
      <w:rPr>
        <w:noProof/>
      </w:rPr>
      <w:drawing>
        <wp:anchor distT="0" distB="0" distL="114300" distR="114300" simplePos="0" relativeHeight="251745792" behindDoc="1" locked="0" layoutInCell="1" allowOverlap="1" wp14:anchorId="183C7E0A" wp14:editId="5C176D88">
          <wp:simplePos x="0" y="0"/>
          <wp:positionH relativeFrom="page">
            <wp:posOffset>18341</wp:posOffset>
          </wp:positionH>
          <wp:positionV relativeFrom="paragraph">
            <wp:posOffset>-435935</wp:posOffset>
          </wp:positionV>
          <wp:extent cx="7558763" cy="10691993"/>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69D6" w14:textId="0A4ACBBC" w:rsidR="00DA3DA7" w:rsidRDefault="00DA3DA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AACA" w14:textId="1B208DBA" w:rsidR="00DA3DA7" w:rsidRDefault="00DA3DA7">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FB1A" w14:textId="4EC3C06D" w:rsidR="00DA23C2" w:rsidRDefault="00DA23C2">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072A" w14:textId="46B9E6BF" w:rsidR="00DA3DA7" w:rsidRDefault="00663467">
    <w:pPr>
      <w:pStyle w:val="Header"/>
    </w:pPr>
    <w:r>
      <w:rPr>
        <w:noProof/>
      </w:rPr>
      <w:drawing>
        <wp:anchor distT="0" distB="0" distL="114300" distR="114300" simplePos="0" relativeHeight="251724288" behindDoc="1" locked="0" layoutInCell="1" allowOverlap="1" wp14:anchorId="1C4AB7D2" wp14:editId="3280AE2D">
          <wp:simplePos x="0" y="0"/>
          <wp:positionH relativeFrom="page">
            <wp:posOffset>18341</wp:posOffset>
          </wp:positionH>
          <wp:positionV relativeFrom="paragraph">
            <wp:posOffset>-457200</wp:posOffset>
          </wp:positionV>
          <wp:extent cx="7558764" cy="10691995"/>
          <wp:effectExtent l="0" t="0" r="444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5EBE" w14:textId="7276B326" w:rsidR="00DA3DA7" w:rsidRDefault="00DA3DA7">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F2A7" w14:textId="003F4080" w:rsidR="00DA23C2" w:rsidRDefault="008F7730">
    <w:pPr>
      <w:pStyle w:val="Header"/>
    </w:pPr>
    <w:r>
      <w:rPr>
        <w:noProof/>
      </w:rPr>
      <mc:AlternateContent>
        <mc:Choice Requires="wps">
          <w:drawing>
            <wp:anchor distT="0" distB="0" distL="114300" distR="114300" simplePos="0" relativeHeight="251654656" behindDoc="0" locked="0" layoutInCell="0" allowOverlap="1" wp14:anchorId="1DC03F40" wp14:editId="73473AC3">
              <wp:simplePos x="0" y="0"/>
              <wp:positionH relativeFrom="page">
                <wp:posOffset>0</wp:posOffset>
              </wp:positionH>
              <wp:positionV relativeFrom="page">
                <wp:posOffset>0</wp:posOffset>
              </wp:positionV>
              <wp:extent cx="7772400" cy="463550"/>
              <wp:effectExtent l="0" t="0" r="0" b="12700"/>
              <wp:wrapNone/>
              <wp:docPr id="299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3BF46"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C03F40" id="_x0000_t202" coordsize="21600,21600" o:spt="202" path="m,l,21600r21600,l21600,xe">
              <v:stroke joinstyle="miter"/>
              <v:path gradientshapeok="t" o:connecttype="rect"/>
            </v:shapetype>
            <v:shape id="_x0000_s1065" type="#_x0000_t202" alt="{&quot;HashCode&quot;:431350885,&quot;Height&quot;:9999999.0,&quot;Width&quot;:9999999.0,&quot;Placement&quot;:&quot;Header&quot;,&quot;Index&quot;:&quot;Primary&quot;,&quot;Section&quot;:8,&quot;Top&quot;:0.0,&quot;Left&quot;:0.0}" style="position:absolute;margin-left:0;margin-top:0;width:612pt;height:36.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JcGg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cyGRXZQnXA/Bz313vK1wiE2&#10;zIdn5pBrnBv1G57wkBqwGZwtSmpwv/7mj/lIAUYpaVE7JfU/D8wJSvR3g+R8GU+nUWzpgoZ7690N&#10;XnNo7gFlOcY/xPJkxtygB1M6aF5R3qvYDUPMcOxZUh7ccLkPvZbxB+FitUppKCzLwsZsLY/FI6AR&#10;3JfulTl7ZiAgd48w6IsV74joc3sqVocAUiWWIsQ9nmfkUZSJvPMPFFX/9p6yrr/58jc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C4aJcGgIAAC4EAAAOAAAAAAAAAAAAAAAAAC4CAABkcnMvZTJvRG9jLnhtbFBLAQItABQABgAI&#10;AAAAIQC+Hwq32gAAAAUBAAAPAAAAAAAAAAAAAAAAAHQEAABkcnMvZG93bnJldi54bWxQSwUGAAAA&#10;AAQABADzAAAAewUAAAAA&#10;" o:allowincell="f" filled="f" stroked="f" strokeweight=".5pt">
              <v:textbox inset=",0,,0">
                <w:txbxContent>
                  <w:p w14:paraId="2B23BF46"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A23C2">
      <w:rPr>
        <w:noProof/>
      </w:rPr>
      <w:drawing>
        <wp:anchor distT="0" distB="0" distL="114300" distR="114300" simplePos="0" relativeHeight="251592192" behindDoc="1" locked="0" layoutInCell="1" allowOverlap="1" wp14:anchorId="06E26377" wp14:editId="360E8900">
          <wp:simplePos x="0" y="0"/>
          <wp:positionH relativeFrom="page">
            <wp:align>right</wp:align>
          </wp:positionH>
          <wp:positionV relativeFrom="paragraph">
            <wp:posOffset>-457200</wp:posOffset>
          </wp:positionV>
          <wp:extent cx="7558763" cy="10691993"/>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2E6E" w14:textId="35FCF4A7" w:rsidR="007A3E39" w:rsidRDefault="007A3E39">
    <w:pPr>
      <w:pStyle w:val="Header"/>
    </w:pPr>
    <w:r>
      <w:rPr>
        <w:noProof/>
      </w:rPr>
      <mc:AlternateContent>
        <mc:Choice Requires="wps">
          <w:drawing>
            <wp:anchor distT="0" distB="0" distL="114300" distR="114300" simplePos="0" relativeHeight="251701760" behindDoc="0" locked="0" layoutInCell="0" allowOverlap="1" wp14:anchorId="2D13212B" wp14:editId="51EC28D7">
              <wp:simplePos x="0" y="0"/>
              <wp:positionH relativeFrom="page">
                <wp:posOffset>0</wp:posOffset>
              </wp:positionH>
              <wp:positionV relativeFrom="page">
                <wp:posOffset>190500</wp:posOffset>
              </wp:positionV>
              <wp:extent cx="7560310" cy="273050"/>
              <wp:effectExtent l="0" t="0" r="0" b="12700"/>
              <wp:wrapNone/>
              <wp:docPr id="33" name="MSIPCM951743d5ba21705c1b98988d" descr="{&quot;HashCode&quot;:4313508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6325E" w14:textId="77777777" w:rsidR="007A3E39" w:rsidRPr="00432F46" w:rsidRDefault="007A3E39" w:rsidP="00432F46">
                          <w:pPr>
                            <w:spacing w:after="0"/>
                            <w:jc w:val="center"/>
                            <w:rPr>
                              <w:rFonts w:ascii="Calibri" w:hAnsi="Calibri" w:cs="Calibri"/>
                              <w:color w:val="FF0000"/>
                              <w:sz w:val="24"/>
                            </w:rPr>
                          </w:pPr>
                          <w:r w:rsidRPr="00432F46">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13212B" id="_x0000_t202" coordsize="21600,21600" o:spt="202" path="m,l,21600r21600,l21600,xe">
              <v:stroke joinstyle="miter"/>
              <v:path gradientshapeok="t" o:connecttype="rect"/>
            </v:shapetype>
            <v:shape id="MSIPCM951743d5ba21705c1b98988d" o:spid="_x0000_s1046" type="#_x0000_t202" alt="{&quot;HashCode&quot;:431350885,&quot;Height&quot;:841.0,&quot;Width&quot;:595.0,&quot;Placement&quot;:&quot;Header&quot;,&quot;Index&quot;:&quot;Primary&quot;,&quot;Section&quot;:1,&quot;Top&quot;:0.0,&quot;Left&quot;:0.0}" style="position:absolute;margin-left:0;margin-top:15pt;width:595.3pt;height:21.5pt;z-index:251701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B3Fg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" o:allowincell="f" filled="f" stroked="f" strokeweight=".5pt">
              <v:textbox inset=",0,,0">
                <w:txbxContent>
                  <w:p w14:paraId="17D6325E" w14:textId="77777777" w:rsidR="007A3E39" w:rsidRPr="00432F46" w:rsidRDefault="007A3E39" w:rsidP="00432F46">
                    <w:pPr>
                      <w:spacing w:after="0"/>
                      <w:jc w:val="center"/>
                      <w:rPr>
                        <w:rFonts w:ascii="Calibri" w:hAnsi="Calibri" w:cs="Calibri"/>
                        <w:color w:val="FF0000"/>
                        <w:sz w:val="24"/>
                      </w:rPr>
                    </w:pPr>
                    <w:r w:rsidRPr="00432F46">
                      <w:rPr>
                        <w:rFonts w:ascii="Calibri" w:hAnsi="Calibri" w:cs="Calibri"/>
                        <w:color w:val="FF0000"/>
                        <w:sz w:val="24"/>
                      </w:rPr>
                      <w:t>OFFICIAL</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1E2E" w14:textId="159A1145" w:rsidR="00C27723" w:rsidRDefault="00BA48C5">
    <w:pPr>
      <w:pStyle w:val="Header"/>
    </w:pPr>
    <w:r>
      <w:rPr>
        <w:noProof/>
      </w:rPr>
      <w:drawing>
        <wp:anchor distT="0" distB="0" distL="114300" distR="114300" simplePos="0" relativeHeight="251743744" behindDoc="1" locked="0" layoutInCell="1" allowOverlap="1" wp14:anchorId="0C0A8733" wp14:editId="3B2BB142">
          <wp:simplePos x="0" y="0"/>
          <wp:positionH relativeFrom="page">
            <wp:posOffset>7708</wp:posOffset>
          </wp:positionH>
          <wp:positionV relativeFrom="paragraph">
            <wp:posOffset>-435934</wp:posOffset>
          </wp:positionV>
          <wp:extent cx="7558765" cy="10691997"/>
          <wp:effectExtent l="0" t="0" r="4445"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E239" w14:textId="64D5FC5C" w:rsidR="00DA3DA7" w:rsidRDefault="00DA3DA7">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4F60" w14:textId="431E9CEA" w:rsidR="00DA23C2" w:rsidRDefault="00DA23C2">
    <w:pPr>
      <w:pStyle w:val="Header"/>
    </w:pPr>
    <w:r>
      <w:rPr>
        <w:noProof/>
      </w:rPr>
      <w:drawing>
        <wp:anchor distT="0" distB="0" distL="114300" distR="114300" simplePos="0" relativeHeight="251587072" behindDoc="1" locked="0" layoutInCell="1" allowOverlap="1" wp14:anchorId="66AA8463" wp14:editId="36A5BD6E">
          <wp:simplePos x="0" y="0"/>
          <wp:positionH relativeFrom="page">
            <wp:align>right</wp:align>
          </wp:positionH>
          <wp:positionV relativeFrom="paragraph">
            <wp:posOffset>-457200</wp:posOffset>
          </wp:positionV>
          <wp:extent cx="7558763" cy="10691993"/>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08E0" w14:textId="0876877E" w:rsidR="00DA23C2" w:rsidRDefault="008F7730">
    <w:pPr>
      <w:pStyle w:val="Header"/>
    </w:pPr>
    <w:r>
      <w:rPr>
        <w:noProof/>
      </w:rPr>
      <mc:AlternateContent>
        <mc:Choice Requires="wps">
          <w:drawing>
            <wp:anchor distT="0" distB="0" distL="114300" distR="114300" simplePos="0" relativeHeight="251655680" behindDoc="0" locked="0" layoutInCell="0" allowOverlap="1" wp14:anchorId="7B189EEF" wp14:editId="7A962E8E">
              <wp:simplePos x="0" y="0"/>
              <wp:positionH relativeFrom="page">
                <wp:posOffset>0</wp:posOffset>
              </wp:positionH>
              <wp:positionV relativeFrom="page">
                <wp:posOffset>0</wp:posOffset>
              </wp:positionV>
              <wp:extent cx="7772400" cy="463550"/>
              <wp:effectExtent l="0" t="0" r="0" b="12700"/>
              <wp:wrapNone/>
              <wp:docPr id="1756629344"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260632"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189EEF" id="_x0000_t202" coordsize="21600,21600" o:spt="202" path="m,l,21600r21600,l21600,xe">
              <v:stroke joinstyle="miter"/>
              <v:path gradientshapeok="t" o:connecttype="rect"/>
            </v:shapetype>
            <v:shape id="_x0000_s1066" type="#_x0000_t202" alt="{&quot;HashCode&quot;:431350885,&quot;Height&quot;:9999999.0,&quot;Width&quot;:9999999.0,&quot;Placement&quot;:&quot;Header&quot;,&quot;Index&quot;:&quot;Primary&quot;,&quot;Section&quot;:8,&quot;Top&quot;:0.0,&quot;Left&quot;:0.0}" style="position:absolute;margin-left:0;margin-top:0;width:612pt;height:36.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mGg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UlncyGRXZQnXA/Bz313vK1wiE2&#10;zIdn5pBrnBv1G57wkBqwGZwtSmpwv/7mj/lIAUYpaVE7JfU/D8wJSvR3g+R8GU+nUWzpgoZ7690N&#10;XnNo7gFlOcY/xPJkxtygB1M6aF5R3qvYDUPMcOxZUh7ccLkPvZbxB+FitUppKCzLwsZsLY/FI6AR&#10;3JfulTl7ZiAgd48w6IsV74joc3sqVocAUiWWIsQ9nmfkUZSJvPMPFFX/9p6yrr/58jc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CV+W7mGgIAAC4EAAAOAAAAAAAAAAAAAAAAAC4CAABkcnMvZTJvRG9jLnhtbFBLAQItABQABgAI&#10;AAAAIQC+Hwq32gAAAAUBAAAPAAAAAAAAAAAAAAAAAHQEAABkcnMvZG93bnJldi54bWxQSwUGAAAA&#10;AAQABADzAAAAewUAAAAA&#10;" o:allowincell="f" filled="f" stroked="f" strokeweight=".5pt">
              <v:textbox inset=",0,,0">
                <w:txbxContent>
                  <w:p w14:paraId="4E260632"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A23C2">
      <w:rPr>
        <w:noProof/>
      </w:rPr>
      <w:drawing>
        <wp:anchor distT="0" distB="0" distL="114300" distR="114300" simplePos="0" relativeHeight="251588096" behindDoc="1" locked="0" layoutInCell="1" allowOverlap="1" wp14:anchorId="0F60FB48" wp14:editId="1694B63A">
          <wp:simplePos x="0" y="0"/>
          <wp:positionH relativeFrom="page">
            <wp:align>right</wp:align>
          </wp:positionH>
          <wp:positionV relativeFrom="paragraph">
            <wp:posOffset>-457200</wp:posOffset>
          </wp:positionV>
          <wp:extent cx="7558764" cy="10691995"/>
          <wp:effectExtent l="0" t="0" r="444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11EB" w14:textId="52954255" w:rsidR="00DA3DA7" w:rsidRDefault="00DA3DA7">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FF6E" w14:textId="02D366AC" w:rsidR="00DA23C2" w:rsidRDefault="008F7730">
    <w:pPr>
      <w:pStyle w:val="Header"/>
    </w:pPr>
    <w:r>
      <w:rPr>
        <w:noProof/>
      </w:rPr>
      <mc:AlternateContent>
        <mc:Choice Requires="wps">
          <w:drawing>
            <wp:anchor distT="0" distB="0" distL="114300" distR="114300" simplePos="0" relativeHeight="251656704" behindDoc="0" locked="0" layoutInCell="0" allowOverlap="1" wp14:anchorId="60D0E57D" wp14:editId="4900DF5A">
              <wp:simplePos x="0" y="0"/>
              <wp:positionH relativeFrom="page">
                <wp:posOffset>0</wp:posOffset>
              </wp:positionH>
              <wp:positionV relativeFrom="page">
                <wp:posOffset>0</wp:posOffset>
              </wp:positionV>
              <wp:extent cx="7772400" cy="463550"/>
              <wp:effectExtent l="0" t="0" r="0" b="12700"/>
              <wp:wrapNone/>
              <wp:docPr id="1756629345"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1054E"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D0E57D" id="_x0000_t202" coordsize="21600,21600" o:spt="202" path="m,l,21600r21600,l21600,xe">
              <v:stroke joinstyle="miter"/>
              <v:path gradientshapeok="t" o:connecttype="rect"/>
            </v:shapetype>
            <v:shape id="_x0000_s1067" type="#_x0000_t202" alt="{&quot;HashCode&quot;:431350885,&quot;Height&quot;:9999999.0,&quot;Width&quot;:9999999.0,&quot;Placement&quot;:&quot;Header&quot;,&quot;Index&quot;:&quot;Primary&quot;,&quot;Section&quot;:8,&quot;Top&quot;:0.0,&quot;Left&quot;:0.0}" style="position:absolute;margin-left:0;margin-top:0;width:612pt;height:36.5pt;z-index:2516567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WPGg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6qST2anRTZQHWg/hIF67+SqoSEe&#10;hA/PAolrmpv0G57o0AaoGRwtzmrAX3/zx3yigKKcdaSdkvufO4GKM/PdEjlfxtNpFFu6kIFvvZuT&#10;1+7aOyBZjukPcTKZMTeYk6kR2leS9zJ2o5CwknqWXAY8Xe7CoGX6QaRaLlMaCcuJ8GDXTsbiEdAI&#10;7kv/KtAdGQjE3SOc9CWKd0QMuQMVy10A3SSWIsQDnkfkSZSJvOMPFFX/9p6yLr/54jc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YDtWPGgIAAC4EAAAOAAAAAAAAAAAAAAAAAC4CAABkcnMvZTJvRG9jLnhtbFBLAQItABQABgAI&#10;AAAAIQC+Hwq32gAAAAUBAAAPAAAAAAAAAAAAAAAAAHQEAABkcnMvZG93bnJldi54bWxQSwUGAAAA&#10;AAQABADzAAAAewUAAAAA&#10;" o:allowincell="f" filled="f" stroked="f" strokeweight=".5pt">
              <v:textbox inset=",0,,0">
                <w:txbxContent>
                  <w:p w14:paraId="4F41054E"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A23C2">
      <w:rPr>
        <w:noProof/>
      </w:rPr>
      <w:drawing>
        <wp:anchor distT="0" distB="0" distL="114300" distR="114300" simplePos="0" relativeHeight="251589120" behindDoc="1" locked="0" layoutInCell="1" allowOverlap="1" wp14:anchorId="621F83F8" wp14:editId="6E16A412">
          <wp:simplePos x="0" y="0"/>
          <wp:positionH relativeFrom="page">
            <wp:align>right</wp:align>
          </wp:positionH>
          <wp:positionV relativeFrom="paragraph">
            <wp:posOffset>-457200</wp:posOffset>
          </wp:positionV>
          <wp:extent cx="7558763" cy="10691993"/>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5C0F" w14:textId="03167C46" w:rsidR="00C27723" w:rsidRDefault="00BA48C5">
    <w:pPr>
      <w:pStyle w:val="Header"/>
    </w:pPr>
    <w:r>
      <w:rPr>
        <w:noProof/>
      </w:rPr>
      <w:drawing>
        <wp:anchor distT="0" distB="0" distL="114300" distR="114300" simplePos="0" relativeHeight="251742720" behindDoc="1" locked="0" layoutInCell="1" allowOverlap="1" wp14:anchorId="70573BA9" wp14:editId="5F527E83">
          <wp:simplePos x="0" y="0"/>
          <wp:positionH relativeFrom="page">
            <wp:posOffset>28974</wp:posOffset>
          </wp:positionH>
          <wp:positionV relativeFrom="paragraph">
            <wp:posOffset>-446567</wp:posOffset>
          </wp:positionV>
          <wp:extent cx="7558765" cy="10691997"/>
          <wp:effectExtent l="0" t="0" r="4445"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8C88" w14:textId="46388F04" w:rsidR="00DA3DA7" w:rsidRDefault="00DA3DA7">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7138" w14:textId="6965690E" w:rsidR="00DA23C2" w:rsidRDefault="00DA23C2">
    <w:pPr>
      <w:pStyle w:val="Header"/>
    </w:pPr>
    <w:r>
      <w:rPr>
        <w:noProof/>
      </w:rPr>
      <w:drawing>
        <wp:anchor distT="0" distB="0" distL="114300" distR="114300" simplePos="0" relativeHeight="251591168" behindDoc="1" locked="0" layoutInCell="1" allowOverlap="1" wp14:anchorId="75A144B7" wp14:editId="727C1DEB">
          <wp:simplePos x="0" y="0"/>
          <wp:positionH relativeFrom="page">
            <wp:align>right</wp:align>
          </wp:positionH>
          <wp:positionV relativeFrom="paragraph">
            <wp:posOffset>-457200</wp:posOffset>
          </wp:positionV>
          <wp:extent cx="7558763" cy="10691993"/>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19AE" w14:textId="6180AB31" w:rsidR="00DA23C2" w:rsidRDefault="00DA23C2">
    <w:pPr>
      <w:pStyle w:val="Header"/>
    </w:pPr>
    <w:r>
      <w:rPr>
        <w:noProof/>
      </w:rPr>
      <w:drawing>
        <wp:anchor distT="0" distB="0" distL="114300" distR="114300" simplePos="0" relativeHeight="251590144" behindDoc="1" locked="0" layoutInCell="1" allowOverlap="1" wp14:anchorId="1F043315" wp14:editId="2034537D">
          <wp:simplePos x="0" y="0"/>
          <wp:positionH relativeFrom="page">
            <wp:align>right</wp:align>
          </wp:positionH>
          <wp:positionV relativeFrom="paragraph">
            <wp:posOffset>-457200</wp:posOffset>
          </wp:positionV>
          <wp:extent cx="7558764" cy="10691995"/>
          <wp:effectExtent l="0" t="0" r="4445"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37E2" w14:textId="06DDDE9F" w:rsidR="007A3E39" w:rsidRDefault="007A3E39">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8289" w14:textId="10AA4E38" w:rsidR="00DA3DA7" w:rsidRDefault="00DA3DA7">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3784" w14:textId="192C8DF9" w:rsidR="000442BE" w:rsidRDefault="000442BE">
    <w:pPr>
      <w:pStyle w:val="Header"/>
    </w:pPr>
    <w:r>
      <w:rPr>
        <w:noProof/>
      </w:rPr>
      <w:drawing>
        <wp:anchor distT="0" distB="0" distL="114300" distR="114300" simplePos="0" relativeHeight="251560448" behindDoc="1" locked="0" layoutInCell="1" allowOverlap="1" wp14:anchorId="73DA724E" wp14:editId="5471B4DC">
          <wp:simplePos x="0" y="0"/>
          <wp:positionH relativeFrom="page">
            <wp:posOffset>0</wp:posOffset>
          </wp:positionH>
          <wp:positionV relativeFrom="paragraph">
            <wp:posOffset>-449580</wp:posOffset>
          </wp:positionV>
          <wp:extent cx="7558764" cy="10691994"/>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F13A" w14:textId="5D4F4E51" w:rsidR="00DA3DA7" w:rsidRDefault="00DA3DA7">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A7C8" w14:textId="6DB6CEE8" w:rsidR="00DA3DA7" w:rsidRDefault="00DA3DA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8E6D" w14:textId="2A28CE29" w:rsidR="000442BE" w:rsidRDefault="008F7730">
    <w:pPr>
      <w:pStyle w:val="Header"/>
    </w:pPr>
    <w:r>
      <w:rPr>
        <w:noProof/>
      </w:rPr>
      <mc:AlternateContent>
        <mc:Choice Requires="wps">
          <w:drawing>
            <wp:anchor distT="0" distB="0" distL="114300" distR="114300" simplePos="0" relativeHeight="251657728" behindDoc="0" locked="0" layoutInCell="0" allowOverlap="1" wp14:anchorId="141AA1AF" wp14:editId="5CB96BFF">
              <wp:simplePos x="0" y="0"/>
              <wp:positionH relativeFrom="page">
                <wp:posOffset>0</wp:posOffset>
              </wp:positionH>
              <wp:positionV relativeFrom="page">
                <wp:posOffset>0</wp:posOffset>
              </wp:positionV>
              <wp:extent cx="7772400" cy="463550"/>
              <wp:effectExtent l="0" t="0" r="0" b="12700"/>
              <wp:wrapNone/>
              <wp:docPr id="1756629348"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0D809"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1AA1AF" id="_x0000_t202" coordsize="21600,21600" o:spt="202" path="m,l,21600r21600,l21600,xe">
              <v:stroke joinstyle="miter"/>
              <v:path gradientshapeok="t" o:connecttype="rect"/>
            </v:shapetype>
            <v:shape id="_x0000_s1068" type="#_x0000_t202" alt="{&quot;HashCode&quot;:431350885,&quot;Height&quot;:9999999.0,&quot;Width&quot;:9999999.0,&quot;Placement&quot;:&quot;Header&quot;,&quot;Index&quot;:&quot;Primary&quot;,&quot;Section&quot;:8,&quot;Top&quot;:0.0,&quot;Left&quot;:0.0}" style="position:absolute;margin-left:0;margin-top:0;width:612pt;height:36.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qzGg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9yeFtlAdaD9EAbqvZPLhoZY&#10;CR+eBRLXNDfpNzzRoQ1QMzhanNWAv/7mj/lEAUU560g7Jfc/dwIVZ+a7JXK+jKfTKLZ0IQPfejcn&#10;r92190CyHNMf4mQyY24wJ1MjtK8k70XsRiFhJfUsuQx4utyHQcv0g0i1WKQ0EpYTYWXXTsbiEdAI&#10;7kv/KtAdGQjE3SOc9CWKd0QMuQMVi10A3SSWIsQDnkfkSZSJvOMPFFX/9p6yLr/5/Dc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QfrqzGgIAAC4EAAAOAAAAAAAAAAAAAAAAAC4CAABkcnMvZTJvRG9jLnhtbFBLAQItABQABgAI&#10;AAAAIQC+Hwq32gAAAAUBAAAPAAAAAAAAAAAAAAAAAHQEAABkcnMvZG93bnJldi54bWxQSwUGAAAA&#10;AAQABADzAAAAewUAAAAA&#10;" o:allowincell="f" filled="f" stroked="f" strokeweight=".5pt">
              <v:textbox inset=",0,,0">
                <w:txbxContent>
                  <w:p w14:paraId="59F0D809"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C74EF6">
      <w:rPr>
        <w:noProof/>
      </w:rPr>
      <w:drawing>
        <wp:anchor distT="0" distB="0" distL="114300" distR="114300" simplePos="0" relativeHeight="251628032" behindDoc="1" locked="0" layoutInCell="1" allowOverlap="1" wp14:anchorId="77F0E3ED" wp14:editId="6F420AF5">
          <wp:simplePos x="0" y="0"/>
          <wp:positionH relativeFrom="page">
            <wp:posOffset>5715</wp:posOffset>
          </wp:positionH>
          <wp:positionV relativeFrom="paragraph">
            <wp:posOffset>-457200</wp:posOffset>
          </wp:positionV>
          <wp:extent cx="7558762" cy="10691992"/>
          <wp:effectExtent l="0" t="0" r="4445" b="0"/>
          <wp:wrapNone/>
          <wp:docPr id="1756631104" name="Picture 17566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p w14:paraId="743397D6" w14:textId="77777777" w:rsidR="00B97EC4" w:rsidRDefault="00B97EC4"/>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8289" w14:textId="1273B057" w:rsidR="00B97EC4" w:rsidRDefault="00BE57E9">
    <w:r>
      <w:rPr>
        <w:noProof/>
      </w:rPr>
      <w:drawing>
        <wp:anchor distT="0" distB="0" distL="114300" distR="114300" simplePos="0" relativeHeight="251672064" behindDoc="1" locked="0" layoutInCell="1" allowOverlap="1" wp14:anchorId="6A892C99" wp14:editId="49141682">
          <wp:simplePos x="0" y="0"/>
          <wp:positionH relativeFrom="page">
            <wp:posOffset>-6350</wp:posOffset>
          </wp:positionH>
          <wp:positionV relativeFrom="paragraph">
            <wp:posOffset>-448783</wp:posOffset>
          </wp:positionV>
          <wp:extent cx="7558762" cy="10691992"/>
          <wp:effectExtent l="0" t="0" r="4445" b="0"/>
          <wp:wrapNone/>
          <wp:docPr id="1756631105" name="Picture 175663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6A20" w14:textId="467C507E" w:rsidR="00DA3DA7" w:rsidRDefault="00DA3DA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C04" w14:textId="094C61C9" w:rsidR="00561686" w:rsidRDefault="00561686">
    <w:pPr>
      <w:pStyle w:val="Header"/>
    </w:pPr>
    <w:r>
      <w:rPr>
        <w:noProof/>
      </w:rPr>
      <w:drawing>
        <wp:anchor distT="0" distB="0" distL="114300" distR="114300" simplePos="0" relativeHeight="251612672" behindDoc="1" locked="0" layoutInCell="1" allowOverlap="1" wp14:anchorId="2FC0CCAB" wp14:editId="52501C3B">
          <wp:simplePos x="0" y="0"/>
          <wp:positionH relativeFrom="page">
            <wp:align>right</wp:align>
          </wp:positionH>
          <wp:positionV relativeFrom="paragraph">
            <wp:posOffset>-456786</wp:posOffset>
          </wp:positionV>
          <wp:extent cx="7558763" cy="10691993"/>
          <wp:effectExtent l="0" t="0" r="0" b="0"/>
          <wp:wrapNone/>
          <wp:docPr id="1756631106" name="Picture 175663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FF2D" w14:textId="510E2F4A" w:rsidR="0073219A" w:rsidRDefault="0073219A">
    <w:r>
      <w:rPr>
        <w:noProof/>
      </w:rPr>
      <w:drawing>
        <wp:anchor distT="0" distB="0" distL="114300" distR="114300" simplePos="0" relativeHeight="251700736" behindDoc="1" locked="0" layoutInCell="1" allowOverlap="1" wp14:anchorId="3717B5B8" wp14:editId="10AF08B8">
          <wp:simplePos x="0" y="0"/>
          <wp:positionH relativeFrom="page">
            <wp:posOffset>-13790</wp:posOffset>
          </wp:positionH>
          <wp:positionV relativeFrom="paragraph">
            <wp:posOffset>-457396</wp:posOffset>
          </wp:positionV>
          <wp:extent cx="7558764" cy="10691995"/>
          <wp:effectExtent l="0" t="0" r="4445" b="0"/>
          <wp:wrapNone/>
          <wp:docPr id="1756631107" name="Picture 175663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712" behindDoc="0" locked="0" layoutInCell="0" allowOverlap="1" wp14:anchorId="2B88526F" wp14:editId="6FE981E1">
              <wp:simplePos x="0" y="0"/>
              <wp:positionH relativeFrom="page">
                <wp:posOffset>-178544</wp:posOffset>
              </wp:positionH>
              <wp:positionV relativeFrom="page">
                <wp:posOffset>25181</wp:posOffset>
              </wp:positionV>
              <wp:extent cx="7772400" cy="463550"/>
              <wp:effectExtent l="0" t="0" r="0" b="12700"/>
              <wp:wrapNone/>
              <wp:docPr id="1756629174"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916DB3" w14:textId="77777777" w:rsidR="0073219A" w:rsidRPr="008E4C9E" w:rsidRDefault="0073219A"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88526F" id="_x0000_t202" coordsize="21600,21600" o:spt="202" path="m,l,21600r21600,l21600,xe">
              <v:stroke joinstyle="miter"/>
              <v:path gradientshapeok="t" o:connecttype="rect"/>
            </v:shapetype>
            <v:shape id="_x0000_s1069" type="#_x0000_t202" alt="{&quot;HashCode&quot;:431350885,&quot;Height&quot;:9999999.0,&quot;Width&quot;:9999999.0,&quot;Placement&quot;:&quot;Header&quot;,&quot;Index&quot;:&quot;Primary&quot;,&quot;Section&quot;:8,&quot;Top&quot;:0.0,&quot;Left&quot;:0.0}" style="position:absolute;margin-left:-14.05pt;margin-top:2pt;width:612pt;height:36.5pt;z-index:2516997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HaGg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" o:allowincell="f" filled="f" stroked="f" strokeweight=".5pt">
              <v:textbox inset=",0,,0">
                <w:txbxContent>
                  <w:p w14:paraId="7E916DB3" w14:textId="77777777" w:rsidR="0073219A" w:rsidRPr="008E4C9E" w:rsidRDefault="0073219A"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D5D3" w14:textId="2EAC646D" w:rsidR="00DA3DA7" w:rsidRDefault="00DA3D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C71E" w14:textId="45DCACAB" w:rsidR="00DA3DA7" w:rsidRDefault="00DA3DA7">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FE48" w14:textId="2FDD5009" w:rsidR="00DA3DA7" w:rsidRDefault="00DA3DA7">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E978" w14:textId="22B04DF9" w:rsidR="00561686" w:rsidRDefault="00561686">
    <w:r>
      <w:rPr>
        <w:noProof/>
      </w:rPr>
      <w:drawing>
        <wp:anchor distT="0" distB="0" distL="114300" distR="114300" simplePos="0" relativeHeight="251609600" behindDoc="1" locked="0" layoutInCell="1" allowOverlap="1" wp14:anchorId="359121E3" wp14:editId="60AC0DA4">
          <wp:simplePos x="0" y="0"/>
          <wp:positionH relativeFrom="page">
            <wp:posOffset>5715</wp:posOffset>
          </wp:positionH>
          <wp:positionV relativeFrom="paragraph">
            <wp:posOffset>-438150</wp:posOffset>
          </wp:positionV>
          <wp:extent cx="7558764" cy="10691995"/>
          <wp:effectExtent l="0" t="0" r="4445" b="0"/>
          <wp:wrapNone/>
          <wp:docPr id="1756631108" name="Picture 17566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AFA2" w14:textId="28390E10" w:rsidR="00DA3DA7" w:rsidRDefault="00DA3DA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00F3" w14:textId="25B3E0A8" w:rsidR="00561686" w:rsidRDefault="00561686">
    <w:pPr>
      <w:pStyle w:val="Header"/>
    </w:pPr>
    <w:r>
      <w:rPr>
        <w:noProof/>
      </w:rPr>
      <w:drawing>
        <wp:anchor distT="0" distB="0" distL="114300" distR="114300" simplePos="0" relativeHeight="251604480" behindDoc="1" locked="0" layoutInCell="1" allowOverlap="1" wp14:anchorId="7EA82D32" wp14:editId="751B6475">
          <wp:simplePos x="0" y="0"/>
          <wp:positionH relativeFrom="page">
            <wp:align>right</wp:align>
          </wp:positionH>
          <wp:positionV relativeFrom="paragraph">
            <wp:posOffset>-457200</wp:posOffset>
          </wp:positionV>
          <wp:extent cx="7558763" cy="10691993"/>
          <wp:effectExtent l="0" t="0" r="0" b="0"/>
          <wp:wrapNone/>
          <wp:docPr id="1756631109" name="Picture 17566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418E" w14:textId="00BE545E" w:rsidR="00DA3DA7" w:rsidRDefault="00BA48C5">
    <w:pPr>
      <w:pStyle w:val="Header"/>
    </w:pPr>
    <w:r>
      <w:rPr>
        <w:noProof/>
      </w:rPr>
      <w:drawing>
        <wp:anchor distT="0" distB="0" distL="114300" distR="114300" simplePos="0" relativeHeight="251741696" behindDoc="1" locked="0" layoutInCell="1" allowOverlap="1" wp14:anchorId="1225D9F0" wp14:editId="1BFE55B4">
          <wp:simplePos x="0" y="0"/>
          <wp:positionH relativeFrom="page">
            <wp:posOffset>10795</wp:posOffset>
          </wp:positionH>
          <wp:positionV relativeFrom="paragraph">
            <wp:posOffset>-472440</wp:posOffset>
          </wp:positionV>
          <wp:extent cx="7558765" cy="10691997"/>
          <wp:effectExtent l="0" t="0" r="4445" b="0"/>
          <wp:wrapNone/>
          <wp:docPr id="1756631110" name="Picture 175663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F155" w14:textId="2ED11232" w:rsidR="00DA3DA7" w:rsidRDefault="00DA3DA7">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EB56" w14:textId="32B6C9F9" w:rsidR="00561686" w:rsidRDefault="00561686">
    <w:pPr>
      <w:pStyle w:val="Header"/>
    </w:pPr>
    <w:r>
      <w:rPr>
        <w:noProof/>
      </w:rPr>
      <w:drawing>
        <wp:anchor distT="0" distB="0" distL="114300" distR="114300" simplePos="0" relativeHeight="251614720" behindDoc="1" locked="0" layoutInCell="1" allowOverlap="1" wp14:anchorId="1996E6AB" wp14:editId="4DF3C2E8">
          <wp:simplePos x="0" y="0"/>
          <wp:positionH relativeFrom="page">
            <wp:posOffset>4473</wp:posOffset>
          </wp:positionH>
          <wp:positionV relativeFrom="paragraph">
            <wp:posOffset>-452230</wp:posOffset>
          </wp:positionV>
          <wp:extent cx="7558762" cy="10691992"/>
          <wp:effectExtent l="0" t="0" r="4445" b="0"/>
          <wp:wrapNone/>
          <wp:docPr id="1756631111" name="Picture 175663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15DB" w14:textId="296F1F60" w:rsidR="00561686" w:rsidRDefault="00561686">
    <w:pPr>
      <w:pStyle w:val="Header"/>
    </w:pPr>
    <w:r>
      <w:rPr>
        <w:noProof/>
      </w:rPr>
      <w:drawing>
        <wp:anchor distT="0" distB="0" distL="114300" distR="114300" simplePos="0" relativeHeight="251613696" behindDoc="1" locked="0" layoutInCell="1" allowOverlap="1" wp14:anchorId="42D28EEF" wp14:editId="22C23DBE">
          <wp:simplePos x="0" y="0"/>
          <wp:positionH relativeFrom="page">
            <wp:posOffset>6350</wp:posOffset>
          </wp:positionH>
          <wp:positionV relativeFrom="paragraph">
            <wp:posOffset>-450850</wp:posOffset>
          </wp:positionV>
          <wp:extent cx="7558761" cy="10691990"/>
          <wp:effectExtent l="0" t="0" r="4445" b="0"/>
          <wp:wrapNone/>
          <wp:docPr id="1756631112" name="Picture 175663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
                    <a:extLst>
                      <a:ext uri="{28A0092B-C50C-407E-A947-70E740481C1C}">
                        <a14:useLocalDpi xmlns:a14="http://schemas.microsoft.com/office/drawing/2010/main" val="0"/>
                      </a:ext>
                    </a:extLst>
                  </a:blip>
                  <a:stretch>
                    <a:fillRect/>
                  </a:stretch>
                </pic:blipFill>
                <pic:spPr>
                  <a:xfrm>
                    <a:off x="0" y="0"/>
                    <a:ext cx="7558761"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A2C1" w14:textId="20B74AA1" w:rsidR="00DA3DA7" w:rsidRDefault="00DA3DA7">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C519" w14:textId="439431A8" w:rsidR="00561686" w:rsidRDefault="00561686">
    <w:pPr>
      <w:pStyle w:val="Header"/>
    </w:pPr>
    <w:r>
      <w:rPr>
        <w:noProof/>
      </w:rPr>
      <w:drawing>
        <wp:anchor distT="0" distB="0" distL="114300" distR="114300" simplePos="0" relativeHeight="251616768" behindDoc="1" locked="0" layoutInCell="1" allowOverlap="1" wp14:anchorId="10C7707A" wp14:editId="2741D525">
          <wp:simplePos x="0" y="0"/>
          <wp:positionH relativeFrom="page">
            <wp:align>right</wp:align>
          </wp:positionH>
          <wp:positionV relativeFrom="paragraph">
            <wp:posOffset>-457200</wp:posOffset>
          </wp:positionV>
          <wp:extent cx="7558763" cy="10691993"/>
          <wp:effectExtent l="0" t="0" r="0" b="0"/>
          <wp:wrapNone/>
          <wp:docPr id="1756631113" name="Picture 175663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E213" w14:textId="3DD8ECE5" w:rsidR="00297ACA" w:rsidRDefault="00351BCC" w:rsidP="00297ACA">
    <w:pPr>
      <w:pStyle w:val="Header"/>
      <w:tabs>
        <w:tab w:val="clear" w:pos="4513"/>
        <w:tab w:val="clear" w:pos="9026"/>
        <w:tab w:val="left" w:pos="2756"/>
        <w:tab w:val="left" w:pos="3150"/>
      </w:tabs>
    </w:pPr>
    <w:r>
      <w:rPr>
        <w:noProof/>
      </w:rPr>
      <w:drawing>
        <wp:anchor distT="0" distB="0" distL="114300" distR="114300" simplePos="0" relativeHeight="251749888" behindDoc="1" locked="0" layoutInCell="1" allowOverlap="1" wp14:anchorId="5C8B3713" wp14:editId="7B53F519">
          <wp:simplePos x="0" y="0"/>
          <wp:positionH relativeFrom="page">
            <wp:posOffset>-13556</wp:posOffset>
          </wp:positionH>
          <wp:positionV relativeFrom="paragraph">
            <wp:posOffset>-457200</wp:posOffset>
          </wp:positionV>
          <wp:extent cx="7558764" cy="10691995"/>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8EB7" w14:textId="1117F500" w:rsidR="00561686" w:rsidRDefault="00561686">
    <w:pPr>
      <w:pStyle w:val="Header"/>
    </w:pPr>
    <w:r>
      <w:rPr>
        <w:noProof/>
      </w:rPr>
      <w:drawing>
        <wp:anchor distT="0" distB="0" distL="114300" distR="114300" simplePos="0" relativeHeight="251622912" behindDoc="1" locked="0" layoutInCell="1" allowOverlap="1" wp14:anchorId="09FB1704" wp14:editId="665FF283">
          <wp:simplePos x="0" y="0"/>
          <wp:positionH relativeFrom="page">
            <wp:posOffset>497</wp:posOffset>
          </wp:positionH>
          <wp:positionV relativeFrom="paragraph">
            <wp:posOffset>-453216</wp:posOffset>
          </wp:positionV>
          <wp:extent cx="7558764" cy="10691995"/>
          <wp:effectExtent l="0" t="0" r="4445" b="0"/>
          <wp:wrapNone/>
          <wp:docPr id="1756631114" name="Picture 17566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1" locked="0" layoutInCell="1" allowOverlap="1" wp14:anchorId="48A67909" wp14:editId="357E32D3">
          <wp:simplePos x="0" y="0"/>
          <wp:positionH relativeFrom="page">
            <wp:align>left</wp:align>
          </wp:positionH>
          <wp:positionV relativeFrom="paragraph">
            <wp:posOffset>-457200</wp:posOffset>
          </wp:positionV>
          <wp:extent cx="7558764" cy="10691995"/>
          <wp:effectExtent l="0" t="0" r="4445" b="0"/>
          <wp:wrapNone/>
          <wp:docPr id="1756631115" name="Picture 175663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5618" w14:textId="271373C4" w:rsidR="00DA3DA7" w:rsidRDefault="00DA3DA7">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3622" w14:textId="38CC04BF" w:rsidR="00561686" w:rsidRDefault="00561686">
    <w:pPr>
      <w:pStyle w:val="Header"/>
    </w:pPr>
    <w:r>
      <w:rPr>
        <w:noProof/>
      </w:rPr>
      <w:drawing>
        <wp:anchor distT="0" distB="0" distL="114300" distR="114300" simplePos="0" relativeHeight="251617792" behindDoc="1" locked="0" layoutInCell="1" allowOverlap="1" wp14:anchorId="4570A4D0" wp14:editId="633650B6">
          <wp:simplePos x="0" y="0"/>
          <wp:positionH relativeFrom="page">
            <wp:align>right</wp:align>
          </wp:positionH>
          <wp:positionV relativeFrom="paragraph">
            <wp:posOffset>-462170</wp:posOffset>
          </wp:positionV>
          <wp:extent cx="7558763" cy="10691993"/>
          <wp:effectExtent l="0" t="0" r="0" b="0"/>
          <wp:wrapNone/>
          <wp:docPr id="1756631116" name="Picture 175663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DB93" w14:textId="05DEE5D0" w:rsidR="00DA3DA7" w:rsidRDefault="00BA48C5">
    <w:pPr>
      <w:pStyle w:val="Header"/>
    </w:pPr>
    <w:r>
      <w:rPr>
        <w:noProof/>
      </w:rPr>
      <w:drawing>
        <wp:anchor distT="0" distB="0" distL="114300" distR="114300" simplePos="0" relativeHeight="251740672" behindDoc="1" locked="0" layoutInCell="1" allowOverlap="1" wp14:anchorId="7EDF9372" wp14:editId="418B5A90">
          <wp:simplePos x="0" y="0"/>
          <wp:positionH relativeFrom="page">
            <wp:posOffset>18341</wp:posOffset>
          </wp:positionH>
          <wp:positionV relativeFrom="paragraph">
            <wp:posOffset>-446567</wp:posOffset>
          </wp:positionV>
          <wp:extent cx="7558765" cy="10691997"/>
          <wp:effectExtent l="0" t="0" r="4445" b="0"/>
          <wp:wrapNone/>
          <wp:docPr id="1756631117" name="Picture 175663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160D" w14:textId="5F1EB9D5" w:rsidR="00DA3DA7" w:rsidRDefault="00DA3DA7">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72B0" w14:textId="020BAE3E" w:rsidR="00EC1069" w:rsidRDefault="008F7730">
    <w:pPr>
      <w:pStyle w:val="Header"/>
    </w:pPr>
    <w:r>
      <w:rPr>
        <w:noProof/>
      </w:rPr>
      <mc:AlternateContent>
        <mc:Choice Requires="wps">
          <w:drawing>
            <wp:anchor distT="0" distB="0" distL="114300" distR="114300" simplePos="0" relativeHeight="251658752" behindDoc="0" locked="0" layoutInCell="0" allowOverlap="1" wp14:anchorId="6C3C678C" wp14:editId="645D4A69">
              <wp:simplePos x="0" y="0"/>
              <wp:positionH relativeFrom="page">
                <wp:posOffset>0</wp:posOffset>
              </wp:positionH>
              <wp:positionV relativeFrom="page">
                <wp:posOffset>0</wp:posOffset>
              </wp:positionV>
              <wp:extent cx="7772400" cy="463550"/>
              <wp:effectExtent l="0" t="0" r="0" b="12700"/>
              <wp:wrapNone/>
              <wp:docPr id="28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21FD84"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3C678C" id="_x0000_t202" coordsize="21600,21600" o:spt="202" path="m,l,21600r21600,l21600,xe">
              <v:stroke joinstyle="miter"/>
              <v:path gradientshapeok="t" o:connecttype="rect"/>
            </v:shapetype>
            <v:shape id="_x0000_s1070" type="#_x0000_t202" alt="{&quot;HashCode&quot;:431350885,&quot;Height&quot;:9999999.0,&quot;Width&quot;:9999999.0,&quot;Placement&quot;:&quot;Header&quot;,&quot;Index&quot;:&quot;Primary&quot;,&quot;Section&quot;:8,&quot;Top&quot;:0.0,&quot;Left&quot;:0.0}" style="position:absolute;margin-left:0;margin-top:0;width:612pt;height:36.5pt;z-index:2516587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kIrn2xgCAAAuBAAADgAAAAAAAAAAAAAAAAAuAgAAZHJzL2Uyb0RvYy54bWxQSwECLQAUAAYACAAA&#10;ACEAvh8Kt9oAAAAFAQAADwAAAAAAAAAAAAAAAAByBAAAZHJzL2Rvd25yZXYueG1sUEsFBgAAAAAE&#10;AAQA8wAAAHkFAAAAAA==&#10;" o:allowincell="f" filled="f" stroked="f" strokeweight=".5pt">
              <v:textbox inset=",0,,0">
                <w:txbxContent>
                  <w:p w14:paraId="3B21FD84"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EC1069">
      <w:rPr>
        <w:noProof/>
      </w:rPr>
      <w:drawing>
        <wp:anchor distT="0" distB="0" distL="114300" distR="114300" simplePos="0" relativeHeight="251623936" behindDoc="1" locked="0" layoutInCell="1" allowOverlap="1" wp14:anchorId="2590948F" wp14:editId="369FE8A6">
          <wp:simplePos x="0" y="0"/>
          <wp:positionH relativeFrom="page">
            <wp:align>right</wp:align>
          </wp:positionH>
          <wp:positionV relativeFrom="paragraph">
            <wp:posOffset>-457200</wp:posOffset>
          </wp:positionV>
          <wp:extent cx="7558763" cy="10691993"/>
          <wp:effectExtent l="0" t="0" r="0" b="0"/>
          <wp:wrapNone/>
          <wp:docPr id="1756631118" name="Picture 175663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E853" w14:textId="152829A9" w:rsidR="00DA3DA7" w:rsidRDefault="00BA48C5">
    <w:pPr>
      <w:pStyle w:val="Header"/>
    </w:pPr>
    <w:r>
      <w:rPr>
        <w:noProof/>
      </w:rPr>
      <w:drawing>
        <wp:anchor distT="0" distB="0" distL="114300" distR="114300" simplePos="0" relativeHeight="251739648" behindDoc="1" locked="0" layoutInCell="1" allowOverlap="1" wp14:anchorId="58FBBDBE" wp14:editId="50418A0D">
          <wp:simplePos x="0" y="0"/>
          <wp:positionH relativeFrom="page">
            <wp:posOffset>18342</wp:posOffset>
          </wp:positionH>
          <wp:positionV relativeFrom="paragraph">
            <wp:posOffset>-446567</wp:posOffset>
          </wp:positionV>
          <wp:extent cx="7558765" cy="10691997"/>
          <wp:effectExtent l="0" t="0" r="4445" b="0"/>
          <wp:wrapNone/>
          <wp:docPr id="1756631119" name="Picture 175663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850C" w14:textId="5323088B" w:rsidR="00DA3DA7" w:rsidRDefault="00DA3DA7">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945F" w14:textId="7AD462F6" w:rsidR="00561686" w:rsidRDefault="00561686">
    <w:pPr>
      <w:pStyle w:val="Header"/>
    </w:pPr>
    <w:r>
      <w:rPr>
        <w:noProof/>
      </w:rPr>
      <w:drawing>
        <wp:anchor distT="0" distB="0" distL="114300" distR="114300" simplePos="0" relativeHeight="251618816" behindDoc="1" locked="0" layoutInCell="1" allowOverlap="1" wp14:anchorId="0FC3FA6B" wp14:editId="16F496AA">
          <wp:simplePos x="0" y="0"/>
          <wp:positionH relativeFrom="page">
            <wp:align>right</wp:align>
          </wp:positionH>
          <wp:positionV relativeFrom="paragraph">
            <wp:posOffset>-457200</wp:posOffset>
          </wp:positionV>
          <wp:extent cx="7558763" cy="10691993"/>
          <wp:effectExtent l="0" t="0" r="0" b="0"/>
          <wp:wrapNone/>
          <wp:docPr id="1756631120" name="Picture 17566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AB7C" w14:textId="40E57BEA" w:rsidR="00DA3DA7" w:rsidRDefault="00BA48C5">
    <w:pPr>
      <w:pStyle w:val="Header"/>
    </w:pPr>
    <w:r>
      <w:rPr>
        <w:noProof/>
      </w:rPr>
      <w:drawing>
        <wp:anchor distT="0" distB="0" distL="114300" distR="114300" simplePos="0" relativeHeight="251738624" behindDoc="1" locked="0" layoutInCell="1" allowOverlap="1" wp14:anchorId="014DE4A6" wp14:editId="2AC80C4F">
          <wp:simplePos x="0" y="0"/>
          <wp:positionH relativeFrom="page">
            <wp:posOffset>-2924</wp:posOffset>
          </wp:positionH>
          <wp:positionV relativeFrom="paragraph">
            <wp:posOffset>-435934</wp:posOffset>
          </wp:positionV>
          <wp:extent cx="7558765" cy="10691997"/>
          <wp:effectExtent l="0" t="0" r="4445" b="0"/>
          <wp:wrapNone/>
          <wp:docPr id="1756631121" name="Picture 175663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E0CE" w14:textId="44427DB0" w:rsidR="00DA3DA7" w:rsidRDefault="00DA3DA7">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3338" w14:textId="40D30785" w:rsidR="00DA3DA7" w:rsidRDefault="00DA3DA7">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2A61" w14:textId="3F2B1609" w:rsidR="00561686" w:rsidRDefault="00561686">
    <w:pPr>
      <w:pStyle w:val="Header"/>
    </w:pPr>
    <w:r>
      <w:rPr>
        <w:noProof/>
      </w:rPr>
      <w:drawing>
        <wp:anchor distT="0" distB="0" distL="114300" distR="114300" simplePos="0" relativeHeight="251619840" behindDoc="1" locked="0" layoutInCell="1" allowOverlap="1" wp14:anchorId="4EE3BE01" wp14:editId="53589753">
          <wp:simplePos x="0" y="0"/>
          <wp:positionH relativeFrom="page">
            <wp:align>right</wp:align>
          </wp:positionH>
          <wp:positionV relativeFrom="paragraph">
            <wp:posOffset>-457200</wp:posOffset>
          </wp:positionV>
          <wp:extent cx="7558763" cy="10691993"/>
          <wp:effectExtent l="0" t="0" r="0" b="0"/>
          <wp:wrapNone/>
          <wp:docPr id="1756631122" name="Picture 175663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5EE1" w14:textId="72F9371A" w:rsidR="00DA3DA7" w:rsidRDefault="00BA48C5">
    <w:pPr>
      <w:pStyle w:val="Header"/>
    </w:pPr>
    <w:r>
      <w:rPr>
        <w:noProof/>
      </w:rPr>
      <w:drawing>
        <wp:anchor distT="0" distB="0" distL="114300" distR="114300" simplePos="0" relativeHeight="251737600" behindDoc="1" locked="0" layoutInCell="1" allowOverlap="1" wp14:anchorId="2FC05D34" wp14:editId="7E28FA7D">
          <wp:simplePos x="0" y="0"/>
          <wp:positionH relativeFrom="page">
            <wp:posOffset>-2924</wp:posOffset>
          </wp:positionH>
          <wp:positionV relativeFrom="paragraph">
            <wp:posOffset>-425302</wp:posOffset>
          </wp:positionV>
          <wp:extent cx="7558765" cy="10691997"/>
          <wp:effectExtent l="0" t="0" r="4445" b="0"/>
          <wp:wrapNone/>
          <wp:docPr id="1756631123" name="Picture 17566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8766" w14:textId="3ECFA649" w:rsidR="00DA3DA7" w:rsidRDefault="00DA3DA7">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11D5" w14:textId="3AA2DF43" w:rsidR="00561686" w:rsidRDefault="00561686">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0F82" w14:textId="155BE11D" w:rsidR="00DA3DA7" w:rsidRDefault="00DA3DA7">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41D3" w14:textId="5DC3C67F" w:rsidR="00DA3DA7" w:rsidRDefault="00DA3DA7">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A06C" w14:textId="239AC17D" w:rsidR="00561686" w:rsidRDefault="00561686">
    <w:pPr>
      <w:pStyle w:val="Header"/>
    </w:pPr>
    <w:r>
      <w:rPr>
        <w:noProof/>
      </w:rPr>
      <w:drawing>
        <wp:anchor distT="0" distB="0" distL="114300" distR="114300" simplePos="0" relativeHeight="251620864" behindDoc="1" locked="0" layoutInCell="1" allowOverlap="1" wp14:anchorId="32D84B15" wp14:editId="02FD921C">
          <wp:simplePos x="0" y="0"/>
          <wp:positionH relativeFrom="page">
            <wp:posOffset>9442</wp:posOffset>
          </wp:positionH>
          <wp:positionV relativeFrom="paragraph">
            <wp:posOffset>-457200</wp:posOffset>
          </wp:positionV>
          <wp:extent cx="7558763" cy="10691993"/>
          <wp:effectExtent l="0" t="0" r="0" b="0"/>
          <wp:wrapNone/>
          <wp:docPr id="1756631126" name="Picture 175663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A01D" w14:textId="35594F14" w:rsidR="00DA3DA7" w:rsidRDefault="00BA48C5">
    <w:pPr>
      <w:pStyle w:val="Header"/>
    </w:pPr>
    <w:r>
      <w:rPr>
        <w:noProof/>
      </w:rPr>
      <w:drawing>
        <wp:anchor distT="0" distB="0" distL="114300" distR="114300" simplePos="0" relativeHeight="251736576" behindDoc="1" locked="0" layoutInCell="1" allowOverlap="1" wp14:anchorId="4F8BEC29" wp14:editId="3F5284A6">
          <wp:simplePos x="0" y="0"/>
          <wp:positionH relativeFrom="page">
            <wp:posOffset>28973</wp:posOffset>
          </wp:positionH>
          <wp:positionV relativeFrom="paragraph">
            <wp:posOffset>-446568</wp:posOffset>
          </wp:positionV>
          <wp:extent cx="7558765" cy="10691997"/>
          <wp:effectExtent l="0" t="0" r="4445" b="0"/>
          <wp:wrapNone/>
          <wp:docPr id="1756631127" name="Picture 175663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AB8C" w14:textId="00D7CBDD" w:rsidR="00DA3DA7" w:rsidRDefault="00DA3D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5982" w14:textId="44063C41" w:rsidR="00507AF5" w:rsidRDefault="00351BCC" w:rsidP="00351BCC">
    <w:pPr>
      <w:pStyle w:val="Header"/>
      <w:tabs>
        <w:tab w:val="clear" w:pos="4513"/>
        <w:tab w:val="clear" w:pos="9026"/>
        <w:tab w:val="left" w:pos="5894"/>
      </w:tabs>
    </w:pPr>
    <w:r>
      <w:rPr>
        <w:noProof/>
      </w:rPr>
      <w:drawing>
        <wp:anchor distT="0" distB="0" distL="114300" distR="114300" simplePos="0" relativeHeight="251750912" behindDoc="1" locked="0" layoutInCell="1" allowOverlap="1" wp14:anchorId="61A3DA2A" wp14:editId="308A2B8B">
          <wp:simplePos x="0" y="0"/>
          <wp:positionH relativeFrom="page">
            <wp:posOffset>-2924</wp:posOffset>
          </wp:positionH>
          <wp:positionV relativeFrom="paragraph">
            <wp:posOffset>-457835</wp:posOffset>
          </wp:positionV>
          <wp:extent cx="7558765" cy="10691997"/>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39A2" w14:textId="09DD2321" w:rsidR="00561686" w:rsidRDefault="00561686">
    <w:pPr>
      <w:pStyle w:val="Header"/>
    </w:pPr>
    <w:r>
      <w:rPr>
        <w:noProof/>
      </w:rPr>
      <w:drawing>
        <wp:anchor distT="0" distB="0" distL="114300" distR="114300" simplePos="0" relativeHeight="251621888" behindDoc="1" locked="0" layoutInCell="1" allowOverlap="1" wp14:anchorId="5CA1B9CE" wp14:editId="779D4A67">
          <wp:simplePos x="0" y="0"/>
          <wp:positionH relativeFrom="page">
            <wp:posOffset>19381</wp:posOffset>
          </wp:positionH>
          <wp:positionV relativeFrom="paragraph">
            <wp:posOffset>-457200</wp:posOffset>
          </wp:positionV>
          <wp:extent cx="7558763" cy="10691993"/>
          <wp:effectExtent l="0" t="0" r="0" b="0"/>
          <wp:wrapNone/>
          <wp:docPr id="1756631129" name="Picture 175663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6BC2" w14:textId="03994C49" w:rsidR="00DA3DA7" w:rsidRDefault="00BA48C5">
    <w:pPr>
      <w:pStyle w:val="Header"/>
    </w:pPr>
    <w:r>
      <w:rPr>
        <w:noProof/>
      </w:rPr>
      <w:drawing>
        <wp:anchor distT="0" distB="0" distL="114300" distR="114300" simplePos="0" relativeHeight="251735552" behindDoc="1" locked="0" layoutInCell="1" allowOverlap="1" wp14:anchorId="121DCAC8" wp14:editId="156C218F">
          <wp:simplePos x="0" y="0"/>
          <wp:positionH relativeFrom="page">
            <wp:posOffset>18342</wp:posOffset>
          </wp:positionH>
          <wp:positionV relativeFrom="paragraph">
            <wp:posOffset>-414669</wp:posOffset>
          </wp:positionV>
          <wp:extent cx="7558765" cy="10691997"/>
          <wp:effectExtent l="0" t="0" r="4445" b="0"/>
          <wp:wrapNone/>
          <wp:docPr id="1756631130" name="Picture 175663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D5B3" w14:textId="3E3B73FA" w:rsidR="00DA3DA7" w:rsidRDefault="00DA3DA7">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FB42" w14:textId="54DAEA67" w:rsidR="00561686" w:rsidRDefault="0080168D">
    <w:pPr>
      <w:pStyle w:val="Header"/>
    </w:pPr>
    <w:r>
      <w:rPr>
        <w:noProof/>
      </w:rPr>
      <w:drawing>
        <wp:anchor distT="0" distB="0" distL="114300" distR="114300" simplePos="0" relativeHeight="251673088" behindDoc="1" locked="0" layoutInCell="1" allowOverlap="1" wp14:anchorId="4431F269" wp14:editId="6D5F4E07">
          <wp:simplePos x="0" y="0"/>
          <wp:positionH relativeFrom="page">
            <wp:posOffset>-4305</wp:posOffset>
          </wp:positionH>
          <wp:positionV relativeFrom="paragraph">
            <wp:posOffset>-486889</wp:posOffset>
          </wp:positionV>
          <wp:extent cx="7558761" cy="10691990"/>
          <wp:effectExtent l="0" t="0" r="4445" b="0"/>
          <wp:wrapNone/>
          <wp:docPr id="1756631131" name="Picture 17566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
                    <a:extLst>
                      <a:ext uri="{28A0092B-C50C-407E-A947-70E740481C1C}">
                        <a14:useLocalDpi xmlns:a14="http://schemas.microsoft.com/office/drawing/2010/main" val="0"/>
                      </a:ext>
                    </a:extLst>
                  </a:blip>
                  <a:stretch>
                    <a:fillRect/>
                  </a:stretch>
                </pic:blipFill>
                <pic:spPr>
                  <a:xfrm>
                    <a:off x="0" y="0"/>
                    <a:ext cx="7558761"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8EC9" w14:textId="3A1A5621" w:rsidR="00561686" w:rsidRDefault="008F7730">
    <w:pPr>
      <w:pStyle w:val="Header"/>
    </w:pPr>
    <w:r>
      <w:rPr>
        <w:noProof/>
      </w:rPr>
      <mc:AlternateContent>
        <mc:Choice Requires="wps">
          <w:drawing>
            <wp:anchor distT="0" distB="0" distL="114300" distR="114300" simplePos="0" relativeHeight="251659776" behindDoc="0" locked="0" layoutInCell="0" allowOverlap="1" wp14:anchorId="07A11188" wp14:editId="492A4FAB">
              <wp:simplePos x="0" y="0"/>
              <wp:positionH relativeFrom="page">
                <wp:posOffset>15766</wp:posOffset>
              </wp:positionH>
              <wp:positionV relativeFrom="page">
                <wp:posOffset>15766</wp:posOffset>
              </wp:positionV>
              <wp:extent cx="7772400" cy="463550"/>
              <wp:effectExtent l="0" t="0" r="0" b="12700"/>
              <wp:wrapNone/>
              <wp:docPr id="175662944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C08BC6"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A11188" id="_x0000_t202" coordsize="21600,21600" o:spt="202" path="m,l,21600r21600,l21600,xe">
              <v:stroke joinstyle="miter"/>
              <v:path gradientshapeok="t" o:connecttype="rect"/>
            </v:shapetype>
            <v:shape id="_x0000_s1073" type="#_x0000_t202" alt="{&quot;HashCode&quot;:431350885,&quot;Height&quot;:9999999.0,&quot;Width&quot;:9999999.0,&quot;Placement&quot;:&quot;Header&quot;,&quot;Index&quot;:&quot;Primary&quot;,&quot;Section&quot;:8,&quot;Top&quot;:0.0,&quot;Left&quot;:0.0}" style="position:absolute;margin-left:1.25pt;margin-top:1.25pt;width:612pt;height:36.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" o:allowincell="f" filled="f" stroked="f" strokeweight=".5pt">
              <v:textbox inset=",0,,0">
                <w:txbxContent>
                  <w:p w14:paraId="44C08BC6"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561686">
      <w:rPr>
        <w:noProof/>
      </w:rPr>
      <w:drawing>
        <wp:anchor distT="0" distB="0" distL="114300" distR="114300" simplePos="0" relativeHeight="251611648" behindDoc="1" locked="0" layoutInCell="1" allowOverlap="1" wp14:anchorId="279F6443" wp14:editId="28D633C3">
          <wp:simplePos x="0" y="0"/>
          <wp:positionH relativeFrom="page">
            <wp:posOffset>12424</wp:posOffset>
          </wp:positionH>
          <wp:positionV relativeFrom="paragraph">
            <wp:posOffset>-445273</wp:posOffset>
          </wp:positionV>
          <wp:extent cx="7558762" cy="10691992"/>
          <wp:effectExtent l="0" t="0" r="4445" b="0"/>
          <wp:wrapNone/>
          <wp:docPr id="1756631132" name="Picture 175663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487C" w14:textId="2B102ED7" w:rsidR="00DA3DA7" w:rsidRDefault="00DA3DA7">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B818" w14:textId="4BD77F62" w:rsidR="00D925EA" w:rsidRDefault="008F7730">
    <w:pPr>
      <w:pStyle w:val="Header"/>
    </w:pPr>
    <w:r>
      <w:rPr>
        <w:noProof/>
      </w:rPr>
      <mc:AlternateContent>
        <mc:Choice Requires="wps">
          <w:drawing>
            <wp:anchor distT="0" distB="0" distL="114300" distR="114300" simplePos="0" relativeHeight="251660800" behindDoc="0" locked="0" layoutInCell="0" allowOverlap="1" wp14:anchorId="00944EB4" wp14:editId="549BF7C7">
              <wp:simplePos x="0" y="0"/>
              <wp:positionH relativeFrom="page">
                <wp:posOffset>0</wp:posOffset>
              </wp:positionH>
              <wp:positionV relativeFrom="page">
                <wp:posOffset>0</wp:posOffset>
              </wp:positionV>
              <wp:extent cx="7772400" cy="463550"/>
              <wp:effectExtent l="0" t="0" r="0" b="12700"/>
              <wp:wrapNone/>
              <wp:docPr id="1756629443"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380201"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944EB4" id="_x0000_t202" coordsize="21600,21600" o:spt="202" path="m,l,21600r21600,l21600,xe">
              <v:stroke joinstyle="miter"/>
              <v:path gradientshapeok="t" o:connecttype="rect"/>
            </v:shapetype>
            <v:shape id="_x0000_s1074" type="#_x0000_t202" alt="{&quot;HashCode&quot;:431350885,&quot;Height&quot;:9999999.0,&quot;Width&quot;:9999999.0,&quot;Placement&quot;:&quot;Header&quot;,&quot;Index&quot;:&quot;Primary&quot;,&quot;Section&quot;:8,&quot;Top&quot;:0.0,&quot;Left&quot;:0.0}" style="position:absolute;margin-left:0;margin-top:0;width:612pt;height:36.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mm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jU9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DlUnmmGgIAAC4EAAAOAAAAAAAAAAAAAAAAAC4CAABkcnMvZTJvRG9jLnhtbFBLAQItABQABgAI&#10;AAAAIQC+Hwq32gAAAAUBAAAPAAAAAAAAAAAAAAAAAHQEAABkcnMvZG93bnJldi54bWxQSwUGAAAA&#10;AAQABADzAAAAewUAAAAA&#10;" o:allowincell="f" filled="f" stroked="f" strokeweight=".5pt">
              <v:textbox inset=",0,,0">
                <w:txbxContent>
                  <w:p w14:paraId="5F380201"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925EA">
      <w:rPr>
        <w:noProof/>
      </w:rPr>
      <w:drawing>
        <wp:anchor distT="0" distB="0" distL="114300" distR="114300" simplePos="0" relativeHeight="251624960" behindDoc="1" locked="0" layoutInCell="1" allowOverlap="1" wp14:anchorId="520A9D5A" wp14:editId="7C435EDB">
          <wp:simplePos x="0" y="0"/>
          <wp:positionH relativeFrom="page">
            <wp:align>right</wp:align>
          </wp:positionH>
          <wp:positionV relativeFrom="paragraph">
            <wp:posOffset>-457200</wp:posOffset>
          </wp:positionV>
          <wp:extent cx="7558762" cy="10691992"/>
          <wp:effectExtent l="0" t="0" r="4445" b="0"/>
          <wp:wrapNone/>
          <wp:docPr id="1756631133" name="Picture 175663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E15C" w14:textId="253E9E82" w:rsidR="00D925EA" w:rsidRDefault="008B2D3B">
    <w:pPr>
      <w:pStyle w:val="Header"/>
    </w:pPr>
    <w:r>
      <w:rPr>
        <w:noProof/>
      </w:rPr>
      <mc:AlternateContent>
        <mc:Choice Requires="wps">
          <w:drawing>
            <wp:anchor distT="0" distB="0" distL="114300" distR="114300" simplePos="0" relativeHeight="251688448" behindDoc="0" locked="0" layoutInCell="0" allowOverlap="1" wp14:anchorId="70CD618D" wp14:editId="12245403">
              <wp:simplePos x="0" y="0"/>
              <wp:positionH relativeFrom="page">
                <wp:posOffset>0</wp:posOffset>
              </wp:positionH>
              <wp:positionV relativeFrom="page">
                <wp:posOffset>-10758</wp:posOffset>
              </wp:positionV>
              <wp:extent cx="7772400" cy="463550"/>
              <wp:effectExtent l="0" t="0" r="0" b="12700"/>
              <wp:wrapNone/>
              <wp:docPr id="58"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57FB9"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D618D" id="_x0000_t202" coordsize="21600,21600" o:spt="202" path="m,l,21600r21600,l21600,xe">
              <v:stroke joinstyle="miter"/>
              <v:path gradientshapeok="t" o:connecttype="rect"/>
            </v:shapetype>
            <v:shape id="_x0000_s1075" type="#_x0000_t202" alt="{&quot;HashCode&quot;:431350885,&quot;Height&quot;:9999999.0,&quot;Width&quot;:9999999.0,&quot;Placement&quot;:&quot;Header&quot;,&quot;Index&quot;:&quot;Primary&quot;,&quot;Section&quot;:8,&quot;Top&quot;:0.0,&quot;Left&quot;:0.0}" style="position:absolute;margin-left:0;margin-top:-.85pt;width:612pt;height:36.5pt;z-index:2516884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" o:allowincell="f" filled="f" stroked="f" strokeweight=".5pt">
              <v:textbox inset=",0,,0">
                <w:txbxContent>
                  <w:p w14:paraId="5CD57FB9"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80168D">
      <w:rPr>
        <w:noProof/>
      </w:rPr>
      <w:drawing>
        <wp:anchor distT="0" distB="0" distL="114300" distR="114300" simplePos="0" relativeHeight="251674112" behindDoc="1" locked="0" layoutInCell="1" allowOverlap="1" wp14:anchorId="608C354B" wp14:editId="7701C517">
          <wp:simplePos x="0" y="0"/>
          <wp:positionH relativeFrom="page">
            <wp:posOffset>-4304</wp:posOffset>
          </wp:positionH>
          <wp:positionV relativeFrom="paragraph">
            <wp:posOffset>-463137</wp:posOffset>
          </wp:positionV>
          <wp:extent cx="7558763" cy="10691993"/>
          <wp:effectExtent l="0" t="0" r="0" b="0"/>
          <wp:wrapNone/>
          <wp:docPr id="1756631134" name="Picture 17566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AFD8" w14:textId="1F66F526" w:rsidR="00DA3DA7" w:rsidRDefault="00DA3DA7">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9881" w14:textId="177F6EF0" w:rsidR="00E249E5" w:rsidRDefault="00E249E5">
    <w:pPr>
      <w:pStyle w:val="Header"/>
    </w:pPr>
    <w:r>
      <w:rPr>
        <w:noProof/>
      </w:rPr>
      <w:drawing>
        <wp:anchor distT="0" distB="0" distL="114300" distR="114300" simplePos="0" relativeHeight="251677184" behindDoc="1" locked="0" layoutInCell="1" allowOverlap="1" wp14:anchorId="74C0798C" wp14:editId="4C2BF969">
          <wp:simplePos x="0" y="0"/>
          <wp:positionH relativeFrom="page">
            <wp:posOffset>-3810</wp:posOffset>
          </wp:positionH>
          <wp:positionV relativeFrom="paragraph">
            <wp:posOffset>-457200</wp:posOffset>
          </wp:positionV>
          <wp:extent cx="7558763" cy="10691993"/>
          <wp:effectExtent l="0" t="0" r="0" b="0"/>
          <wp:wrapNone/>
          <wp:docPr id="1756631135" name="Picture 175663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0" allowOverlap="1" wp14:anchorId="03764D02" wp14:editId="0BF73DCF">
              <wp:simplePos x="0" y="0"/>
              <wp:positionH relativeFrom="page">
                <wp:posOffset>0</wp:posOffset>
              </wp:positionH>
              <wp:positionV relativeFrom="page">
                <wp:posOffset>0</wp:posOffset>
              </wp:positionV>
              <wp:extent cx="7772400" cy="463550"/>
              <wp:effectExtent l="0" t="0" r="0" b="12700"/>
              <wp:wrapNone/>
              <wp:docPr id="1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8637B" w14:textId="77777777" w:rsidR="00E249E5" w:rsidRPr="008E4C9E" w:rsidRDefault="00E249E5"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764D02" id="_x0000_t202" coordsize="21600,21600" o:spt="202" path="m,l,21600r21600,l21600,xe">
              <v:stroke joinstyle="miter"/>
              <v:path gradientshapeok="t" o:connecttype="rect"/>
            </v:shapetype>
            <v:shape id="_x0000_s1076" type="#_x0000_t202" alt="{&quot;HashCode&quot;:431350885,&quot;Height&quot;:9999999.0,&quot;Width&quot;:9999999.0,&quot;Placement&quot;:&quot;Header&quot;,&quot;Index&quot;:&quot;Primary&quot;,&quot;Section&quot;:8,&quot;Top&quot;:0.0,&quot;Left&quot;:0.0}" style="position:absolute;margin-left:0;margin-top:0;width:612pt;height:36.5pt;z-index:2516761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D/vQ51GgIAAC4EAAAOAAAAAAAAAAAAAAAAAC4CAABkcnMvZTJvRG9jLnhtbFBLAQItABQABgAI&#10;AAAAIQC+Hwq32gAAAAUBAAAPAAAAAAAAAAAAAAAAAHQEAABkcnMvZG93bnJldi54bWxQSwUGAAAA&#10;AAQABADzAAAAewUAAAAA&#10;" o:allowincell="f" filled="f" stroked="f" strokeweight=".5pt">
              <v:textbox inset=",0,,0">
                <w:txbxContent>
                  <w:p w14:paraId="01E8637B" w14:textId="77777777" w:rsidR="00E249E5" w:rsidRPr="008E4C9E" w:rsidRDefault="00E249E5"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B4B6" w14:textId="6193A7AA" w:rsidR="005F42AC" w:rsidRDefault="005F42AC">
    <w:pPr>
      <w:pStyle w:val="Header"/>
    </w:pPr>
    <w:r>
      <w:rPr>
        <w:noProof/>
      </w:rPr>
      <mc:AlternateContent>
        <mc:Choice Requires="wps">
          <w:drawing>
            <wp:anchor distT="0" distB="0" distL="114300" distR="114300" simplePos="0" relativeHeight="251647488" behindDoc="0" locked="0" layoutInCell="0" allowOverlap="1" wp14:anchorId="33185522" wp14:editId="5C71586F">
              <wp:simplePos x="0" y="0"/>
              <wp:positionH relativeFrom="page">
                <wp:align>center</wp:align>
              </wp:positionH>
              <wp:positionV relativeFrom="page">
                <wp:align>top</wp:align>
              </wp:positionV>
              <wp:extent cx="7772400" cy="463550"/>
              <wp:effectExtent l="0" t="0" r="0" b="12700"/>
              <wp:wrapNone/>
              <wp:docPr id="30" name="MSIPCM14c54b939392b66eedd68d97" descr="{&quot;HashCode&quot;:4313508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7CE19" w14:textId="0EA84EEA" w:rsidR="005F42AC" w:rsidRPr="00913BBD" w:rsidRDefault="004060ED" w:rsidP="004060ED">
                          <w:pPr>
                            <w:spacing w:after="0"/>
                            <w:jc w:val="center"/>
                            <w:rPr>
                              <w:rFonts w:ascii="Calibri" w:hAnsi="Calibri" w:cs="Calibri"/>
                              <w:color w:val="auto"/>
                              <w:sz w:val="24"/>
                            </w:rPr>
                          </w:pPr>
                          <w:r w:rsidRPr="00913BBD">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185522" id="_x0000_t202" coordsize="21600,21600" o:spt="202" path="m,l,21600r21600,l21600,xe">
              <v:stroke joinstyle="miter"/>
              <v:path gradientshapeok="t" o:connecttype="rect"/>
            </v:shapetype>
            <v:shape id="MSIPCM14c54b939392b66eedd68d97" o:spid="_x0000_s1040" type="#_x0000_t202" alt="{&quot;HashCode&quot;:431350885,&quot;Height&quot;:9999999.0,&quot;Width&quot;:9999999.0,&quot;Placement&quot;:&quot;Header&quot;,&quot;Index&quot;:&quot;Primary&quot;,&quot;Section&quot;:1,&quot;Top&quot;:0.0,&quot;Left&quot;:0.0}" style="position:absolute;margin-left:0;margin-top:0;width:612pt;height:36.5pt;z-index:2516474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557CE19" w14:textId="0EA84EEA" w:rsidR="005F42AC" w:rsidRPr="00913BBD" w:rsidRDefault="004060ED" w:rsidP="004060ED">
                    <w:pPr>
                      <w:spacing w:after="0"/>
                      <w:jc w:val="center"/>
                      <w:rPr>
                        <w:rFonts w:ascii="Calibri" w:hAnsi="Calibri" w:cs="Calibri"/>
                        <w:color w:val="auto"/>
                        <w:sz w:val="24"/>
                      </w:rPr>
                    </w:pPr>
                    <w:r w:rsidRPr="00913BBD">
                      <w:rPr>
                        <w:rFonts w:ascii="Calibri" w:hAnsi="Calibri" w:cs="Calibri"/>
                        <w:color w:val="auto"/>
                        <w:sz w:val="24"/>
                      </w:rPr>
                      <w:t>OFFICIAL</w:t>
                    </w:r>
                  </w:p>
                </w:txbxContent>
              </v:textbox>
              <w10:wrap anchorx="page" anchory="page"/>
            </v:shape>
          </w:pict>
        </mc:Fallback>
      </mc:AlternateContent>
    </w:r>
  </w:p>
  <w:p w14:paraId="350352BB" w14:textId="77777777" w:rsidR="005F42AC" w:rsidRDefault="005F42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EBF2" w14:textId="3E4250DF" w:rsidR="00507AF5" w:rsidRDefault="00993BFF">
    <w:pPr>
      <w:pStyle w:val="Header"/>
    </w:pPr>
    <w:r>
      <w:rPr>
        <w:noProof/>
      </w:rPr>
      <w:drawing>
        <wp:anchor distT="0" distB="0" distL="114300" distR="114300" simplePos="0" relativeHeight="251708928" behindDoc="1" locked="0" layoutInCell="1" allowOverlap="1" wp14:anchorId="53A864BA" wp14:editId="53F9DDAC">
          <wp:simplePos x="0" y="0"/>
          <wp:positionH relativeFrom="page">
            <wp:posOffset>-1019</wp:posOffset>
          </wp:positionH>
          <wp:positionV relativeFrom="paragraph">
            <wp:posOffset>-435935</wp:posOffset>
          </wp:positionV>
          <wp:extent cx="7558405" cy="1069149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507AF5">
      <w:rPr>
        <w:noProof/>
      </w:rPr>
      <mc:AlternateContent>
        <mc:Choice Requires="wps">
          <w:drawing>
            <wp:anchor distT="0" distB="0" distL="114300" distR="114300" simplePos="0" relativeHeight="251702784" behindDoc="0" locked="0" layoutInCell="0" allowOverlap="1" wp14:anchorId="48233D0D" wp14:editId="3F982500">
              <wp:simplePos x="0" y="0"/>
              <wp:positionH relativeFrom="page">
                <wp:posOffset>0</wp:posOffset>
              </wp:positionH>
              <wp:positionV relativeFrom="page">
                <wp:posOffset>190500</wp:posOffset>
              </wp:positionV>
              <wp:extent cx="7560310" cy="273050"/>
              <wp:effectExtent l="0" t="0" r="0" b="12700"/>
              <wp:wrapNone/>
              <wp:docPr id="35" name="MSIPCM264e42f088b1b8e56ca05a85" descr="{&quot;HashCode&quot;:431350885,&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466CB" w14:textId="77777777" w:rsidR="00507AF5" w:rsidRPr="00AF2677" w:rsidRDefault="00507AF5" w:rsidP="00B95D8F">
                          <w:pPr>
                            <w:spacing w:after="0"/>
                            <w:jc w:val="center"/>
                            <w:rPr>
                              <w:rFonts w:ascii="Calibri" w:hAnsi="Calibri" w:cs="Calibri"/>
                              <w:color w:val="37393C" w:themeColor="background2" w:themeShade="40"/>
                              <w:sz w:val="24"/>
                            </w:rPr>
                          </w:pPr>
                          <w:r w:rsidRPr="00AF2677">
                            <w:rPr>
                              <w:rFonts w:ascii="Calibri" w:hAnsi="Calibri" w:cs="Calibri"/>
                              <w:color w:val="37393C" w:themeColor="background2" w:themeShade="4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233D0D" id="_x0000_t202" coordsize="21600,21600" o:spt="202" path="m,l,21600r21600,l21600,xe">
              <v:stroke joinstyle="miter"/>
              <v:path gradientshapeok="t" o:connecttype="rect"/>
            </v:shapetype>
            <v:shape id="MSIPCM264e42f088b1b8e56ca05a85" o:spid="_x0000_s1047" type="#_x0000_t202" alt="{&quot;HashCode&quot;:431350885,&quot;Height&quot;:841.0,&quot;Width&quot;:595.0,&quot;Placement&quot;:&quot;Header&quot;,&quot;Index&quot;:&quot;Primary&quot;,&quot;Section&quot;:2,&quot;Top&quot;:0.0,&quot;Left&quot;:0.0}" style="position:absolute;margin-left:0;margin-top:15pt;width:595.3pt;height:21.5pt;z-index:251702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H/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IhYf8XAgAAKwQAAA4AAAAAAAAAAAAAAAAALgIAAGRycy9lMm9Eb2MueG1sUEsBAi0AFAAGAAgA&#10;AAAhAEsiCebcAAAABwEAAA8AAAAAAAAAAAAAAAAAcQQAAGRycy9kb3ducmV2LnhtbFBLBQYAAAAA&#10;BAAEAPMAAAB6BQAAAAA=&#10;" o:allowincell="f" filled="f" stroked="f" strokeweight=".5pt">
              <v:textbox inset=",0,,0">
                <w:txbxContent>
                  <w:p w14:paraId="7EC466CB" w14:textId="77777777" w:rsidR="00507AF5" w:rsidRPr="00AF2677" w:rsidRDefault="00507AF5" w:rsidP="00B95D8F">
                    <w:pPr>
                      <w:spacing w:after="0"/>
                      <w:jc w:val="center"/>
                      <w:rPr>
                        <w:rFonts w:ascii="Calibri" w:hAnsi="Calibri" w:cs="Calibri"/>
                        <w:color w:val="37393C" w:themeColor="background2" w:themeShade="40"/>
                        <w:sz w:val="24"/>
                      </w:rPr>
                    </w:pPr>
                    <w:r w:rsidRPr="00AF2677">
                      <w:rPr>
                        <w:rFonts w:ascii="Calibri" w:hAnsi="Calibri" w:cs="Calibri"/>
                        <w:color w:val="37393C" w:themeColor="background2" w:themeShade="40"/>
                        <w:sz w:val="24"/>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F0CF" w14:textId="0ECF9C2C" w:rsidR="00DA3DA7" w:rsidRDefault="00BA48C5">
    <w:pPr>
      <w:pStyle w:val="Header"/>
    </w:pPr>
    <w:r>
      <w:rPr>
        <w:noProof/>
      </w:rPr>
      <w:drawing>
        <wp:anchor distT="0" distB="0" distL="114300" distR="114300" simplePos="0" relativeHeight="251733504" behindDoc="1" locked="0" layoutInCell="1" allowOverlap="1" wp14:anchorId="661490B1" wp14:editId="1569EDC5">
          <wp:simplePos x="0" y="0"/>
          <wp:positionH relativeFrom="page">
            <wp:posOffset>18341</wp:posOffset>
          </wp:positionH>
          <wp:positionV relativeFrom="paragraph">
            <wp:posOffset>-435934</wp:posOffset>
          </wp:positionV>
          <wp:extent cx="7558765" cy="10691997"/>
          <wp:effectExtent l="0" t="0" r="444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A2FB" w14:textId="6E5394C6" w:rsidR="00DA3DA7" w:rsidRDefault="00DA3DA7">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4992" w14:textId="18CC62EA" w:rsidR="00DA3DA7" w:rsidRDefault="00DA3DA7">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DE0B" w14:textId="73FB62C0" w:rsidR="00561686" w:rsidRDefault="008F7730">
    <w:r>
      <w:rPr>
        <w:noProof/>
      </w:rPr>
      <mc:AlternateContent>
        <mc:Choice Requires="wps">
          <w:drawing>
            <wp:anchor distT="0" distB="0" distL="114300" distR="114300" simplePos="0" relativeHeight="251661824" behindDoc="0" locked="0" layoutInCell="0" allowOverlap="1" wp14:anchorId="7CE1103E" wp14:editId="61390A51">
              <wp:simplePos x="0" y="0"/>
              <wp:positionH relativeFrom="page">
                <wp:posOffset>15766</wp:posOffset>
              </wp:positionH>
              <wp:positionV relativeFrom="page">
                <wp:posOffset>15766</wp:posOffset>
              </wp:positionV>
              <wp:extent cx="7772400" cy="463550"/>
              <wp:effectExtent l="0" t="0" r="0" b="12700"/>
              <wp:wrapNone/>
              <wp:docPr id="1756629448"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12250"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E1103E" id="_x0000_t202" coordsize="21600,21600" o:spt="202" path="m,l,21600r21600,l21600,xe">
              <v:stroke joinstyle="miter"/>
              <v:path gradientshapeok="t" o:connecttype="rect"/>
            </v:shapetype>
            <v:shape id="_x0000_s1077" type="#_x0000_t202" alt="{&quot;HashCode&quot;:431350885,&quot;Height&quot;:9999999.0,&quot;Width&quot;:9999999.0,&quot;Placement&quot;:&quot;Header&quot;,&quot;Index&quot;:&quot;Primary&quot;,&quot;Section&quot;:8,&quot;Top&quot;:0.0,&quot;Left&quot;:0.0}" style="position:absolute;margin-left:1.25pt;margin-top:1.25pt;width:612pt;height:36.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" o:allowincell="f" filled="f" stroked="f" strokeweight=".5pt">
              <v:textbox inset=",0,,0">
                <w:txbxContent>
                  <w:p w14:paraId="7B512250"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561686">
      <w:rPr>
        <w:noProof/>
      </w:rPr>
      <w:drawing>
        <wp:anchor distT="0" distB="0" distL="114300" distR="114300" simplePos="0" relativeHeight="251610624" behindDoc="1" locked="0" layoutInCell="1" allowOverlap="1" wp14:anchorId="3C8C7603" wp14:editId="73983770">
          <wp:simplePos x="0" y="0"/>
          <wp:positionH relativeFrom="page">
            <wp:posOffset>17831</wp:posOffset>
          </wp:positionH>
          <wp:positionV relativeFrom="paragraph">
            <wp:posOffset>-446227</wp:posOffset>
          </wp:positionV>
          <wp:extent cx="7558765" cy="10691997"/>
          <wp:effectExtent l="0" t="0" r="444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8A16" w14:textId="4DA6F330" w:rsidR="00DA3DA7" w:rsidRDefault="00DA3DA7">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A855" w14:textId="7324DC13" w:rsidR="00561686" w:rsidRDefault="00561686">
    <w:pPr>
      <w:pStyle w:val="Header"/>
    </w:pPr>
    <w:r>
      <w:rPr>
        <w:noProof/>
      </w:rPr>
      <w:drawing>
        <wp:anchor distT="0" distB="0" distL="114300" distR="114300" simplePos="0" relativeHeight="251606528" behindDoc="1" locked="0" layoutInCell="1" allowOverlap="1" wp14:anchorId="3193C889" wp14:editId="6D34CE92">
          <wp:simplePos x="0" y="0"/>
          <wp:positionH relativeFrom="page">
            <wp:align>right</wp:align>
          </wp:positionH>
          <wp:positionV relativeFrom="paragraph">
            <wp:posOffset>-457200</wp:posOffset>
          </wp:positionV>
          <wp:extent cx="7558763" cy="10691993"/>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17C9" w14:textId="681BAF73" w:rsidR="00DA3DA7" w:rsidRDefault="00DA3DA7">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C0E7" w14:textId="0E08655A" w:rsidR="00DA3DA7" w:rsidRDefault="00DA3DA7">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E98D" w14:textId="2CD4736A" w:rsidR="00561686" w:rsidRDefault="008F7730">
    <w:pPr>
      <w:pStyle w:val="Header"/>
    </w:pPr>
    <w:r>
      <w:rPr>
        <w:noProof/>
      </w:rPr>
      <mc:AlternateContent>
        <mc:Choice Requires="wps">
          <w:drawing>
            <wp:anchor distT="0" distB="0" distL="114300" distR="114300" simplePos="0" relativeHeight="251662848" behindDoc="0" locked="0" layoutInCell="0" allowOverlap="1" wp14:anchorId="53E47A89" wp14:editId="7F3DC6F0">
              <wp:simplePos x="0" y="0"/>
              <wp:positionH relativeFrom="page">
                <wp:posOffset>0</wp:posOffset>
              </wp:positionH>
              <wp:positionV relativeFrom="page">
                <wp:posOffset>0</wp:posOffset>
              </wp:positionV>
              <wp:extent cx="7772400" cy="463550"/>
              <wp:effectExtent l="0" t="0" r="0" b="12700"/>
              <wp:wrapNone/>
              <wp:docPr id="175662944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24C9F3"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E47A89" id="_x0000_t202" coordsize="21600,21600" o:spt="202" path="m,l,21600r21600,l21600,xe">
              <v:stroke joinstyle="miter"/>
              <v:path gradientshapeok="t" o:connecttype="rect"/>
            </v:shapetype>
            <v:shape id="_x0000_s1078" type="#_x0000_t202" alt="{&quot;HashCode&quot;:431350885,&quot;Height&quot;:9999999.0,&quot;Width&quot;:9999999.0,&quot;Placement&quot;:&quot;Header&quot;,&quot;Index&quot;:&quot;Primary&quot;,&quot;Section&quot;:8,&quot;Top&quot;:0.0,&quot;Left&quot;:0.0}" style="position:absolute;margin-left:0;margin-top:0;width:612pt;height:36.5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6OtogGgIAAC4EAAAOAAAAAAAAAAAAAAAAAC4CAABkcnMvZTJvRG9jLnhtbFBLAQItABQABgAI&#10;AAAAIQC+Hwq32gAAAAUBAAAPAAAAAAAAAAAAAAAAAHQEAABkcnMvZG93bnJldi54bWxQSwUGAAAA&#10;AAQABADzAAAAewUAAAAA&#10;" o:allowincell="f" filled="f" stroked="f" strokeweight=".5pt">
              <v:textbox inset=",0,,0">
                <w:txbxContent>
                  <w:p w14:paraId="7524C9F3"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561686">
      <w:rPr>
        <w:noProof/>
      </w:rPr>
      <w:drawing>
        <wp:anchor distT="0" distB="0" distL="114300" distR="114300" simplePos="0" relativeHeight="251607552" behindDoc="1" locked="0" layoutInCell="1" allowOverlap="1" wp14:anchorId="2AA533FC" wp14:editId="1EC80585">
          <wp:simplePos x="0" y="0"/>
          <wp:positionH relativeFrom="page">
            <wp:align>right</wp:align>
          </wp:positionH>
          <wp:positionV relativeFrom="paragraph">
            <wp:posOffset>-457200</wp:posOffset>
          </wp:positionV>
          <wp:extent cx="7558763" cy="10691993"/>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9D39" w14:textId="6D5C764F" w:rsidR="00DA3DA7" w:rsidRDefault="00BA48C5">
    <w:pPr>
      <w:pStyle w:val="Header"/>
    </w:pPr>
    <w:r>
      <w:rPr>
        <w:noProof/>
      </w:rPr>
      <w:drawing>
        <wp:anchor distT="0" distB="0" distL="114300" distR="114300" simplePos="0" relativeHeight="251730432" behindDoc="1" locked="0" layoutInCell="1" allowOverlap="1" wp14:anchorId="2B9748FE" wp14:editId="0DE911E8">
          <wp:simplePos x="0" y="0"/>
          <wp:positionH relativeFrom="page">
            <wp:posOffset>28974</wp:posOffset>
          </wp:positionH>
          <wp:positionV relativeFrom="paragraph">
            <wp:posOffset>-435935</wp:posOffset>
          </wp:positionV>
          <wp:extent cx="7558765" cy="10691997"/>
          <wp:effectExtent l="0" t="0" r="4445"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234C" w14:textId="4604DFB0" w:rsidR="00507AF5" w:rsidRDefault="00507AF5">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397D" w14:textId="0926B402" w:rsidR="00DA3DA7" w:rsidRDefault="00DA3DA7">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E487" w14:textId="48FB69C7" w:rsidR="00561686" w:rsidRDefault="008F7730">
    <w:pPr>
      <w:pStyle w:val="Header"/>
    </w:pPr>
    <w:r>
      <w:rPr>
        <w:noProof/>
      </w:rPr>
      <mc:AlternateContent>
        <mc:Choice Requires="wps">
          <w:drawing>
            <wp:anchor distT="0" distB="0" distL="114300" distR="114300" simplePos="0" relativeHeight="251664896" behindDoc="0" locked="0" layoutInCell="0" allowOverlap="1" wp14:anchorId="2DFBA631" wp14:editId="2A2363EB">
              <wp:simplePos x="0" y="0"/>
              <wp:positionH relativeFrom="page">
                <wp:posOffset>0</wp:posOffset>
              </wp:positionH>
              <wp:positionV relativeFrom="page">
                <wp:posOffset>0</wp:posOffset>
              </wp:positionV>
              <wp:extent cx="7772400" cy="463550"/>
              <wp:effectExtent l="0" t="0" r="0" b="12700"/>
              <wp:wrapNone/>
              <wp:docPr id="175662945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295F6"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FBA631" id="_x0000_t202" coordsize="21600,21600" o:spt="202" path="m,l,21600r21600,l21600,xe">
              <v:stroke joinstyle="miter"/>
              <v:path gradientshapeok="t" o:connecttype="rect"/>
            </v:shapetype>
            <v:shape id="_x0000_s1079" type="#_x0000_t202" alt="{&quot;HashCode&quot;:431350885,&quot;Height&quot;:9999999.0,&quot;Width&quot;:9999999.0,&quot;Placement&quot;:&quot;Header&quot;,&quot;Index&quot;:&quot;Primary&quot;,&quot;Section&quot;:8,&quot;Top&quot;:0.0,&quot;Left&quot;:0.0}" style="position:absolute;margin-left:0;margin-top:0;width:612pt;height:36.5pt;z-index:251664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D3zWFJGgIAAC4EAAAOAAAAAAAAAAAAAAAAAC4CAABkcnMvZTJvRG9jLnhtbFBLAQItABQABgAI&#10;AAAAIQC+Hwq32gAAAAUBAAAPAAAAAAAAAAAAAAAAAHQEAABkcnMvZG93bnJldi54bWxQSwUGAAAA&#10;AAQABADzAAAAewUAAAAA&#10;" o:allowincell="f" filled="f" stroked="f" strokeweight=".5pt">
              <v:textbox inset=",0,,0">
                <w:txbxContent>
                  <w:p w14:paraId="26F295F6"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561686">
      <w:rPr>
        <w:noProof/>
      </w:rPr>
      <w:drawing>
        <wp:anchor distT="0" distB="0" distL="114300" distR="114300" simplePos="0" relativeHeight="251605504" behindDoc="1" locked="0" layoutInCell="1" allowOverlap="1" wp14:anchorId="7A8870EA" wp14:editId="5F60CAA6">
          <wp:simplePos x="0" y="0"/>
          <wp:positionH relativeFrom="page">
            <wp:align>right</wp:align>
          </wp:positionH>
          <wp:positionV relativeFrom="paragraph">
            <wp:posOffset>-457200</wp:posOffset>
          </wp:positionV>
          <wp:extent cx="7558763" cy="10691993"/>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3D83" w14:textId="7015D10E" w:rsidR="00DA3DA7" w:rsidRDefault="00DA3DA7">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0CCF" w14:textId="0F339583" w:rsidR="00DA3DA7" w:rsidRDefault="00DA3DA7">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6B89" w14:textId="367370C1" w:rsidR="00DA3DA7" w:rsidRDefault="00BA48C5">
    <w:pPr>
      <w:pStyle w:val="Header"/>
    </w:pPr>
    <w:r>
      <w:rPr>
        <w:noProof/>
      </w:rPr>
      <w:drawing>
        <wp:anchor distT="0" distB="0" distL="114300" distR="114300" simplePos="0" relativeHeight="251732480" behindDoc="1" locked="0" layoutInCell="1" allowOverlap="1" wp14:anchorId="08A14120" wp14:editId="369D140C">
          <wp:simplePos x="0" y="0"/>
          <wp:positionH relativeFrom="page">
            <wp:posOffset>50239</wp:posOffset>
          </wp:positionH>
          <wp:positionV relativeFrom="paragraph">
            <wp:posOffset>-425303</wp:posOffset>
          </wp:positionV>
          <wp:extent cx="7558765" cy="10691995"/>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4BCD" w14:textId="05B970F0" w:rsidR="00561686" w:rsidRDefault="008F7730">
    <w:r>
      <w:rPr>
        <w:noProof/>
      </w:rPr>
      <mc:AlternateContent>
        <mc:Choice Requires="wps">
          <w:drawing>
            <wp:anchor distT="0" distB="0" distL="114300" distR="114300" simplePos="0" relativeHeight="251663872" behindDoc="0" locked="0" layoutInCell="0" allowOverlap="1" wp14:anchorId="224AEA0E" wp14:editId="2F01DA40">
              <wp:simplePos x="0" y="0"/>
              <wp:positionH relativeFrom="page">
                <wp:posOffset>15766</wp:posOffset>
              </wp:positionH>
              <wp:positionV relativeFrom="page">
                <wp:posOffset>15766</wp:posOffset>
              </wp:positionV>
              <wp:extent cx="7772400" cy="463550"/>
              <wp:effectExtent l="0" t="0" r="0" b="12700"/>
              <wp:wrapNone/>
              <wp:docPr id="175662945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3EE52"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4AEA0E" id="_x0000_t202" coordsize="21600,21600" o:spt="202" path="m,l,21600r21600,l21600,xe">
              <v:stroke joinstyle="miter"/>
              <v:path gradientshapeok="t" o:connecttype="rect"/>
            </v:shapetype>
            <v:shape id="_x0000_s1080" type="#_x0000_t202" alt="{&quot;HashCode&quot;:431350885,&quot;Height&quot;:9999999.0,&quot;Width&quot;:9999999.0,&quot;Placement&quot;:&quot;Header&quot;,&quot;Index&quot;:&quot;Primary&quot;,&quot;Section&quot;:8,&quot;Top&quot;:0.0,&quot;Left&quot;:0.0}" style="position:absolute;margin-left:1.25pt;margin-top:1.25pt;width:612pt;height:36.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" o:allowincell="f" filled="f" stroked="f" strokeweight=".5pt">
              <v:textbox inset=",0,,0">
                <w:txbxContent>
                  <w:p w14:paraId="0483EE52"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561686">
      <w:rPr>
        <w:noProof/>
      </w:rPr>
      <w:drawing>
        <wp:anchor distT="0" distB="0" distL="114300" distR="114300" simplePos="0" relativeHeight="251608576" behindDoc="1" locked="0" layoutInCell="1" allowOverlap="1" wp14:anchorId="1F4B3612" wp14:editId="23661C5E">
          <wp:simplePos x="0" y="0"/>
          <wp:positionH relativeFrom="page">
            <wp:posOffset>17831</wp:posOffset>
          </wp:positionH>
          <wp:positionV relativeFrom="paragraph">
            <wp:posOffset>-446227</wp:posOffset>
          </wp:positionV>
          <wp:extent cx="7558765" cy="10691997"/>
          <wp:effectExtent l="0" t="0" r="4445"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BB45" w14:textId="1001F728" w:rsidR="00DA3DA7" w:rsidRDefault="00DA3DA7">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1D86" w14:textId="162D5D5D" w:rsidR="007758F0" w:rsidRDefault="007758F0">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1A36" w14:textId="14E2FB40" w:rsidR="007758F0" w:rsidRDefault="00562080">
    <w:r>
      <w:rPr>
        <w:noProof/>
      </w:rPr>
      <w:drawing>
        <wp:anchor distT="0" distB="0" distL="114300" distR="114300" simplePos="0" relativeHeight="251726336" behindDoc="1" locked="0" layoutInCell="1" allowOverlap="1" wp14:anchorId="499C58F0" wp14:editId="4BD07097">
          <wp:simplePos x="0" y="0"/>
          <wp:positionH relativeFrom="page">
            <wp:posOffset>-3751</wp:posOffset>
          </wp:positionH>
          <wp:positionV relativeFrom="paragraph">
            <wp:posOffset>-334003</wp:posOffset>
          </wp:positionV>
          <wp:extent cx="7558765" cy="10691997"/>
          <wp:effectExtent l="0" t="0" r="4445"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7698" w14:textId="77777777" w:rsidR="007758F0" w:rsidRDefault="00086D38">
    <w:pPr>
      <w:pStyle w:val="Header"/>
    </w:pPr>
    <w:r>
      <w:rPr>
        <w:noProof/>
      </w:rPr>
      <w:pict w14:anchorId="70317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0" type="#_x0000_t136" style="position:absolute;margin-left:0;margin-top:0;width:572.15pt;height:107.25pt;rotation:315;z-index:-251553280;mso-position-horizontal:center;mso-position-horizontal-relative:margin;mso-position-vertical:center;mso-position-vertical-relative:margin" o:allowincell="f" fillcolor="silver" stroked="f">
          <v:fill opacity=".5"/>
          <v:textpath style="font-family:&quot;Calibri Light&quot;;font-size:1pt" string="CONSULTATION 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BF5D" w14:textId="5EB6B211" w:rsidR="002227D3" w:rsidRDefault="00E918DE">
    <w:pPr>
      <w:pStyle w:val="Header"/>
    </w:pPr>
    <w:r>
      <w:rPr>
        <w:noProof/>
      </w:rPr>
      <w:drawing>
        <wp:anchor distT="0" distB="0" distL="114300" distR="114300" simplePos="0" relativeHeight="251681280" behindDoc="1" locked="0" layoutInCell="1" allowOverlap="1" wp14:anchorId="421F5635" wp14:editId="31F9D6A6">
          <wp:simplePos x="0" y="0"/>
          <wp:positionH relativeFrom="page">
            <wp:posOffset>-3810</wp:posOffset>
          </wp:positionH>
          <wp:positionV relativeFrom="paragraph">
            <wp:posOffset>-447675</wp:posOffset>
          </wp:positionV>
          <wp:extent cx="7558405" cy="10691495"/>
          <wp:effectExtent l="0" t="0" r="444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8E4C9E">
      <w:rPr>
        <w:noProof/>
      </w:rPr>
      <mc:AlternateContent>
        <mc:Choice Requires="wps">
          <w:drawing>
            <wp:anchor distT="0" distB="0" distL="114300" distR="114300" simplePos="0" relativeHeight="251635200" behindDoc="0" locked="0" layoutInCell="0" allowOverlap="1" wp14:anchorId="09D13A9A" wp14:editId="5F419CEB">
              <wp:simplePos x="0" y="0"/>
              <wp:positionH relativeFrom="page">
                <wp:posOffset>0</wp:posOffset>
              </wp:positionH>
              <wp:positionV relativeFrom="page">
                <wp:posOffset>13648</wp:posOffset>
              </wp:positionV>
              <wp:extent cx="7772400" cy="463550"/>
              <wp:effectExtent l="0" t="0" r="0" b="12700"/>
              <wp:wrapNone/>
              <wp:docPr id="4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5C44A" w14:textId="77777777" w:rsidR="008E4C9E" w:rsidRPr="008E4C9E" w:rsidRDefault="008E4C9E" w:rsidP="008E4C9E">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D13A9A" id="_x0000_t202" coordsize="21600,21600" o:spt="202" path="m,l,21600r21600,l21600,xe">
              <v:stroke joinstyle="miter"/>
              <v:path gradientshapeok="t" o:connecttype="rect"/>
            </v:shapetype>
            <v:shape id="_x0000_s1048" type="#_x0000_t202" alt="{&quot;HashCode&quot;:431350885,&quot;Height&quot;:9999999.0,&quot;Width&quot;:9999999.0,&quot;Placement&quot;:&quot;Header&quot;,&quot;Index&quot;:&quot;Primary&quot;,&quot;Section&quot;:8,&quot;Top&quot;:0.0,&quot;Left&quot;:0.0}" style="position:absolute;margin-left:0;margin-top:1.05pt;width:612pt;height:36.5pt;z-index:2516352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" o:allowincell="f" filled="f" stroked="f" strokeweight=".5pt">
              <v:textbox inset=",0,,0">
                <w:txbxContent>
                  <w:p w14:paraId="60C5C44A" w14:textId="77777777" w:rsidR="008E4C9E" w:rsidRPr="008E4C9E" w:rsidRDefault="008E4C9E" w:rsidP="008E4C9E">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1A18" w14:textId="292596C7" w:rsidR="000442BE" w:rsidRDefault="008F7730">
    <w:pPr>
      <w:pStyle w:val="Header"/>
    </w:pPr>
    <w:r>
      <w:rPr>
        <w:noProof/>
      </w:rPr>
      <mc:AlternateContent>
        <mc:Choice Requires="wps">
          <w:drawing>
            <wp:anchor distT="0" distB="0" distL="114300" distR="114300" simplePos="0" relativeHeight="251665920" behindDoc="0" locked="0" layoutInCell="0" allowOverlap="1" wp14:anchorId="3C695940" wp14:editId="3091CB69">
              <wp:simplePos x="0" y="0"/>
              <wp:positionH relativeFrom="page">
                <wp:posOffset>0</wp:posOffset>
              </wp:positionH>
              <wp:positionV relativeFrom="page">
                <wp:posOffset>0</wp:posOffset>
              </wp:positionV>
              <wp:extent cx="7772400" cy="463550"/>
              <wp:effectExtent l="0" t="0" r="0" b="12700"/>
              <wp:wrapNone/>
              <wp:docPr id="1756629453"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48D85"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95940" id="_x0000_t202" coordsize="21600,21600" o:spt="202" path="m,l,21600r21600,l21600,xe">
              <v:stroke joinstyle="miter"/>
              <v:path gradientshapeok="t" o:connecttype="rect"/>
            </v:shapetype>
            <v:shape id="_x0000_s1081" type="#_x0000_t202" alt="{&quot;HashCode&quot;:431350885,&quot;Height&quot;:9999999.0,&quot;Width&quot;:9999999.0,&quot;Placement&quot;:&quot;Header&quot;,&quot;Index&quot;:&quot;Primary&quot;,&quot;Section&quot;:8,&quot;Top&quot;:0.0,&quot;Left&quot;:0.0}" style="position:absolute;margin-left:0;margin-top:0;width:612pt;height:36.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8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X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ayf/BgCAAAuBAAADgAAAAAAAAAAAAAAAAAuAgAAZHJzL2Uyb0RvYy54bWxQSwECLQAUAAYACAAA&#10;ACEAvh8Kt9oAAAAFAQAADwAAAAAAAAAAAAAAAAByBAAAZHJzL2Rvd25yZXYueG1sUEsFBgAAAAAE&#10;AAQA8wAAAHkFAAAAAA==&#10;" o:allowincell="f" filled="f" stroked="f" strokeweight=".5pt">
              <v:textbox inset=",0,,0">
                <w:txbxContent>
                  <w:p w14:paraId="63848D85"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FD75EF">
      <w:rPr>
        <w:noProof/>
      </w:rPr>
      <w:drawing>
        <wp:anchor distT="0" distB="0" distL="114300" distR="114300" simplePos="0" relativeHeight="251570688" behindDoc="1" locked="0" layoutInCell="1" allowOverlap="1" wp14:anchorId="6CBE3EF0" wp14:editId="6F1F4C8B">
          <wp:simplePos x="0" y="0"/>
          <wp:positionH relativeFrom="page">
            <wp:align>right</wp:align>
          </wp:positionH>
          <wp:positionV relativeFrom="paragraph">
            <wp:posOffset>-457200</wp:posOffset>
          </wp:positionV>
          <wp:extent cx="7558762" cy="10691992"/>
          <wp:effectExtent l="0" t="0" r="4445"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67E1" w14:textId="22162BC8" w:rsidR="000442BE" w:rsidRDefault="000442BE">
    <w:pPr>
      <w:pStyle w:val="Header"/>
    </w:pPr>
    <w:r>
      <w:rPr>
        <w:noProof/>
      </w:rPr>
      <w:drawing>
        <wp:anchor distT="0" distB="0" distL="114300" distR="114300" simplePos="0" relativeHeight="251558400" behindDoc="1" locked="0" layoutInCell="1" allowOverlap="1" wp14:anchorId="0C1BE6A0" wp14:editId="55E45F8E">
          <wp:simplePos x="0" y="0"/>
          <wp:positionH relativeFrom="page">
            <wp:posOffset>0</wp:posOffset>
          </wp:positionH>
          <wp:positionV relativeFrom="paragraph">
            <wp:posOffset>-450850</wp:posOffset>
          </wp:positionV>
          <wp:extent cx="7558759" cy="10691987"/>
          <wp:effectExtent l="0" t="0" r="444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extLst>
                      <a:ext uri="{28A0092B-C50C-407E-A947-70E740481C1C}">
                        <a14:useLocalDpi xmlns:a14="http://schemas.microsoft.com/office/drawing/2010/main" val="0"/>
                      </a:ext>
                    </a:extLst>
                  </a:blip>
                  <a:stretch>
                    <a:fillRect/>
                  </a:stretch>
                </pic:blipFill>
                <pic:spPr>
                  <a:xfrm>
                    <a:off x="0" y="0"/>
                    <a:ext cx="7558759" cy="10691987"/>
                  </a:xfrm>
                  <a:prstGeom prst="rect">
                    <a:avLst/>
                  </a:prstGeom>
                </pic:spPr>
              </pic:pic>
            </a:graphicData>
          </a:graphic>
          <wp14:sizeRelH relativeFrom="page">
            <wp14:pctWidth>0</wp14:pctWidth>
          </wp14:sizeRelH>
          <wp14:sizeRelV relativeFrom="page">
            <wp14:pctHeight>0</wp14:pctHeight>
          </wp14:sizeRelV>
        </wp:anchor>
      </w:drawing>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FFEC" w14:textId="362E4BFA" w:rsidR="00DA3DA7" w:rsidRDefault="00DA3DA7">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D6FB" w14:textId="09C1D52B" w:rsidR="000442BE" w:rsidRDefault="000442BE">
    <w:pPr>
      <w:pStyle w:val="Header"/>
    </w:pPr>
    <w:r>
      <w:rPr>
        <w:noProof/>
      </w:rPr>
      <w:drawing>
        <wp:anchor distT="0" distB="0" distL="114300" distR="114300" simplePos="0" relativeHeight="251559424" behindDoc="1" locked="0" layoutInCell="1" allowOverlap="1" wp14:anchorId="77860F2E" wp14:editId="6100D460">
          <wp:simplePos x="0" y="0"/>
          <wp:positionH relativeFrom="page">
            <wp:posOffset>0</wp:posOffset>
          </wp:positionH>
          <wp:positionV relativeFrom="paragraph">
            <wp:posOffset>-449580</wp:posOffset>
          </wp:positionV>
          <wp:extent cx="7558765" cy="1069199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0584" w14:textId="6C1B82B9" w:rsidR="000442BE" w:rsidRDefault="008F7730">
    <w:pPr>
      <w:pStyle w:val="Header"/>
    </w:pPr>
    <w:r>
      <w:rPr>
        <w:noProof/>
      </w:rPr>
      <mc:AlternateContent>
        <mc:Choice Requires="wps">
          <w:drawing>
            <wp:anchor distT="0" distB="0" distL="114300" distR="114300" simplePos="0" relativeHeight="251666944" behindDoc="0" locked="0" layoutInCell="0" allowOverlap="1" wp14:anchorId="50B00512" wp14:editId="0BBF5C7C">
              <wp:simplePos x="0" y="0"/>
              <wp:positionH relativeFrom="page">
                <wp:posOffset>0</wp:posOffset>
              </wp:positionH>
              <wp:positionV relativeFrom="page">
                <wp:posOffset>0</wp:posOffset>
              </wp:positionV>
              <wp:extent cx="7772400" cy="463550"/>
              <wp:effectExtent l="0" t="0" r="0" b="12700"/>
              <wp:wrapNone/>
              <wp:docPr id="1756629455"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9D0B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B00512" id="_x0000_t202" coordsize="21600,21600" o:spt="202" path="m,l,21600r21600,l21600,xe">
              <v:stroke joinstyle="miter"/>
              <v:path gradientshapeok="t" o:connecttype="rect"/>
            </v:shapetype>
            <v:shape id="_x0000_s1082" type="#_x0000_t202" alt="{&quot;HashCode&quot;:431350885,&quot;Height&quot;:9999999.0,&quot;Width&quot;:9999999.0,&quot;Placement&quot;:&quot;Header&quot;,&quot;Index&quot;:&quot;Primary&quot;,&quot;Section&quot;:8,&quot;Top&quot;:0.0,&quot;Left&quot;:0.0}" style="position:absolute;margin-left:0;margin-top:0;width:612pt;height:36.5pt;z-index:2516669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NG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e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60U0YZAgAALgQAAA4AAAAAAAAAAAAAAAAALgIAAGRycy9lMm9Eb2MueG1sUEsBAi0AFAAGAAgA&#10;AAAhAL4fCrfaAAAABQEAAA8AAAAAAAAAAAAAAAAAcwQAAGRycy9kb3ducmV2LnhtbFBLBQYAAAAA&#10;BAAEAPMAAAB6BQAAAAA=&#10;" o:allowincell="f" filled="f" stroked="f" strokeweight=".5pt">
              <v:textbox inset=",0,,0">
                <w:txbxContent>
                  <w:p w14:paraId="1829D0B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FD75EF">
      <w:rPr>
        <w:noProof/>
      </w:rPr>
      <w:drawing>
        <wp:anchor distT="0" distB="0" distL="114300" distR="114300" simplePos="0" relativeHeight="251571712" behindDoc="1" locked="0" layoutInCell="1" allowOverlap="1" wp14:anchorId="7A22D0C3" wp14:editId="01CA04AD">
          <wp:simplePos x="0" y="0"/>
          <wp:positionH relativeFrom="page">
            <wp:align>left</wp:align>
          </wp:positionH>
          <wp:positionV relativeFrom="paragraph">
            <wp:posOffset>-457200</wp:posOffset>
          </wp:positionV>
          <wp:extent cx="7558764" cy="10691995"/>
          <wp:effectExtent l="0" t="0" r="4445"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8F58" w14:textId="479A692E" w:rsidR="00DA3DA7" w:rsidRDefault="00DA3DA7">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F9FD" w14:textId="30B7AE80" w:rsidR="00CF1D36" w:rsidRDefault="008F7730">
    <w:pPr>
      <w:pStyle w:val="Header"/>
    </w:pPr>
    <w:r>
      <w:rPr>
        <w:noProof/>
      </w:rPr>
      <mc:AlternateContent>
        <mc:Choice Requires="wps">
          <w:drawing>
            <wp:anchor distT="0" distB="0" distL="114300" distR="114300" simplePos="0" relativeHeight="251667968" behindDoc="0" locked="0" layoutInCell="0" allowOverlap="1" wp14:anchorId="21B51E4A" wp14:editId="3C57C09E">
              <wp:simplePos x="0" y="0"/>
              <wp:positionH relativeFrom="page">
                <wp:posOffset>15766</wp:posOffset>
              </wp:positionH>
              <wp:positionV relativeFrom="page">
                <wp:posOffset>0</wp:posOffset>
              </wp:positionV>
              <wp:extent cx="7772400" cy="463550"/>
              <wp:effectExtent l="0" t="0" r="0" b="12700"/>
              <wp:wrapNone/>
              <wp:docPr id="1756629457"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7884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B51E4A" id="_x0000_t202" coordsize="21600,21600" o:spt="202" path="m,l,21600r21600,l21600,xe">
              <v:stroke joinstyle="miter"/>
              <v:path gradientshapeok="t" o:connecttype="rect"/>
            </v:shapetype>
            <v:shape id="_x0000_s1083" type="#_x0000_t202" alt="{&quot;HashCode&quot;:431350885,&quot;Height&quot;:9999999.0,&quot;Width&quot;:9999999.0,&quot;Placement&quot;:&quot;Header&quot;,&quot;Index&quot;:&quot;Primary&quot;,&quot;Section&quot;:8,&quot;Top&quot;:0.0,&quot;Left&quot;:0.0}" style="position:absolute;margin-left:1.25pt;margin-top:0;width:612pt;height:36.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v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" o:allowincell="f" filled="f" stroked="f" strokeweight=".5pt">
              <v:textbox inset=",0,,0">
                <w:txbxContent>
                  <w:p w14:paraId="3187884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CF1D36">
      <w:rPr>
        <w:noProof/>
      </w:rPr>
      <w:drawing>
        <wp:anchor distT="0" distB="0" distL="114300" distR="114300" simplePos="0" relativeHeight="251580928" behindDoc="1" locked="0" layoutInCell="1" allowOverlap="1" wp14:anchorId="098A85B2" wp14:editId="2237BF74">
          <wp:simplePos x="0" y="0"/>
          <wp:positionH relativeFrom="page">
            <wp:posOffset>9442</wp:posOffset>
          </wp:positionH>
          <wp:positionV relativeFrom="paragraph">
            <wp:posOffset>-457200</wp:posOffset>
          </wp:positionV>
          <wp:extent cx="7558763" cy="10691993"/>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02B0" w14:textId="11AE28EA" w:rsidR="00DA3DA7" w:rsidRDefault="00A368B5">
    <w:pPr>
      <w:pStyle w:val="Header"/>
    </w:pPr>
    <w:r>
      <w:rPr>
        <w:noProof/>
      </w:rPr>
      <w:drawing>
        <wp:anchor distT="0" distB="0" distL="114300" distR="114300" simplePos="0" relativeHeight="251757056" behindDoc="1" locked="0" layoutInCell="1" allowOverlap="1" wp14:anchorId="659AC74A" wp14:editId="0809C047">
          <wp:simplePos x="0" y="0"/>
          <wp:positionH relativeFrom="page">
            <wp:posOffset>5715</wp:posOffset>
          </wp:positionH>
          <wp:positionV relativeFrom="paragraph">
            <wp:posOffset>-447675</wp:posOffset>
          </wp:positionV>
          <wp:extent cx="7558765" cy="10691997"/>
          <wp:effectExtent l="0" t="0" r="4445"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B93" w14:textId="7672E492" w:rsidR="00DA3DA7" w:rsidRDefault="00DA3DA7">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021B" w14:textId="5EE86D74" w:rsidR="00CF1D36" w:rsidRPr="00FD0FB1" w:rsidRDefault="00FD0FB1" w:rsidP="00FD0FB1">
    <w:pPr>
      <w:pStyle w:val="Header"/>
      <w:tabs>
        <w:tab w:val="left" w:pos="1139"/>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CRIME AND CORRUPTION COMMISSION</w:t>
    </w:r>
    <w:r w:rsidRPr="00FD0FB1">
      <w:rPr>
        <w:rFonts w:asciiTheme="minorHAnsi" w:hAnsiTheme="minorHAnsi" w:cstheme="minorHAnsi"/>
        <w:b/>
        <w:noProof/>
        <w:sz w:val="22"/>
        <w:szCs w:val="24"/>
        <w:lang w:eastAsia="en-AU"/>
      </w:rPr>
      <w:br/>
      <w:t>Financial Statements</w:t>
    </w:r>
    <w:r w:rsidRPr="00FD0FB1">
      <w:rPr>
        <w:rFonts w:asciiTheme="minorHAnsi" w:hAnsiTheme="minorHAnsi" w:cstheme="minorHAnsi"/>
        <w:b/>
        <w:noProof/>
        <w:sz w:val="22"/>
        <w:szCs w:val="24"/>
        <w:lang w:eastAsia="en-AU"/>
      </w:rPr>
      <w:br/>
      <w:t>for the year ended 30 June 2023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70E2" w14:textId="21DA1A95" w:rsidR="00C27723" w:rsidRPr="00351BCC" w:rsidRDefault="00351BCC">
    <w:pPr>
      <w:pStyle w:val="Header"/>
    </w:pPr>
    <w:r>
      <w:rPr>
        <w:noProof/>
      </w:rPr>
      <w:drawing>
        <wp:anchor distT="0" distB="0" distL="114300" distR="114300" simplePos="0" relativeHeight="251751936" behindDoc="1" locked="0" layoutInCell="1" allowOverlap="1" wp14:anchorId="093E67E7" wp14:editId="1BF9A835">
          <wp:simplePos x="0" y="0"/>
          <wp:positionH relativeFrom="page">
            <wp:posOffset>-879</wp:posOffset>
          </wp:positionH>
          <wp:positionV relativeFrom="paragraph">
            <wp:posOffset>-448408</wp:posOffset>
          </wp:positionV>
          <wp:extent cx="7558764" cy="10691995"/>
          <wp:effectExtent l="0" t="0" r="444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9C3C" w14:textId="15BBD150" w:rsidR="00CF1D36" w:rsidRPr="00FD0FB1" w:rsidRDefault="00FD0FB1" w:rsidP="00F34383">
    <w:pPr>
      <w:pStyle w:val="Header"/>
      <w:tabs>
        <w:tab w:val="clear" w:pos="4513"/>
        <w:tab w:val="left" w:pos="1139"/>
        <w:tab w:val="center" w:pos="4535"/>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 xml:space="preserve">CRIME AND CORRUPTION COMMISSION                                                                                                                   </w:t>
    </w:r>
    <w:r w:rsidRPr="00FD0FB1">
      <w:rPr>
        <w:rFonts w:asciiTheme="minorHAnsi" w:hAnsiTheme="minorHAnsi" w:cstheme="minorHAnsi"/>
        <w:b/>
        <w:noProof/>
        <w:sz w:val="22"/>
        <w:szCs w:val="24"/>
        <w:lang w:eastAsia="en-AU"/>
      </w:rPr>
      <w:br/>
      <w:t xml:space="preserve">Financial Statements                                                                                                                                                                </w:t>
    </w:r>
    <w:r w:rsidRPr="00FD0FB1">
      <w:rPr>
        <w:rFonts w:asciiTheme="minorHAnsi" w:hAnsiTheme="minorHAnsi" w:cstheme="minorHAnsi"/>
        <w:b/>
        <w:noProof/>
        <w:sz w:val="22"/>
        <w:szCs w:val="24"/>
        <w:lang w:eastAsia="en-AU"/>
      </w:rPr>
      <w:br/>
      <w:t>for the year ended 30 June 2023</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543E" w14:textId="61644643" w:rsidR="00CF1D36" w:rsidRPr="00BA0A83" w:rsidRDefault="00CF1D36" w:rsidP="00F34383">
    <w:pPr>
      <w:pStyle w:val="Header"/>
      <w:tabs>
        <w:tab w:val="clear" w:pos="9026"/>
      </w:tabs>
      <w:rPr>
        <w:rFonts w:asciiTheme="minorHAnsi" w:hAnsiTheme="minorHAnsi" w:cstheme="minorHAnsi"/>
        <w:color w:val="auto"/>
        <w:sz w:val="22"/>
        <w:lang w:eastAsia="en-AU"/>
      </w:rPr>
    </w:pPr>
    <w:r w:rsidRPr="00BA0A83">
      <w:rPr>
        <w:rFonts w:asciiTheme="minorHAnsi" w:hAnsiTheme="minorHAnsi" w:cstheme="minorHAnsi"/>
        <w:b/>
        <w:color w:val="auto"/>
        <w:sz w:val="22"/>
      </w:rPr>
      <w:t xml:space="preserve">CRIME AND CORRUPTION COMMISSION                                                                                                        </w:t>
    </w:r>
    <w:r w:rsidRPr="00BA0A83">
      <w:rPr>
        <w:rFonts w:asciiTheme="minorHAnsi" w:hAnsiTheme="minorHAnsi" w:cstheme="minorHAnsi"/>
        <w:b/>
        <w:color w:val="auto"/>
        <w:sz w:val="22"/>
      </w:rPr>
      <w:br/>
    </w:r>
    <w:r w:rsidRPr="00BA0A83">
      <w:rPr>
        <w:rStyle w:val="Heading1Char"/>
        <w:rFonts w:asciiTheme="minorHAnsi" w:hAnsiTheme="minorHAnsi" w:cstheme="minorHAnsi"/>
        <w:b/>
        <w:color w:val="auto"/>
        <w:sz w:val="22"/>
        <w:szCs w:val="22"/>
      </w:rPr>
      <w:t>Financial Statements</w:t>
    </w:r>
    <w:r w:rsidRPr="00BA0A83">
      <w:rPr>
        <w:rStyle w:val="Heading1Char"/>
        <w:rFonts w:asciiTheme="minorHAnsi" w:hAnsiTheme="minorHAnsi" w:cstheme="minorHAnsi"/>
        <w:b/>
        <w:color w:val="auto"/>
        <w:sz w:val="22"/>
        <w:szCs w:val="22"/>
      </w:rPr>
      <w:br/>
    </w:r>
    <w:r w:rsidRPr="00BA0A83">
      <w:rPr>
        <w:rFonts w:asciiTheme="minorHAnsi" w:hAnsiTheme="minorHAnsi" w:cstheme="minorHAnsi"/>
        <w:b/>
        <w:color w:val="auto"/>
        <w:sz w:val="22"/>
      </w:rPr>
      <w:t>for the year ended 30 June 202</w:t>
    </w:r>
    <w:r w:rsidRPr="00BA0A83">
      <w:rPr>
        <w:rFonts w:asciiTheme="minorHAnsi" w:hAnsiTheme="minorHAnsi" w:cstheme="minorHAnsi"/>
        <w:noProof/>
        <w:color w:val="auto"/>
        <w:sz w:val="22"/>
        <w:lang w:eastAsia="en-AU"/>
      </w:rPr>
      <w:drawing>
        <wp:anchor distT="0" distB="0" distL="114300" distR="114300" simplePos="0" relativeHeight="251579904" behindDoc="1" locked="0" layoutInCell="1" allowOverlap="1" wp14:anchorId="2A43A809" wp14:editId="009218A5">
          <wp:simplePos x="0" y="0"/>
          <wp:positionH relativeFrom="page">
            <wp:posOffset>0</wp:posOffset>
          </wp:positionH>
          <wp:positionV relativeFrom="page">
            <wp:posOffset>10815955</wp:posOffset>
          </wp:positionV>
          <wp:extent cx="7559040" cy="1069213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BA0A83">
      <w:rPr>
        <w:rFonts w:asciiTheme="minorHAnsi" w:hAnsiTheme="minorHAnsi" w:cstheme="minorHAnsi"/>
        <w:noProof/>
        <w:color w:val="auto"/>
        <w:sz w:val="22"/>
        <w:lang w:eastAsia="en-AU"/>
      </w:rPr>
      <w:drawing>
        <wp:anchor distT="0" distB="0" distL="114300" distR="114300" simplePos="0" relativeHeight="251578880" behindDoc="1" locked="0" layoutInCell="1" allowOverlap="1" wp14:anchorId="7FC82E54" wp14:editId="3DA65C28">
          <wp:simplePos x="0" y="0"/>
          <wp:positionH relativeFrom="page">
            <wp:posOffset>7705725</wp:posOffset>
          </wp:positionH>
          <wp:positionV relativeFrom="page">
            <wp:posOffset>10801350</wp:posOffset>
          </wp:positionV>
          <wp:extent cx="7559040" cy="10691495"/>
          <wp:effectExtent l="0" t="0" r="381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BA0A83">
      <w:rPr>
        <w:rFonts w:asciiTheme="minorHAnsi" w:hAnsiTheme="minorHAnsi" w:cstheme="minorHAnsi"/>
        <w:b/>
        <w:color w:val="auto"/>
        <w:sz w:val="22"/>
      </w:rPr>
      <w:t>2</w:t>
    </w:r>
    <w:proofErr w:type="gramEnd"/>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2A48" w14:textId="77777777" w:rsidR="005E4C92" w:rsidRDefault="005E4C92">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BE53" w14:textId="77777777" w:rsidR="00136F0B" w:rsidRPr="00136F0B" w:rsidRDefault="00136F0B" w:rsidP="00136F0B">
    <w:pPr>
      <w:pStyle w:val="Header"/>
      <w:tabs>
        <w:tab w:val="left" w:pos="1139"/>
      </w:tabs>
      <w:spacing w:after="0"/>
      <w:rPr>
        <w:rFonts w:asciiTheme="minorHAnsi" w:hAnsiTheme="minorHAnsi" w:cstheme="minorHAnsi"/>
        <w:b/>
        <w:noProof/>
        <w:sz w:val="22"/>
        <w:lang w:eastAsia="en-AU"/>
      </w:rPr>
    </w:pPr>
    <w:r w:rsidRPr="00136F0B">
      <w:rPr>
        <w:rFonts w:asciiTheme="minorHAnsi" w:hAnsiTheme="minorHAnsi" w:cstheme="minorHAnsi"/>
        <w:b/>
        <w:noProof/>
        <w:sz w:val="22"/>
        <w:lang w:eastAsia="en-AU"/>
      </w:rPr>
      <w:t>CRIME AND CORRUPTION COMMISSION</w:t>
    </w:r>
  </w:p>
  <w:p w14:paraId="3864CCF6" w14:textId="6BF0D769" w:rsidR="00136F0B" w:rsidRPr="00136F0B" w:rsidRDefault="00136F0B" w:rsidP="00136F0B">
    <w:pPr>
      <w:pStyle w:val="Header"/>
      <w:tabs>
        <w:tab w:val="left" w:pos="1139"/>
      </w:tabs>
      <w:spacing w:after="0"/>
      <w:rPr>
        <w:rStyle w:val="Heading1Char"/>
        <w:rFonts w:asciiTheme="minorHAnsi" w:hAnsiTheme="minorHAnsi" w:cstheme="minorHAnsi"/>
        <w:b/>
        <w:sz w:val="22"/>
        <w:szCs w:val="22"/>
      </w:rPr>
    </w:pPr>
    <w:r w:rsidRPr="00136F0B">
      <w:rPr>
        <w:rStyle w:val="Heading1Char"/>
        <w:rFonts w:asciiTheme="minorHAnsi" w:hAnsiTheme="minorHAnsi" w:cstheme="minorHAnsi"/>
        <w:b/>
        <w:sz w:val="22"/>
        <w:szCs w:val="22"/>
      </w:rPr>
      <w:t>Statement of Comprehensive Income</w:t>
    </w:r>
  </w:p>
  <w:p w14:paraId="4793BFD0" w14:textId="3075F5D6" w:rsidR="00136F0B" w:rsidRPr="00136F0B" w:rsidRDefault="00136F0B" w:rsidP="00136F0B">
    <w:pPr>
      <w:pStyle w:val="Header"/>
      <w:tabs>
        <w:tab w:val="left" w:pos="1139"/>
      </w:tabs>
      <w:rPr>
        <w:rFonts w:asciiTheme="minorHAnsi" w:hAnsiTheme="minorHAnsi" w:cstheme="minorHAnsi"/>
        <w:b/>
        <w:noProof/>
        <w:sz w:val="22"/>
        <w:lang w:eastAsia="en-AU"/>
      </w:rPr>
    </w:pPr>
    <w:r w:rsidRPr="00136F0B">
      <w:rPr>
        <w:rFonts w:asciiTheme="minorHAnsi" w:hAnsiTheme="minorHAnsi" w:cstheme="minorHAnsi"/>
        <w:b/>
        <w:noProof/>
        <w:sz w:val="22"/>
        <w:lang w:eastAsia="en-AU"/>
      </w:rPr>
      <w:t>for the year ended 30 June 2023</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611C" w14:textId="77777777" w:rsidR="005E4C92" w:rsidRDefault="005E4C92">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4D9F" w14:textId="4556D04E" w:rsidR="00136F0B" w:rsidRPr="00136F0B" w:rsidRDefault="00136F0B" w:rsidP="00136F0B">
    <w:pPr>
      <w:pStyle w:val="Header"/>
      <w:tabs>
        <w:tab w:val="left" w:pos="1139"/>
      </w:tabs>
      <w:spacing w:after="0"/>
      <w:rPr>
        <w:rFonts w:ascii="Calibri" w:hAnsi="Calibri" w:cs="Calibri"/>
        <w:b/>
        <w:noProof/>
        <w:sz w:val="22"/>
        <w:lang w:eastAsia="en-AU"/>
      </w:rPr>
    </w:pPr>
    <w:r w:rsidRPr="00136F0B">
      <w:rPr>
        <w:rFonts w:ascii="Calibri" w:hAnsi="Calibri" w:cs="Calibri"/>
        <w:b/>
        <w:noProof/>
        <w:sz w:val="22"/>
        <w:lang w:eastAsia="en-AU"/>
      </w:rPr>
      <w:t>CRIME AND CORRUPTION COMMISSION</w:t>
    </w:r>
  </w:p>
  <w:p w14:paraId="2B060BB7" w14:textId="7329D460" w:rsidR="00136F0B" w:rsidRPr="00136F0B" w:rsidRDefault="00136F0B" w:rsidP="00136F0B">
    <w:pPr>
      <w:pStyle w:val="Header"/>
      <w:tabs>
        <w:tab w:val="left" w:pos="1139"/>
      </w:tabs>
      <w:spacing w:after="0"/>
      <w:rPr>
        <w:rStyle w:val="Heading1Char"/>
        <w:rFonts w:ascii="Calibri" w:hAnsi="Calibri" w:cs="Calibri"/>
        <w:b/>
        <w:sz w:val="22"/>
        <w:szCs w:val="22"/>
      </w:rPr>
    </w:pPr>
    <w:r w:rsidRPr="00136F0B">
      <w:rPr>
        <w:rStyle w:val="Heading1Char"/>
        <w:rFonts w:ascii="Calibri" w:hAnsi="Calibri" w:cs="Calibri"/>
        <w:b/>
        <w:sz w:val="22"/>
        <w:szCs w:val="22"/>
      </w:rPr>
      <w:t>Statement of Financial Position</w:t>
    </w:r>
  </w:p>
  <w:p w14:paraId="6D72AE9E" w14:textId="1BCD38BB" w:rsidR="00DA3DA7" w:rsidRPr="00136F0B" w:rsidRDefault="00136F0B" w:rsidP="00136F0B">
    <w:pPr>
      <w:pStyle w:val="Header"/>
      <w:tabs>
        <w:tab w:val="left" w:pos="1139"/>
      </w:tabs>
      <w:spacing w:after="0"/>
      <w:rPr>
        <w:rFonts w:ascii="Calibri" w:hAnsi="Calibri" w:cs="Calibri"/>
        <w:b/>
        <w:noProof/>
        <w:sz w:val="22"/>
        <w:lang w:eastAsia="en-AU"/>
      </w:rPr>
    </w:pPr>
    <w:r w:rsidRPr="00136F0B">
      <w:rPr>
        <w:rFonts w:ascii="Calibri" w:hAnsi="Calibri" w:cs="Calibri"/>
        <w:b/>
        <w:noProof/>
        <w:sz w:val="22"/>
        <w:lang w:eastAsia="en-AU"/>
      </w:rPr>
      <w:t>for the year ended 30 June 2023</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BE79" w14:textId="2E822291" w:rsidR="00C27723" w:rsidRDefault="00C27723">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E92E" w14:textId="61599931" w:rsidR="00DA3DA7" w:rsidRDefault="00DA3DA7">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3FEF" w14:textId="0EAFA6F7" w:rsidR="00DA3DA7" w:rsidRDefault="00DA3DA7">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FE11" w14:textId="03A4FD31" w:rsidR="00FC17BC" w:rsidRPr="007C4E47" w:rsidRDefault="00FD0FB1" w:rsidP="00FD0FB1">
    <w:pPr>
      <w:pStyle w:val="Header"/>
      <w:tabs>
        <w:tab w:val="left" w:pos="1139"/>
      </w:tabs>
      <w:rPr>
        <w:rFonts w:asciiTheme="minorHAnsi" w:hAnsiTheme="minorHAnsi" w:cstheme="minorHAnsi"/>
        <w:b/>
        <w:noProof/>
        <w:sz w:val="22"/>
        <w:szCs w:val="24"/>
        <w:lang w:eastAsia="en-AU"/>
      </w:rPr>
    </w:pPr>
    <w:r w:rsidRPr="007C4E47">
      <w:rPr>
        <w:rFonts w:asciiTheme="minorHAnsi" w:hAnsiTheme="minorHAnsi" w:cstheme="minorHAnsi"/>
        <w:b/>
        <w:noProof/>
        <w:sz w:val="22"/>
        <w:szCs w:val="24"/>
        <w:lang w:eastAsia="en-AU"/>
      </w:rPr>
      <w:t>CRIME AND CORRUPTION COMMISSION</w:t>
    </w:r>
    <w:r w:rsidRPr="007C4E47">
      <w:rPr>
        <w:rFonts w:asciiTheme="minorHAnsi" w:hAnsiTheme="minorHAnsi" w:cstheme="minorHAnsi"/>
        <w:b/>
        <w:noProof/>
        <w:sz w:val="22"/>
        <w:szCs w:val="24"/>
        <w:lang w:eastAsia="en-AU"/>
      </w:rPr>
      <w:br/>
      <w:t>Statement of Changes in Equity</w:t>
    </w:r>
    <w:r w:rsidRPr="007C4E47">
      <w:rPr>
        <w:rFonts w:asciiTheme="minorHAnsi" w:hAnsiTheme="minorHAnsi" w:cstheme="minorHAnsi"/>
        <w:b/>
        <w:noProof/>
        <w:sz w:val="22"/>
        <w:szCs w:val="24"/>
        <w:lang w:eastAsia="en-AU"/>
      </w:rPr>
      <w:br/>
      <w:t>for the year ended 30 June 2023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43F8" w14:textId="11254AE3" w:rsidR="00DA3DA7" w:rsidRDefault="00DA3DA7">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7646" w14:textId="5174F389" w:rsidR="00DA3DA7" w:rsidRDefault="00DA3DA7">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31AC" w14:textId="6900028E" w:rsidR="00DA3DA7" w:rsidRPr="00123846" w:rsidRDefault="00123846" w:rsidP="00123846">
    <w:pPr>
      <w:pStyle w:val="Header"/>
      <w:tabs>
        <w:tab w:val="left" w:pos="1139"/>
      </w:tabs>
      <w:rPr>
        <w:rFonts w:asciiTheme="minorHAnsi" w:hAnsiTheme="minorHAnsi" w:cstheme="minorHAnsi"/>
        <w:b/>
        <w:noProof/>
        <w:sz w:val="22"/>
        <w:szCs w:val="24"/>
        <w:lang w:eastAsia="en-AU"/>
      </w:rPr>
    </w:pPr>
    <w:r w:rsidRPr="007C4E47">
      <w:rPr>
        <w:rFonts w:asciiTheme="minorHAnsi" w:hAnsiTheme="minorHAnsi" w:cstheme="minorHAnsi"/>
        <w:b/>
        <w:noProof/>
        <w:sz w:val="22"/>
        <w:szCs w:val="24"/>
        <w:lang w:eastAsia="en-AU"/>
      </w:rPr>
      <w:t>CRIME AND CORRUPTION COMMISSION</w:t>
    </w:r>
    <w:r w:rsidRPr="007C4E47">
      <w:rPr>
        <w:rFonts w:asciiTheme="minorHAnsi" w:hAnsiTheme="minorHAnsi" w:cstheme="minorHAnsi"/>
        <w:b/>
        <w:noProof/>
        <w:sz w:val="22"/>
        <w:szCs w:val="24"/>
        <w:lang w:eastAsia="en-AU"/>
      </w:rPr>
      <w:br/>
      <w:t xml:space="preserve">Statement of </w:t>
    </w:r>
    <w:r>
      <w:rPr>
        <w:rFonts w:asciiTheme="minorHAnsi" w:hAnsiTheme="minorHAnsi" w:cstheme="minorHAnsi"/>
        <w:b/>
        <w:noProof/>
        <w:sz w:val="22"/>
        <w:szCs w:val="24"/>
        <w:lang w:eastAsia="en-AU"/>
      </w:rPr>
      <w:t>Cash Flows</w:t>
    </w:r>
    <w:r w:rsidRPr="007C4E47">
      <w:rPr>
        <w:rFonts w:asciiTheme="minorHAnsi" w:hAnsiTheme="minorHAnsi" w:cstheme="minorHAnsi"/>
        <w:b/>
        <w:noProof/>
        <w:sz w:val="22"/>
        <w:szCs w:val="24"/>
        <w:lang w:eastAsia="en-AU"/>
      </w:rPr>
      <w:br/>
      <w:t>for the year ended 30 June 2023</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3513" w14:textId="5B5A822F" w:rsidR="00FC17BC" w:rsidRPr="007C4E47" w:rsidRDefault="007C4E47" w:rsidP="008B2D3B">
    <w:pPr>
      <w:pStyle w:val="Header"/>
      <w:tabs>
        <w:tab w:val="left" w:pos="1139"/>
      </w:tabs>
      <w:rPr>
        <w:rFonts w:asciiTheme="minorHAnsi" w:hAnsiTheme="minorHAnsi" w:cstheme="minorHAnsi"/>
        <w:b/>
        <w:noProof/>
        <w:sz w:val="22"/>
        <w:szCs w:val="24"/>
        <w:lang w:eastAsia="en-AU"/>
      </w:rPr>
    </w:pPr>
    <w:r w:rsidRPr="007C4E47">
      <w:rPr>
        <w:rFonts w:asciiTheme="minorHAnsi" w:hAnsiTheme="minorHAnsi" w:cstheme="minorHAnsi"/>
        <w:b/>
        <w:noProof/>
        <w:sz w:val="22"/>
        <w:szCs w:val="24"/>
        <w:lang w:eastAsia="en-AU"/>
      </w:rPr>
      <w:t>CRIME AND CORRUPTION COMMISSION</w:t>
    </w:r>
    <w:r w:rsidRPr="007C4E47">
      <w:rPr>
        <w:rFonts w:asciiTheme="minorHAnsi" w:hAnsiTheme="minorHAnsi" w:cstheme="minorHAnsi"/>
        <w:b/>
        <w:noProof/>
        <w:sz w:val="22"/>
        <w:szCs w:val="24"/>
        <w:lang w:eastAsia="en-AU"/>
      </w:rPr>
      <w:br/>
      <w:t xml:space="preserve">Statement of </w:t>
    </w:r>
    <w:r>
      <w:rPr>
        <w:rFonts w:asciiTheme="minorHAnsi" w:hAnsiTheme="minorHAnsi" w:cstheme="minorHAnsi"/>
        <w:b/>
        <w:noProof/>
        <w:sz w:val="22"/>
        <w:szCs w:val="24"/>
        <w:lang w:eastAsia="en-AU"/>
      </w:rPr>
      <w:t>Cash Flows</w:t>
    </w:r>
    <w:r w:rsidRPr="007C4E47">
      <w:rPr>
        <w:rFonts w:asciiTheme="minorHAnsi" w:hAnsiTheme="minorHAnsi" w:cstheme="minorHAnsi"/>
        <w:b/>
        <w:noProof/>
        <w:sz w:val="22"/>
        <w:szCs w:val="24"/>
        <w:lang w:eastAsia="en-AU"/>
      </w:rPr>
      <w:br/>
      <w:t>for the year ended 30 June 2023</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D41A" w14:textId="6B9201C3" w:rsidR="00DA3DA7" w:rsidRDefault="00DA3DA7">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2952" w14:textId="73119D39" w:rsidR="00D07F0A" w:rsidRPr="003034BE" w:rsidRDefault="00D07F0A" w:rsidP="00D07F0A">
    <w:pPr>
      <w:pStyle w:val="Header"/>
      <w:tabs>
        <w:tab w:val="left" w:pos="1139"/>
      </w:tabs>
      <w:spacing w:after="0"/>
      <w:rPr>
        <w:rFonts w:ascii="Calibri" w:hAnsi="Calibri" w:cs="Calibri"/>
        <w:b/>
        <w:noProof/>
        <w:sz w:val="22"/>
        <w:szCs w:val="24"/>
        <w:lang w:eastAsia="en-AU"/>
      </w:rPr>
    </w:pPr>
    <w:r w:rsidRPr="003034BE">
      <w:rPr>
        <w:rFonts w:ascii="Calibri" w:hAnsi="Calibri" w:cs="Calibri"/>
        <w:b/>
        <w:noProof/>
        <w:sz w:val="22"/>
        <w:szCs w:val="24"/>
        <w:lang w:eastAsia="en-AU"/>
      </w:rPr>
      <w:t>CRIME AND CORRUPTION COMMISSION</w:t>
    </w:r>
  </w:p>
  <w:p w14:paraId="7E614F26" w14:textId="49021EFA" w:rsidR="00D07F0A" w:rsidRPr="003034BE" w:rsidRDefault="00D07F0A" w:rsidP="00180D14">
    <w:pPr>
      <w:pStyle w:val="Header"/>
      <w:tabs>
        <w:tab w:val="left" w:pos="1139"/>
      </w:tabs>
      <w:rPr>
        <w:rFonts w:ascii="Calibri" w:hAnsi="Calibri" w:cs="Calibri"/>
        <w:b/>
        <w:noProof/>
        <w:sz w:val="22"/>
        <w:szCs w:val="24"/>
        <w:lang w:eastAsia="en-AU"/>
      </w:rPr>
    </w:pPr>
    <w:r w:rsidRPr="003034BE">
      <w:rPr>
        <w:rFonts w:ascii="Calibri" w:hAnsi="Calibri" w:cs="Calibri"/>
        <w:b/>
        <w:noProof/>
        <w:sz w:val="22"/>
        <w:szCs w:val="24"/>
        <w:lang w:eastAsia="en-AU"/>
      </w:rPr>
      <w:t>Notes to and forming part of the Financial Statements 2022–23</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4820" w14:textId="05C98FDE" w:rsidR="00FC17BC" w:rsidRPr="007C4E47" w:rsidRDefault="00D07F0A" w:rsidP="000A6D4D">
    <w:pPr>
      <w:pStyle w:val="Header"/>
      <w:tabs>
        <w:tab w:val="clear" w:pos="4513"/>
        <w:tab w:val="left" w:pos="1139"/>
        <w:tab w:val="center" w:pos="4535"/>
      </w:tabs>
      <w:rPr>
        <w:rFonts w:asciiTheme="minorHAnsi" w:hAnsiTheme="minorHAnsi" w:cstheme="minorHAnsi"/>
        <w:b/>
        <w:noProof/>
        <w:sz w:val="22"/>
        <w:szCs w:val="24"/>
        <w:lang w:eastAsia="en-AU"/>
      </w:rPr>
    </w:pPr>
    <w:bookmarkStart w:id="1942" w:name="_Hlk142310393"/>
    <w:bookmarkStart w:id="1943" w:name="_Hlk142310394"/>
    <w:r w:rsidRPr="007C4E47">
      <w:rPr>
        <w:rFonts w:asciiTheme="minorHAnsi" w:hAnsiTheme="minorHAnsi" w:cstheme="minorHAnsi"/>
        <w:b/>
        <w:noProof/>
        <w:sz w:val="22"/>
        <w:szCs w:val="24"/>
        <w:lang w:eastAsia="en-AU"/>
      </w:rPr>
      <w:t>CRIME AND CORRUPTION COMMISSION</w:t>
    </w:r>
    <w:r w:rsidR="007C4E47">
      <w:rPr>
        <w:rFonts w:asciiTheme="minorHAnsi" w:hAnsiTheme="minorHAnsi" w:cstheme="minorHAnsi"/>
        <w:b/>
        <w:noProof/>
        <w:sz w:val="22"/>
        <w:szCs w:val="24"/>
        <w:lang w:eastAsia="en-AU"/>
      </w:rPr>
      <w:br/>
    </w:r>
    <w:r w:rsidRPr="007C4E47">
      <w:rPr>
        <w:rFonts w:asciiTheme="minorHAnsi" w:hAnsiTheme="minorHAnsi" w:cstheme="minorHAnsi"/>
        <w:b/>
        <w:noProof/>
        <w:sz w:val="22"/>
        <w:szCs w:val="24"/>
        <w:lang w:eastAsia="en-AU"/>
      </w:rPr>
      <w:t>Notes to and forming part of the Financial Statements 2022–23</w:t>
    </w:r>
    <w:bookmarkEnd w:id="1942"/>
    <w:bookmarkEnd w:id="1943"/>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17B1" w14:textId="3A413817" w:rsidR="00DA3DA7" w:rsidRDefault="00DA3DA7">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C334" w14:textId="584C3D97" w:rsidR="00DA3DA7" w:rsidRDefault="00DA3DA7">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08FB" w14:textId="31B793B6" w:rsidR="00C27723" w:rsidRPr="002744EF" w:rsidRDefault="002744EF" w:rsidP="002744EF">
    <w:pPr>
      <w:pStyle w:val="Header"/>
      <w:tabs>
        <w:tab w:val="left" w:pos="1139"/>
      </w:tabs>
      <w:rPr>
        <w:rFonts w:asciiTheme="minorHAnsi" w:hAnsiTheme="minorHAnsi" w:cstheme="minorHAnsi"/>
        <w:b/>
        <w:noProof/>
        <w:sz w:val="22"/>
        <w:szCs w:val="24"/>
        <w:lang w:eastAsia="en-AU"/>
      </w:rPr>
    </w:pPr>
    <w:r w:rsidRPr="007C4E47">
      <w:rPr>
        <w:rFonts w:asciiTheme="minorHAnsi" w:hAnsiTheme="minorHAnsi" w:cstheme="minorHAnsi"/>
        <w:b/>
        <w:noProof/>
        <w:sz w:val="22"/>
        <w:szCs w:val="24"/>
        <w:lang w:eastAsia="en-AU"/>
      </w:rPr>
      <w:t>CRIME AND CORRUPTION COMMISSION</w:t>
    </w:r>
    <w:r>
      <w:rPr>
        <w:rFonts w:asciiTheme="minorHAnsi" w:hAnsiTheme="minorHAnsi" w:cstheme="minorHAnsi"/>
        <w:b/>
        <w:noProof/>
        <w:sz w:val="22"/>
        <w:szCs w:val="24"/>
        <w:lang w:eastAsia="en-AU"/>
      </w:rPr>
      <w:br/>
    </w:r>
    <w:r w:rsidRPr="007C4E47">
      <w:rPr>
        <w:rFonts w:asciiTheme="minorHAnsi" w:hAnsiTheme="minorHAnsi" w:cstheme="minorHAnsi"/>
        <w:b/>
        <w:noProof/>
        <w:sz w:val="22"/>
        <w:szCs w:val="24"/>
        <w:lang w:eastAsia="en-AU"/>
      </w:rPr>
      <w:t>Notes to and forming part of the Financial Statements 2022–23</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B2A4" w14:textId="20A0EA61" w:rsidR="00DA3DA7" w:rsidRDefault="00DA3DA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136F" w14:textId="2BA26699" w:rsidR="007608E7" w:rsidRDefault="00BE2648" w:rsidP="00BB5386">
    <w:pPr>
      <w:pStyle w:val="Header"/>
      <w:tabs>
        <w:tab w:val="clear" w:pos="4513"/>
        <w:tab w:val="clear" w:pos="9026"/>
        <w:tab w:val="left" w:pos="5292"/>
      </w:tabs>
    </w:pPr>
    <w:r>
      <w:rPr>
        <w:noProof/>
      </w:rPr>
      <w:drawing>
        <wp:anchor distT="0" distB="0" distL="114300" distR="114300" simplePos="0" relativeHeight="251706880" behindDoc="1" locked="0" layoutInCell="1" allowOverlap="1" wp14:anchorId="355AE425" wp14:editId="5AED1E6F">
          <wp:simplePos x="0" y="0"/>
          <wp:positionH relativeFrom="page">
            <wp:posOffset>-2540</wp:posOffset>
          </wp:positionH>
          <wp:positionV relativeFrom="paragraph">
            <wp:posOffset>-434340</wp:posOffset>
          </wp:positionV>
          <wp:extent cx="7558405" cy="1069149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8B0B" w14:textId="3405BA49" w:rsidR="00C27723" w:rsidRPr="002744EF" w:rsidRDefault="002744EF" w:rsidP="002744EF">
    <w:pPr>
      <w:pStyle w:val="Header"/>
      <w:tabs>
        <w:tab w:val="left" w:pos="1139"/>
      </w:tabs>
      <w:rPr>
        <w:rFonts w:asciiTheme="minorHAnsi" w:hAnsiTheme="minorHAnsi" w:cstheme="minorHAnsi"/>
        <w:b/>
        <w:noProof/>
        <w:sz w:val="22"/>
        <w:szCs w:val="24"/>
        <w:lang w:eastAsia="en-AU"/>
      </w:rPr>
    </w:pPr>
    <w:r w:rsidRPr="007C4E47">
      <w:rPr>
        <w:rFonts w:asciiTheme="minorHAnsi" w:hAnsiTheme="minorHAnsi" w:cstheme="minorHAnsi"/>
        <w:b/>
        <w:noProof/>
        <w:sz w:val="22"/>
        <w:szCs w:val="24"/>
        <w:lang w:eastAsia="en-AU"/>
      </w:rPr>
      <w:t>CRIME AND CORRUPTION COMMISSION</w:t>
    </w:r>
    <w:r>
      <w:rPr>
        <w:rFonts w:asciiTheme="minorHAnsi" w:hAnsiTheme="minorHAnsi" w:cstheme="minorHAnsi"/>
        <w:b/>
        <w:noProof/>
        <w:sz w:val="22"/>
        <w:szCs w:val="24"/>
        <w:lang w:eastAsia="en-AU"/>
      </w:rPr>
      <w:br/>
    </w:r>
    <w:r w:rsidRPr="007C4E47">
      <w:rPr>
        <w:rFonts w:asciiTheme="minorHAnsi" w:hAnsiTheme="minorHAnsi" w:cstheme="minorHAnsi"/>
        <w:b/>
        <w:noProof/>
        <w:sz w:val="22"/>
        <w:szCs w:val="24"/>
        <w:lang w:eastAsia="en-AU"/>
      </w:rPr>
      <w:t>Notes to and forming part of the Financial Statements 2022–23</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947F" w14:textId="5AC8444E" w:rsidR="00C27723" w:rsidRPr="002744EF" w:rsidRDefault="002744EF" w:rsidP="002744EF">
    <w:pPr>
      <w:pStyle w:val="Header"/>
      <w:tabs>
        <w:tab w:val="left" w:pos="1139"/>
      </w:tabs>
      <w:rPr>
        <w:rFonts w:asciiTheme="minorHAnsi" w:hAnsiTheme="minorHAnsi" w:cstheme="minorHAnsi"/>
        <w:b/>
        <w:noProof/>
        <w:sz w:val="22"/>
        <w:szCs w:val="24"/>
        <w:lang w:eastAsia="en-AU"/>
      </w:rPr>
    </w:pPr>
    <w:bookmarkStart w:id="1953" w:name="_Hlk144297973"/>
    <w:bookmarkStart w:id="1954" w:name="_Hlk144297974"/>
    <w:r w:rsidRPr="007C4E47">
      <w:rPr>
        <w:rFonts w:asciiTheme="minorHAnsi" w:hAnsiTheme="minorHAnsi" w:cstheme="minorHAnsi"/>
        <w:b/>
        <w:noProof/>
        <w:sz w:val="22"/>
        <w:szCs w:val="24"/>
        <w:lang w:eastAsia="en-AU"/>
      </w:rPr>
      <w:t>CRIME AND CORRUPTION COMMISSION</w:t>
    </w:r>
    <w:r>
      <w:rPr>
        <w:rFonts w:asciiTheme="minorHAnsi" w:hAnsiTheme="minorHAnsi" w:cstheme="minorHAnsi"/>
        <w:b/>
        <w:noProof/>
        <w:sz w:val="22"/>
        <w:szCs w:val="24"/>
        <w:lang w:eastAsia="en-AU"/>
      </w:rPr>
      <w:br/>
    </w:r>
    <w:r w:rsidRPr="007C4E47">
      <w:rPr>
        <w:rFonts w:asciiTheme="minorHAnsi" w:hAnsiTheme="minorHAnsi" w:cstheme="minorHAnsi"/>
        <w:b/>
        <w:noProof/>
        <w:sz w:val="22"/>
        <w:szCs w:val="24"/>
        <w:lang w:eastAsia="en-AU"/>
      </w:rPr>
      <w:t>Notes to and forming part of the Financial Statements 2022–23</w:t>
    </w:r>
    <w:bookmarkEnd w:id="1953"/>
    <w:bookmarkEnd w:id="1954"/>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2297" w14:textId="5B67B132" w:rsidR="00C27723" w:rsidRDefault="00C27723">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13D7" w14:textId="4AD1A108" w:rsidR="00470C42" w:rsidRPr="00765421" w:rsidRDefault="00765421" w:rsidP="00D07F0A">
    <w:pPr>
      <w:pStyle w:val="Header"/>
      <w:tabs>
        <w:tab w:val="left" w:pos="1139"/>
      </w:tabs>
      <w:spacing w:after="0"/>
      <w:rPr>
        <w:b/>
        <w:noProof/>
        <w:color w:val="414042" w:themeColor="text1"/>
        <w:lang w:eastAsia="en-AU"/>
      </w:rPr>
    </w:pPr>
    <w:r w:rsidRPr="00DF3006">
      <w:rPr>
        <w:rFonts w:ascii="Calibri" w:eastAsia="Calibri" w:hAnsi="Calibri" w:cs="Times New Roman"/>
        <w:noProof/>
        <w:color w:val="414042" w:themeColor="text1"/>
        <w:szCs w:val="20"/>
      </w:rPr>
      <mc:AlternateContent>
        <mc:Choice Requires="wpg">
          <w:drawing>
            <wp:anchor distT="0" distB="0" distL="0" distR="0" simplePos="0" relativeHeight="251761152" behindDoc="1" locked="0" layoutInCell="1" allowOverlap="1" wp14:anchorId="2894A668" wp14:editId="214C8CBF">
              <wp:simplePos x="0" y="0"/>
              <wp:positionH relativeFrom="page">
                <wp:posOffset>-193807</wp:posOffset>
              </wp:positionH>
              <wp:positionV relativeFrom="page">
                <wp:posOffset>-20320</wp:posOffset>
              </wp:positionV>
              <wp:extent cx="7559040" cy="8085455"/>
              <wp:effectExtent l="0" t="0" r="22860" b="2540"/>
              <wp:wrapNone/>
              <wp:docPr id="1756629410" name="Group 1756629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8085455"/>
                        <a:chOff x="0" y="761"/>
                        <a:chExt cx="7559040" cy="8085582"/>
                      </a:xfrm>
                    </wpg:grpSpPr>
                    <pic:pic xmlns:pic="http://schemas.openxmlformats.org/drawingml/2006/picture">
                      <pic:nvPicPr>
                        <pic:cNvPr id="1756629411" name="Image 2"/>
                        <pic:cNvPicPr/>
                      </pic:nvPicPr>
                      <pic:blipFill>
                        <a:blip r:embed="rId1" cstate="print"/>
                        <a:stretch>
                          <a:fillRect/>
                        </a:stretch>
                      </pic:blipFill>
                      <pic:spPr>
                        <a:xfrm>
                          <a:off x="0" y="1523"/>
                          <a:ext cx="4005072" cy="3564635"/>
                        </a:xfrm>
                        <a:prstGeom prst="rect">
                          <a:avLst/>
                        </a:prstGeom>
                      </pic:spPr>
                    </pic:pic>
                    <pic:pic xmlns:pic="http://schemas.openxmlformats.org/drawingml/2006/picture">
                      <pic:nvPicPr>
                        <pic:cNvPr id="1756629412" name="Image 3"/>
                        <pic:cNvPicPr/>
                      </pic:nvPicPr>
                      <pic:blipFill>
                        <a:blip r:embed="rId2" cstate="print"/>
                        <a:stretch>
                          <a:fillRect/>
                        </a:stretch>
                      </pic:blipFill>
                      <pic:spPr>
                        <a:xfrm>
                          <a:off x="3995927" y="1523"/>
                          <a:ext cx="3563111" cy="4012692"/>
                        </a:xfrm>
                        <a:prstGeom prst="rect">
                          <a:avLst/>
                        </a:prstGeom>
                      </pic:spPr>
                    </pic:pic>
                    <pic:pic xmlns:pic="http://schemas.openxmlformats.org/drawingml/2006/picture">
                      <pic:nvPicPr>
                        <pic:cNvPr id="1756629413" name="Image 4"/>
                        <pic:cNvPicPr/>
                      </pic:nvPicPr>
                      <pic:blipFill>
                        <a:blip r:embed="rId3" cstate="print"/>
                        <a:stretch>
                          <a:fillRect/>
                        </a:stretch>
                      </pic:blipFill>
                      <pic:spPr>
                        <a:xfrm>
                          <a:off x="0" y="3557015"/>
                          <a:ext cx="4005072" cy="3578351"/>
                        </a:xfrm>
                        <a:prstGeom prst="rect">
                          <a:avLst/>
                        </a:prstGeom>
                      </pic:spPr>
                    </pic:pic>
                    <pic:pic xmlns:pic="http://schemas.openxmlformats.org/drawingml/2006/picture">
                      <pic:nvPicPr>
                        <pic:cNvPr id="1756629414" name="Image 5"/>
                        <pic:cNvPicPr/>
                      </pic:nvPicPr>
                      <pic:blipFill>
                        <a:blip r:embed="rId4" cstate="print"/>
                        <a:stretch>
                          <a:fillRect/>
                        </a:stretch>
                      </pic:blipFill>
                      <pic:spPr>
                        <a:xfrm>
                          <a:off x="3995927" y="4005072"/>
                          <a:ext cx="3563111" cy="4018788"/>
                        </a:xfrm>
                        <a:prstGeom prst="rect">
                          <a:avLst/>
                        </a:prstGeom>
                      </pic:spPr>
                    </pic:pic>
                    <wps:wsp>
                      <wps:cNvPr id="1756629415" name="Graphic 8"/>
                      <wps:cNvSpPr/>
                      <wps:spPr>
                        <a:xfrm>
                          <a:off x="0" y="464819"/>
                          <a:ext cx="7559040" cy="1270"/>
                        </a:xfrm>
                        <a:custGeom>
                          <a:avLst/>
                          <a:gdLst/>
                          <a:ahLst/>
                          <a:cxnLst/>
                          <a:rect l="l" t="t" r="r" b="b"/>
                          <a:pathLst>
                            <a:path w="7559040">
                              <a:moveTo>
                                <a:pt x="0" y="0"/>
                              </a:moveTo>
                              <a:lnTo>
                                <a:pt x="7559039" y="0"/>
                              </a:lnTo>
                            </a:path>
                          </a:pathLst>
                        </a:custGeom>
                        <a:ln w="3048">
                          <a:solidFill>
                            <a:srgbClr val="FEFEFE"/>
                          </a:solidFill>
                          <a:prstDash val="solid"/>
                        </a:ln>
                      </wps:spPr>
                      <wps:bodyPr wrap="square" lIns="0" tIns="0" rIns="0" bIns="0" rtlCol="0">
                        <a:prstTxWarp prst="textNoShape">
                          <a:avLst/>
                        </a:prstTxWarp>
                        <a:noAutofit/>
                      </wps:bodyPr>
                    </wps:wsp>
                    <wps:wsp>
                      <wps:cNvPr id="1756629416" name="Graphic 9"/>
                      <wps:cNvSpPr/>
                      <wps:spPr>
                        <a:xfrm>
                          <a:off x="0" y="761"/>
                          <a:ext cx="7559040" cy="1270"/>
                        </a:xfrm>
                        <a:custGeom>
                          <a:avLst/>
                          <a:gdLst/>
                          <a:ahLst/>
                          <a:cxnLst/>
                          <a:rect l="l" t="t" r="r" b="b"/>
                          <a:pathLst>
                            <a:path w="7559040">
                              <a:moveTo>
                                <a:pt x="0" y="0"/>
                              </a:moveTo>
                              <a:lnTo>
                                <a:pt x="7559039" y="0"/>
                              </a:lnTo>
                            </a:path>
                          </a:pathLst>
                        </a:custGeom>
                        <a:ln w="1523">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1756629417" name="Image 10"/>
                        <pic:cNvPicPr/>
                      </pic:nvPicPr>
                      <pic:blipFill>
                        <a:blip r:embed="rId5" cstate="print"/>
                        <a:stretch>
                          <a:fillRect/>
                        </a:stretch>
                      </pic:blipFill>
                      <pic:spPr>
                        <a:xfrm>
                          <a:off x="4559808" y="5885688"/>
                          <a:ext cx="632459" cy="88392"/>
                        </a:xfrm>
                        <a:prstGeom prst="rect">
                          <a:avLst/>
                        </a:prstGeom>
                      </pic:spPr>
                    </pic:pic>
                    <pic:pic xmlns:pic="http://schemas.openxmlformats.org/drawingml/2006/picture">
                      <pic:nvPicPr>
                        <pic:cNvPr id="1756629418" name="Image 11"/>
                        <pic:cNvPicPr/>
                      </pic:nvPicPr>
                      <pic:blipFill>
                        <a:blip r:embed="rId6" cstate="print"/>
                        <a:stretch>
                          <a:fillRect/>
                        </a:stretch>
                      </pic:blipFill>
                      <pic:spPr>
                        <a:xfrm>
                          <a:off x="899160" y="5183123"/>
                          <a:ext cx="1688591" cy="591312"/>
                        </a:xfrm>
                        <a:prstGeom prst="rect">
                          <a:avLst/>
                        </a:prstGeom>
                      </pic:spPr>
                    </pic:pic>
                    <pic:pic xmlns:pic="http://schemas.openxmlformats.org/drawingml/2006/picture">
                      <pic:nvPicPr>
                        <pic:cNvPr id="1756629419" name="Image 12"/>
                        <pic:cNvPicPr/>
                      </pic:nvPicPr>
                      <pic:blipFill>
                        <a:blip r:embed="rId7" cstate="print">
                          <a:grayscl/>
                        </a:blip>
                        <a:stretch>
                          <a:fillRect/>
                        </a:stretch>
                      </pic:blipFill>
                      <pic:spPr>
                        <a:xfrm>
                          <a:off x="4556759" y="5178552"/>
                          <a:ext cx="1487424" cy="597408"/>
                        </a:xfrm>
                        <a:prstGeom prst="rect">
                          <a:avLst/>
                        </a:prstGeom>
                      </pic:spPr>
                    </pic:pic>
                    <pic:pic xmlns:pic="http://schemas.openxmlformats.org/drawingml/2006/picture">
                      <pic:nvPicPr>
                        <pic:cNvPr id="1756629420" name="Image 13"/>
                        <pic:cNvPicPr/>
                      </pic:nvPicPr>
                      <pic:blipFill>
                        <a:blip r:embed="rId8" cstate="print"/>
                        <a:stretch>
                          <a:fillRect/>
                        </a:stretch>
                      </pic:blipFill>
                      <pic:spPr>
                        <a:xfrm>
                          <a:off x="899160" y="7469123"/>
                          <a:ext cx="1254252" cy="617220"/>
                        </a:xfrm>
                        <a:prstGeom prst="rect">
                          <a:avLst/>
                        </a:prstGeom>
                      </pic:spPr>
                    </pic:pic>
                  </wpg:wgp>
                </a:graphicData>
              </a:graphic>
              <wp14:sizeRelV relativeFrom="margin">
                <wp14:pctHeight>0</wp14:pctHeight>
              </wp14:sizeRelV>
            </wp:anchor>
          </w:drawing>
        </mc:Choice>
        <mc:Fallback>
          <w:pict>
            <v:group w14:anchorId="1AEBE86C" id="Group 1756629410" o:spid="_x0000_s1026" style="position:absolute;margin-left:-15.25pt;margin-top:-1.6pt;width:595.2pt;height:636.65pt;z-index:-250915840;mso-wrap-distance-left:0;mso-wrap-distance-right:0;mso-position-horizontal-relative:page;mso-position-vertical-relative:page;mso-height-relative:margin" coordorigin=",7" coordsize="75590,80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gRcKRQxkAAEMZAAAVAAAAZHJzL21lZGlhL2ltYWdlNy5qcGVn/9j/4AAQSkZJRgAB&#10;AQEAYABgAAD/2wBDAAMCAgMCAgMDAwMEAwMEBQgFBQQEBQoHBwYIDAoMDAsKCwsNDhIQDQ4RDgsL&#10;EBYQERMUFRUVDA8XGBYUGBIUFRT/2wBDAQMEBAUEBQkFBQkUDQsNFBQUFBQUFBQUFBQUFBQUFBQU&#10;FBQUFBQUFBQUFBQUFBQUFBQUFBQUFBQUFBQUFBQUFBT/wAARCACRA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width:40050;height:3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">
                <v:imagedata r:id="rId9" o:title=""/>
              </v:shape>
              <v:shape id="Image 3" o:spid="_x0000_s1028" type="#_x0000_t75" style="position:absolute;left:39959;top:15;width:35631;height:40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">
                <v:imagedata r:id="rId10" o:title=""/>
              </v:shape>
              <v:shape id="Image 4" o:spid="_x0000_s1029" type="#_x0000_t75" style="position:absolute;top:35570;width:40050;height:3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">
                <v:imagedata r:id="rId11" o:title=""/>
              </v:shape>
              <v:shape id="Image 5" o:spid="_x0000_s1030" type="#_x0000_t75" style="position:absolute;left:39959;top:40050;width:35631;height:4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">
                <v:imagedata r:id="rId12" o:title=""/>
              </v:shape>
              <v:shape id="Graphic 8" o:spid="_x0000_s1031" style="position:absolute;top:4648;width:75590;height:12;visibility:visible;mso-wrap-style:square;v-text-anchor:top" coordsize="7559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" path="m,l7559039,e" filled="f" strokecolor="#fefefe" strokeweight=".24pt">
                <v:path arrowok="t"/>
              </v:shape>
              <v:shape id="Graphic 9" o:spid="_x0000_s1032" style="position:absolute;top:7;width:75590;height:13;visibility:visible;mso-wrap-style:square;v-text-anchor:top" coordsize="7559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" path="m,l7559039,e" filled="f" strokecolor="#fefefe" strokeweight=".04231mm">
                <v:path arrowok="t"/>
              </v:shape>
              <v:shape id="Image 10" o:spid="_x0000_s1033" type="#_x0000_t75" style="position:absolute;left:45598;top:58856;width:632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">
                <v:imagedata r:id="rId13" o:title=""/>
              </v:shape>
              <v:shape id="Image 11" o:spid="_x0000_s1034" type="#_x0000_t75" style="position:absolute;left:8991;top:51831;width:16886;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">
                <v:imagedata r:id="rId14" o:title=""/>
              </v:shape>
              <v:shape id="Image 12" o:spid="_x0000_s1035" type="#_x0000_t75" style="position:absolute;left:45567;top:51785;width:14874;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">
                <v:imagedata r:id="rId15" o:title="" grayscale="t"/>
              </v:shape>
              <v:shape id="Image 13" o:spid="_x0000_s1036" type="#_x0000_t75" style="position:absolute;left:8991;top:74691;width:1254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">
                <v:imagedata r:id="rId16" o:title=""/>
              </v:shape>
              <w10:wrap anchorx="page" anchory="page"/>
            </v:group>
          </w:pict>
        </mc:Fallback>
      </mc:AlternateContent>
    </w:r>
    <w:r w:rsidR="00470C42" w:rsidRPr="00765421">
      <w:rPr>
        <w:b/>
        <w:noProof/>
        <w:color w:val="414042" w:themeColor="text1"/>
        <w:lang w:eastAsia="en-AU"/>
      </w:rPr>
      <w:t>CRIME AND CORRUPTION COMMISSION</w:t>
    </w:r>
  </w:p>
  <w:p w14:paraId="045E07A2" w14:textId="3572C771" w:rsidR="00470C42" w:rsidRPr="00765421" w:rsidRDefault="00470C42" w:rsidP="00470C42">
    <w:pPr>
      <w:pStyle w:val="Header"/>
      <w:tabs>
        <w:tab w:val="left" w:pos="1139"/>
      </w:tabs>
      <w:rPr>
        <w:b/>
        <w:noProof/>
        <w:color w:val="414042" w:themeColor="text1"/>
        <w:lang w:eastAsia="en-AU"/>
      </w:rPr>
    </w:pPr>
    <w:r w:rsidRPr="00765421">
      <w:rPr>
        <w:b/>
        <w:noProof/>
        <w:color w:val="414042" w:themeColor="text1"/>
        <w:lang w:eastAsia="en-AU"/>
      </w:rPr>
      <w:t>Management Certificate for the year ended 30 June 2023</w:t>
    </w:r>
  </w:p>
  <w:p w14:paraId="77B4C837" w14:textId="51231B0D" w:rsidR="00FB3F34" w:rsidRPr="00765421" w:rsidRDefault="00FB3F34">
    <w:pPr>
      <w:rPr>
        <w:color w:val="414042" w:themeColor="text1"/>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72F5" w14:textId="7162584E" w:rsidR="007C4E47" w:rsidRPr="008E121E" w:rsidRDefault="008E121E" w:rsidP="007C4E47">
    <w:pPr>
      <w:pStyle w:val="Header"/>
      <w:tabs>
        <w:tab w:val="clear" w:pos="4513"/>
        <w:tab w:val="left" w:pos="1139"/>
        <w:tab w:val="center" w:pos="4535"/>
      </w:tabs>
      <w:rPr>
        <w:rFonts w:ascii="Calibri" w:hAnsi="Calibri" w:cs="Calibri"/>
        <w:b/>
        <w:noProof/>
        <w:sz w:val="22"/>
        <w:szCs w:val="24"/>
        <w:lang w:eastAsia="en-AU"/>
      </w:rPr>
    </w:pPr>
    <w:r w:rsidRPr="008E121E">
      <w:rPr>
        <w:rFonts w:ascii="Calibri" w:hAnsi="Calibri" w:cs="Calibri"/>
        <w:b/>
        <w:noProof/>
        <w:sz w:val="22"/>
        <w:szCs w:val="24"/>
        <w:lang w:eastAsia="en-AU"/>
      </w:rPr>
      <mc:AlternateContent>
        <mc:Choice Requires="wps">
          <w:drawing>
            <wp:anchor distT="0" distB="0" distL="114300" distR="114300" simplePos="0" relativeHeight="251725312" behindDoc="1" locked="0" layoutInCell="0" allowOverlap="1" wp14:anchorId="22FC135C" wp14:editId="4E96277C">
              <wp:simplePos x="0" y="0"/>
              <wp:positionH relativeFrom="margin">
                <wp:align>center</wp:align>
              </wp:positionH>
              <wp:positionV relativeFrom="margin">
                <wp:align>center</wp:align>
              </wp:positionV>
              <wp:extent cx="7550150" cy="1078230"/>
              <wp:effectExtent l="0" t="2428875" r="0" b="2188845"/>
              <wp:wrapNone/>
              <wp:docPr id="1756629421" name="Text Box 1756629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0150" cy="1078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67075" w14:textId="77777777" w:rsidR="008E121E" w:rsidRDefault="008E121E" w:rsidP="008E121E">
                          <w:pPr>
                            <w:jc w:val="center"/>
                            <w:rPr>
                              <w:rFonts w:cs="Calibri Light"/>
                              <w:color w:val="C0C0C0"/>
                              <w:sz w:val="2"/>
                              <w:szCs w:val="2"/>
                              <w14:textFill>
                                <w14:solidFill>
                                  <w14:srgbClr w14:val="C0C0C0">
                                    <w14:alpha w14:val="50000"/>
                                  </w14:srgbClr>
                                </w14:solidFill>
                              </w14:textFill>
                            </w:rPr>
                          </w:pPr>
                          <w:r>
                            <w:rPr>
                              <w:rFonts w:cs="Calibri Light"/>
                              <w:color w:val="C0C0C0"/>
                              <w:sz w:val="2"/>
                              <w:szCs w:val="2"/>
                              <w14:textFill>
                                <w14:solidFill>
                                  <w14:srgbClr w14:val="C0C0C0">
                                    <w14:alpha w14:val="50000"/>
                                  </w14:srgbClr>
                                </w14:solidFill>
                              </w14:textFill>
                            </w:rPr>
                            <w:t>CONSOLIDATED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FC135C" id="_x0000_t202" coordsize="21600,21600" o:spt="202" path="m,l,21600r21600,l21600,xe">
              <v:stroke joinstyle="miter"/>
              <v:path gradientshapeok="t" o:connecttype="rect"/>
            </v:shapetype>
            <v:shape id="Text Box 1756629421" o:spid="_x0000_s1084" type="#_x0000_t202" style="position:absolute;margin-left:0;margin-top:0;width:594.5pt;height:84.9pt;rotation:-45;z-index:-25159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" o:allowincell="f" filled="f" stroked="f">
              <v:stroke joinstyle="round"/>
              <o:lock v:ext="edit" shapetype="t"/>
              <v:textbox style="mso-fit-shape-to-text:t">
                <w:txbxContent>
                  <w:p w14:paraId="2BF67075" w14:textId="77777777" w:rsidR="008E121E" w:rsidRDefault="008E121E" w:rsidP="008E121E">
                    <w:pPr>
                      <w:jc w:val="center"/>
                      <w:rPr>
                        <w:rFonts w:cs="Calibri Light"/>
                        <w:color w:val="C0C0C0"/>
                        <w:sz w:val="2"/>
                        <w:szCs w:val="2"/>
                        <w14:textFill>
                          <w14:solidFill>
                            <w14:srgbClr w14:val="C0C0C0">
                              <w14:alpha w14:val="50000"/>
                            </w14:srgbClr>
                          </w14:solidFill>
                        </w14:textFill>
                      </w:rPr>
                    </w:pPr>
                    <w:r>
                      <w:rPr>
                        <w:rFonts w:cs="Calibri Light"/>
                        <w:color w:val="C0C0C0"/>
                        <w:sz w:val="2"/>
                        <w:szCs w:val="2"/>
                        <w14:textFill>
                          <w14:solidFill>
                            <w14:srgbClr w14:val="C0C0C0">
                              <w14:alpha w14:val="50000"/>
                            </w14:srgbClr>
                          </w14:solidFill>
                        </w14:textFill>
                      </w:rPr>
                      <w:t>CONSOLIDATED DRAFT</w:t>
                    </w:r>
                  </w:p>
                </w:txbxContent>
              </v:textbox>
              <w10:wrap anchorx="margin" anchory="margin"/>
            </v:shape>
          </w:pict>
        </mc:Fallback>
      </mc:AlternateContent>
    </w:r>
    <w:r w:rsidR="007C4E47" w:rsidRPr="008E121E">
      <w:rPr>
        <w:rFonts w:ascii="Calibri" w:hAnsi="Calibri" w:cs="Calibri"/>
        <w:b/>
        <w:noProof/>
        <w:sz w:val="22"/>
        <w:szCs w:val="24"/>
        <w:lang w:eastAsia="en-AU"/>
      </w:rPr>
      <w:t>CRIME AND CORRUPTION COMMISSION</w:t>
    </w:r>
    <w:r w:rsidR="007C4E47" w:rsidRPr="008E121E">
      <w:rPr>
        <w:rFonts w:ascii="Calibri" w:hAnsi="Calibri" w:cs="Calibri"/>
        <w:b/>
        <w:noProof/>
        <w:sz w:val="22"/>
        <w:szCs w:val="24"/>
        <w:lang w:eastAsia="en-AU"/>
      </w:rPr>
      <w:br/>
      <w:t>Management Certificate for the year ended 30 June 2023</w:t>
    </w:r>
  </w:p>
  <w:p w14:paraId="7DEA77C9" w14:textId="3CE1C0A7" w:rsidR="00DA3DA7" w:rsidRDefault="00DA3DA7">
    <w:pPr>
      <w:pStyle w:val="Header"/>
    </w:pPr>
  </w:p>
  <w:p w14:paraId="49D1C22E" w14:textId="77777777" w:rsidR="00FB3F34" w:rsidRDefault="00FB3F34"/>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CBEC" w14:textId="4FF1509B" w:rsidR="00DA3DA7" w:rsidRDefault="00DA3DA7">
    <w:pPr>
      <w:pStyle w:val="Header"/>
    </w:pPr>
  </w:p>
  <w:p w14:paraId="1411F57E" w14:textId="77777777" w:rsidR="00FB3F34" w:rsidRDefault="00FB3F34"/>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3CA6" w14:textId="66FE0127" w:rsidR="00DA3B51" w:rsidRPr="008C32CF" w:rsidRDefault="00DA3B51" w:rsidP="008C32CF">
    <w:pPr>
      <w:pStyle w:val="Header"/>
      <w:tabs>
        <w:tab w:val="left" w:pos="1139"/>
      </w:tabs>
      <w:rPr>
        <w:rFonts w:asciiTheme="minorHAnsi" w:eastAsiaTheme="majorEastAsia" w:hAnsiTheme="minorHAnsi" w:cstheme="minorHAnsi"/>
        <w:b/>
        <w:color w:val="414042" w:themeColor="text1"/>
        <w:sz w:val="22"/>
      </w:rPr>
    </w:pPr>
    <w:r>
      <w:rPr>
        <w:rFonts w:ascii="Times New Roman" w:hAnsi="Times New Roman" w:cs="Times New Roman"/>
        <w:noProof/>
        <w:sz w:val="24"/>
        <w:szCs w:val="24"/>
      </w:rPr>
      <w:drawing>
        <wp:inline distT="0" distB="0" distL="0" distR="0" wp14:anchorId="32C3C15A" wp14:editId="1ADD62D4">
          <wp:extent cx="1686560" cy="605790"/>
          <wp:effectExtent l="0" t="0" r="8890" b="381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605790"/>
                  </a:xfrm>
                  <a:prstGeom prst="rect">
                    <a:avLst/>
                  </a:prstGeom>
                  <a:noFill/>
                  <a:ln>
                    <a:noFill/>
                  </a:ln>
                </pic:spPr>
              </pic:pic>
            </a:graphicData>
          </a:graphic>
        </wp:inline>
      </w:drawing>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8111" w14:textId="397F2569" w:rsidR="00E4389B" w:rsidRDefault="00A532DA" w:rsidP="004A6BC5">
    <w:pPr>
      <w:pStyle w:val="Header"/>
    </w:pPr>
    <w:r>
      <w:rPr>
        <w:rFonts w:ascii="Times New Roman" w:hAnsi="Times New Roman" w:cs="Times New Roman"/>
        <w:noProof/>
        <w:sz w:val="24"/>
        <w:szCs w:val="24"/>
      </w:rPr>
      <w:drawing>
        <wp:inline distT="0" distB="0" distL="0" distR="0" wp14:anchorId="4803CBB3" wp14:editId="568414F7">
          <wp:extent cx="1686560" cy="605790"/>
          <wp:effectExtent l="0" t="0" r="8890" b="381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605790"/>
                  </a:xfrm>
                  <a:prstGeom prst="rect">
                    <a:avLst/>
                  </a:prstGeom>
                  <a:noFill/>
                  <a:ln>
                    <a:noFill/>
                  </a:ln>
                </pic:spPr>
              </pic:pic>
            </a:graphicData>
          </a:graphic>
        </wp:inline>
      </w:drawing>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691A" w14:textId="64E2AC6F" w:rsidR="00DA3DA7" w:rsidRDefault="00DA3DA7">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A3E2" w14:textId="51677CC0" w:rsidR="000442BE" w:rsidRDefault="00E20B84" w:rsidP="00F04DF2">
    <w:pPr>
      <w:ind w:left="709"/>
    </w:pPr>
    <w:r>
      <w:rPr>
        <w:noProof/>
      </w:rPr>
      <w:drawing>
        <wp:anchor distT="0" distB="0" distL="114300" distR="114300" simplePos="0" relativeHeight="251698688" behindDoc="1" locked="0" layoutInCell="1" allowOverlap="1" wp14:anchorId="052702D2" wp14:editId="650BF5B5">
          <wp:simplePos x="0" y="0"/>
          <wp:positionH relativeFrom="page">
            <wp:posOffset>12724</wp:posOffset>
          </wp:positionH>
          <wp:positionV relativeFrom="paragraph">
            <wp:posOffset>-465826</wp:posOffset>
          </wp:positionV>
          <wp:extent cx="7558762" cy="10691992"/>
          <wp:effectExtent l="0" t="0" r="4445"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7B2D" w14:textId="1046D846" w:rsidR="00DA3DA7" w:rsidRDefault="00AF2677">
    <w:pPr>
      <w:pStyle w:val="Header"/>
    </w:pPr>
    <w:r>
      <w:rPr>
        <w:noProof/>
      </w:rPr>
      <w:drawing>
        <wp:anchor distT="0" distB="0" distL="114300" distR="114300" simplePos="0" relativeHeight="251707904" behindDoc="1" locked="0" layoutInCell="1" allowOverlap="1" wp14:anchorId="54104876" wp14:editId="7D0944F9">
          <wp:simplePos x="0" y="0"/>
          <wp:positionH relativeFrom="page">
            <wp:posOffset>-2924</wp:posOffset>
          </wp:positionH>
          <wp:positionV relativeFrom="paragraph">
            <wp:posOffset>-457200</wp:posOffset>
          </wp:positionV>
          <wp:extent cx="7558765" cy="10691997"/>
          <wp:effectExtent l="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BB3E" w14:textId="0A29C345" w:rsidR="000442BE" w:rsidRDefault="008F7730" w:rsidP="00F04DF2">
    <w:pPr>
      <w:pStyle w:val="Header"/>
      <w:ind w:left="426"/>
    </w:pPr>
    <w:r>
      <w:rPr>
        <w:noProof/>
      </w:rPr>
      <mc:AlternateContent>
        <mc:Choice Requires="wps">
          <w:drawing>
            <wp:anchor distT="0" distB="0" distL="114300" distR="114300" simplePos="0" relativeHeight="251671040" behindDoc="0" locked="0" layoutInCell="0" allowOverlap="1" wp14:anchorId="72439004" wp14:editId="24F8E28A">
              <wp:simplePos x="0" y="0"/>
              <wp:positionH relativeFrom="page">
                <wp:posOffset>0</wp:posOffset>
              </wp:positionH>
              <wp:positionV relativeFrom="page">
                <wp:posOffset>0</wp:posOffset>
              </wp:positionV>
              <wp:extent cx="7772400" cy="463550"/>
              <wp:effectExtent l="0" t="0" r="0" b="12700"/>
              <wp:wrapNone/>
              <wp:docPr id="175662946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CEA78"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439004" id="_x0000_t202" coordsize="21600,21600" o:spt="202" path="m,l,21600r21600,l21600,xe">
              <v:stroke joinstyle="miter"/>
              <v:path gradientshapeok="t" o:connecttype="rect"/>
            </v:shapetype>
            <v:shape id="_x0000_s1085" type="#_x0000_t202" alt="{&quot;HashCode&quot;:431350885,&quot;Height&quot;:9999999.0,&quot;Width&quot;:9999999.0,&quot;Placement&quot;:&quot;Header&quot;,&quot;Index&quot;:&quot;Primary&quot;,&quot;Section&quot;:8,&quot;Top&quot;:0.0,&quot;Left&quot;:0.0}" style="position:absolute;left:0;text-align:left;margin-left:0;margin-top:0;width:612pt;height:36.5pt;z-index:2516710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GB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4xW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x0AYEZAgAALgQAAA4AAAAAAAAAAAAAAAAALgIAAGRycy9lMm9Eb2MueG1sUEsBAi0AFAAGAAgA&#10;AAAhAL4fCrfaAAAABQEAAA8AAAAAAAAAAAAAAAAAcwQAAGRycy9kb3ducmV2LnhtbFBLBQYAAAAA&#10;BAAEAPMAAAB6BQAAAAA=&#10;" o:allowincell="f" filled="f" stroked="f" strokeweight=".5pt">
              <v:textbox inset=",0,,0">
                <w:txbxContent>
                  <w:p w14:paraId="20CCEA78"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A532DA">
      <w:rPr>
        <w:noProof/>
      </w:rPr>
      <w:drawing>
        <wp:anchor distT="0" distB="0" distL="114300" distR="114300" simplePos="0" relativeHeight="251574784" behindDoc="1" locked="0" layoutInCell="1" allowOverlap="1" wp14:anchorId="7F5FF9BE" wp14:editId="1FD50BF3">
          <wp:simplePos x="0" y="0"/>
          <wp:positionH relativeFrom="page">
            <wp:posOffset>899</wp:posOffset>
          </wp:positionH>
          <wp:positionV relativeFrom="paragraph">
            <wp:posOffset>-462337</wp:posOffset>
          </wp:positionV>
          <wp:extent cx="7558764" cy="10691995"/>
          <wp:effectExtent l="0" t="0" r="4445"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3E51" w14:textId="5DCB0ABA" w:rsidR="00DA3DA7" w:rsidRDefault="00DA3DA7">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F94B" w14:textId="2BCE76E2" w:rsidR="002432C3" w:rsidRDefault="002432C3" w:rsidP="00F04DF2">
    <w:pPr>
      <w:ind w:left="709"/>
    </w:pPr>
    <w:r>
      <w:rPr>
        <w:noProof/>
      </w:rPr>
      <w:drawing>
        <wp:anchor distT="0" distB="0" distL="114300" distR="114300" simplePos="0" relativeHeight="251717120" behindDoc="1" locked="0" layoutInCell="1" allowOverlap="1" wp14:anchorId="65E0D912" wp14:editId="15C80E39">
          <wp:simplePos x="0" y="0"/>
          <wp:positionH relativeFrom="page">
            <wp:posOffset>7708</wp:posOffset>
          </wp:positionH>
          <wp:positionV relativeFrom="paragraph">
            <wp:posOffset>-467833</wp:posOffset>
          </wp:positionV>
          <wp:extent cx="7558763" cy="10691993"/>
          <wp:effectExtent l="0" t="0" r="0" b="0"/>
          <wp:wrapNone/>
          <wp:docPr id="1756629365" name="Picture 175662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DF60" w14:textId="2AB38DB3" w:rsidR="005268F0" w:rsidRDefault="005268F0" w:rsidP="00F04DF2">
    <w:pPr>
      <w:pStyle w:val="Header"/>
      <w:ind w:left="426"/>
    </w:pPr>
    <w:r>
      <w:rPr>
        <w:noProof/>
      </w:rPr>
      <w:drawing>
        <wp:anchor distT="0" distB="0" distL="114300" distR="114300" simplePos="0" relativeHeight="251697664" behindDoc="1" locked="0" layoutInCell="1" allowOverlap="1" wp14:anchorId="7A42F1BA" wp14:editId="79362C65">
          <wp:simplePos x="0" y="0"/>
          <wp:positionH relativeFrom="page">
            <wp:posOffset>899</wp:posOffset>
          </wp:positionH>
          <wp:positionV relativeFrom="paragraph">
            <wp:posOffset>-462337</wp:posOffset>
          </wp:positionV>
          <wp:extent cx="7558764" cy="10691995"/>
          <wp:effectExtent l="0" t="0" r="4445" b="0"/>
          <wp:wrapNone/>
          <wp:docPr id="1756629366" name="Picture 175662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EF97" w14:textId="7F34E8A8" w:rsidR="00DA3DA7" w:rsidRDefault="00DA3DA7">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0A97" w14:textId="2415B420" w:rsidR="00DA3DA7" w:rsidRDefault="00DA3DA7">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B1E7" w14:textId="6FABFB00" w:rsidR="00DA3DA7" w:rsidRDefault="00DA3DA7">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4ADC" w14:textId="454FDE73" w:rsidR="00DA3DA7" w:rsidRDefault="00DA3DA7">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C4D9" w14:textId="4698017C" w:rsidR="001B30D0" w:rsidRDefault="001B30D0">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E51A" w14:textId="507DCBA9" w:rsidR="00A54980" w:rsidRDefault="00A54980" w:rsidP="00F04DF2">
    <w:pPr>
      <w:pStyle w:val="Header"/>
      <w:ind w:left="426"/>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BA1B" w14:textId="473A88E4" w:rsidR="00DA3DA7" w:rsidRDefault="00DA3DA7">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3413" w14:textId="33C924DD" w:rsidR="00DA3DA7" w:rsidRDefault="00DA3DA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6564" w14:textId="1F0A9285" w:rsidR="00F7597E" w:rsidRDefault="00BE2648">
    <w:pPr>
      <w:pStyle w:val="Header"/>
    </w:pPr>
    <w:r>
      <w:rPr>
        <w:noProof/>
      </w:rPr>
      <w:drawing>
        <wp:anchor distT="0" distB="0" distL="114300" distR="114300" simplePos="0" relativeHeight="251752960" behindDoc="1" locked="0" layoutInCell="1" allowOverlap="1" wp14:anchorId="6672141D" wp14:editId="5009CA34">
          <wp:simplePos x="0" y="0"/>
          <wp:positionH relativeFrom="page">
            <wp:posOffset>-3810</wp:posOffset>
          </wp:positionH>
          <wp:positionV relativeFrom="paragraph">
            <wp:posOffset>-457200</wp:posOffset>
          </wp:positionV>
          <wp:extent cx="7558765" cy="10691996"/>
          <wp:effectExtent l="0" t="0" r="444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9F1B" w14:textId="73A3AE69" w:rsidR="00F7597E" w:rsidRDefault="008B2D3B">
    <w:pPr>
      <w:pStyle w:val="Header"/>
    </w:pPr>
    <w:r>
      <w:rPr>
        <w:noProof/>
      </w:rPr>
      <mc:AlternateContent>
        <mc:Choice Requires="wps">
          <w:drawing>
            <wp:anchor distT="0" distB="0" distL="114300" distR="114300" simplePos="0" relativeHeight="251682304" behindDoc="0" locked="0" layoutInCell="0" allowOverlap="1" wp14:anchorId="0B511BD6" wp14:editId="41A58E73">
              <wp:simplePos x="0" y="0"/>
              <wp:positionH relativeFrom="page">
                <wp:posOffset>-10758</wp:posOffset>
              </wp:positionH>
              <wp:positionV relativeFrom="page">
                <wp:posOffset>21515</wp:posOffset>
              </wp:positionV>
              <wp:extent cx="7772400" cy="463550"/>
              <wp:effectExtent l="0" t="0" r="0" b="12700"/>
              <wp:wrapNone/>
              <wp:docPr id="18"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058A0"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511BD6" id="_x0000_t202" coordsize="21600,21600" o:spt="202" path="m,l,21600r21600,l21600,xe">
              <v:stroke joinstyle="miter"/>
              <v:path gradientshapeok="t" o:connecttype="rect"/>
            </v:shapetype>
            <v:shape id="_x0000_s1049" type="#_x0000_t202" alt="{&quot;HashCode&quot;:431350885,&quot;Height&quot;:9999999.0,&quot;Width&quot;:9999999.0,&quot;Placement&quot;:&quot;Header&quot;,&quot;Index&quot;:&quot;Primary&quot;,&quot;Section&quot;:8,&quot;Top&quot;:0.0,&quot;Left&quot;:0.0}" style="position:absolute;margin-left:-.85pt;margin-top:1.7pt;width:612pt;height:36.5pt;z-index:2516823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" o:allowincell="f" filled="f" stroked="f" strokeweight=".5pt">
              <v:textbox inset=",0,,0">
                <w:txbxContent>
                  <w:p w14:paraId="034058A0"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304074">
      <w:rPr>
        <w:noProof/>
      </w:rPr>
      <w:drawing>
        <wp:anchor distT="0" distB="0" distL="114300" distR="114300" simplePos="0" relativeHeight="251678208" behindDoc="1" locked="0" layoutInCell="1" allowOverlap="1" wp14:anchorId="107FF6C9" wp14:editId="41F45E12">
          <wp:simplePos x="0" y="0"/>
          <wp:positionH relativeFrom="page">
            <wp:posOffset>-13335</wp:posOffset>
          </wp:positionH>
          <wp:positionV relativeFrom="paragraph">
            <wp:posOffset>-438150</wp:posOffset>
          </wp:positionV>
          <wp:extent cx="7558765" cy="10691997"/>
          <wp:effectExtent l="0" t="0" r="444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D106" w14:textId="0D5E42BD" w:rsidR="005F42AC" w:rsidRPr="000E0E28" w:rsidRDefault="00420125" w:rsidP="000E0E28">
    <w:pPr>
      <w:pStyle w:val="Header"/>
      <w:tabs>
        <w:tab w:val="clear" w:pos="4513"/>
        <w:tab w:val="clear" w:pos="9026"/>
        <w:tab w:val="left" w:pos="3554"/>
      </w:tabs>
      <w:rPr>
        <w:b/>
        <w:bCs/>
        <w:sz w:val="22"/>
        <w:szCs w:val="24"/>
      </w:rPr>
    </w:pPr>
    <w:r>
      <w:rPr>
        <w:rFonts w:cs="Calibri Light"/>
        <w:noProof/>
        <w:color w:val="000000"/>
        <w:sz w:val="16"/>
        <w:szCs w:val="16"/>
      </w:rPr>
      <w:drawing>
        <wp:anchor distT="0" distB="0" distL="114300" distR="114300" simplePos="0" relativeHeight="251746816" behindDoc="0" locked="0" layoutInCell="1" allowOverlap="1" wp14:anchorId="0D19A9BE" wp14:editId="709DB1A2">
          <wp:simplePos x="0" y="0"/>
          <wp:positionH relativeFrom="column">
            <wp:posOffset>-127000</wp:posOffset>
          </wp:positionH>
          <wp:positionV relativeFrom="paragraph">
            <wp:posOffset>143288</wp:posOffset>
          </wp:positionV>
          <wp:extent cx="3150235" cy="6248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3150235" cy="624840"/>
                  </a:xfrm>
                  <a:prstGeom prst="rect">
                    <a:avLst/>
                  </a:prstGeom>
                </pic:spPr>
              </pic:pic>
            </a:graphicData>
          </a:graphic>
          <wp14:sizeRelH relativeFrom="page">
            <wp14:pctWidth>0</wp14:pctWidth>
          </wp14:sizeRelH>
          <wp14:sizeRelV relativeFrom="page">
            <wp14:pctHeight>0</wp14:pctHeight>
          </wp14:sizeRelV>
        </wp:anchor>
      </w:drawing>
    </w:r>
    <w:r w:rsidR="00B6125B">
      <w:rPr>
        <w:noProof/>
      </w:rPr>
      <w:drawing>
        <wp:anchor distT="0" distB="0" distL="114300" distR="114300" simplePos="0" relativeHeight="251553280" behindDoc="1" locked="0" layoutInCell="1" allowOverlap="1" wp14:anchorId="412B0164" wp14:editId="4AF3F31A">
          <wp:simplePos x="0" y="0"/>
          <wp:positionH relativeFrom="page">
            <wp:posOffset>-10795</wp:posOffset>
          </wp:positionH>
          <wp:positionV relativeFrom="paragraph">
            <wp:posOffset>-450215</wp:posOffset>
          </wp:positionV>
          <wp:extent cx="7551420" cy="10681970"/>
          <wp:effectExtent l="0" t="0" r="0" b="0"/>
          <wp:wrapNone/>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2">
                    <a:extLst>
                      <a:ext uri="{28A0092B-C50C-407E-A947-70E740481C1C}">
                        <a14:useLocalDpi xmlns:a14="http://schemas.microsoft.com/office/drawing/2010/main" val="0"/>
                      </a:ext>
                    </a:extLst>
                  </a:blip>
                  <a:stretch>
                    <a:fillRect/>
                  </a:stretch>
                </pic:blipFill>
                <pic:spPr>
                  <a:xfrm>
                    <a:off x="0" y="0"/>
                    <a:ext cx="7551420" cy="10681970"/>
                  </a:xfrm>
                  <a:prstGeom prst="rect">
                    <a:avLst/>
                  </a:prstGeom>
                </pic:spPr>
              </pic:pic>
            </a:graphicData>
          </a:graphic>
          <wp14:sizeRelH relativeFrom="page">
            <wp14:pctWidth>0</wp14:pctWidth>
          </wp14:sizeRelH>
          <wp14:sizeRelV relativeFrom="page">
            <wp14:pctHeight>0</wp14:pctHeight>
          </wp14:sizeRelV>
        </wp:anchor>
      </w:drawing>
    </w:r>
    <w:r w:rsidR="00865BCB">
      <w:rPr>
        <w:noProof/>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C86" w14:textId="08E39CFF" w:rsidR="00DA3DA7" w:rsidRDefault="00DA3DA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9202" w14:textId="2E40C883" w:rsidR="000442BE" w:rsidRDefault="00304074">
    <w:pPr>
      <w:pStyle w:val="Header"/>
    </w:pPr>
    <w:r>
      <w:rPr>
        <w:noProof/>
      </w:rPr>
      <w:drawing>
        <wp:anchor distT="0" distB="0" distL="114300" distR="114300" simplePos="0" relativeHeight="251679232" behindDoc="1" locked="0" layoutInCell="1" allowOverlap="1" wp14:anchorId="0BBCC871" wp14:editId="76B584BE">
          <wp:simplePos x="0" y="0"/>
          <wp:positionH relativeFrom="page">
            <wp:posOffset>-3810</wp:posOffset>
          </wp:positionH>
          <wp:positionV relativeFrom="paragraph">
            <wp:posOffset>-447675</wp:posOffset>
          </wp:positionV>
          <wp:extent cx="7558765" cy="10691995"/>
          <wp:effectExtent l="0" t="0" r="444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FC5FFD">
      <w:rPr>
        <w:noProof/>
      </w:rPr>
      <mc:AlternateContent>
        <mc:Choice Requires="wps">
          <w:drawing>
            <wp:anchor distT="0" distB="0" distL="114300" distR="114300" simplePos="0" relativeHeight="251637248" behindDoc="0" locked="0" layoutInCell="0" allowOverlap="1" wp14:anchorId="3D13DE1D" wp14:editId="0A3DEAC3">
              <wp:simplePos x="0" y="0"/>
              <wp:positionH relativeFrom="page">
                <wp:posOffset>0</wp:posOffset>
              </wp:positionH>
              <wp:positionV relativeFrom="page">
                <wp:posOffset>13648</wp:posOffset>
              </wp:positionV>
              <wp:extent cx="7772400" cy="463550"/>
              <wp:effectExtent l="0" t="0" r="0" b="12700"/>
              <wp:wrapNone/>
              <wp:docPr id="1756629445"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BE96DC" w14:textId="77777777" w:rsidR="00FC5FFD" w:rsidRPr="008E4C9E" w:rsidRDefault="00FC5FFD" w:rsidP="00FC5FFD">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13DE1D" id="_x0000_t202" coordsize="21600,21600" o:spt="202" path="m,l,21600r21600,l21600,xe">
              <v:stroke joinstyle="miter"/>
              <v:path gradientshapeok="t" o:connecttype="rect"/>
            </v:shapetype>
            <v:shape id="_x0000_s1050" type="#_x0000_t202" alt="{&quot;HashCode&quot;:431350885,&quot;Height&quot;:9999999.0,&quot;Width&quot;:9999999.0,&quot;Placement&quot;:&quot;Header&quot;,&quot;Index&quot;:&quot;Primary&quot;,&quot;Section&quot;:8,&quot;Top&quot;:0.0,&quot;Left&quot;:0.0}" style="position:absolute;margin-left:0;margin-top:1.05pt;width:612pt;height:36.5pt;z-index:251637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" o:allowincell="f" filled="f" stroked="f" strokeweight=".5pt">
              <v:textbox inset=",0,,0">
                <w:txbxContent>
                  <w:p w14:paraId="3FBE96DC" w14:textId="77777777" w:rsidR="00FC5FFD" w:rsidRPr="008E4C9E" w:rsidRDefault="00FC5FFD" w:rsidP="00FC5FFD">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C661" w14:textId="06590589" w:rsidR="000442BE" w:rsidRDefault="000442BE">
    <w:pPr>
      <w:pStyle w:val="Header"/>
    </w:pPr>
    <w:r>
      <w:rPr>
        <w:noProof/>
      </w:rPr>
      <w:drawing>
        <wp:anchor distT="0" distB="0" distL="114300" distR="114300" simplePos="0" relativeHeight="251557376" behindDoc="1" locked="0" layoutInCell="1" allowOverlap="1" wp14:anchorId="0E4976A7" wp14:editId="5BE4D38A">
          <wp:simplePos x="0" y="0"/>
          <wp:positionH relativeFrom="page">
            <wp:posOffset>4445</wp:posOffset>
          </wp:positionH>
          <wp:positionV relativeFrom="paragraph">
            <wp:posOffset>-452120</wp:posOffset>
          </wp:positionV>
          <wp:extent cx="7558765" cy="10691996"/>
          <wp:effectExtent l="0" t="0" r="444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372A" w14:textId="6966F7E4" w:rsidR="00DA3DA7" w:rsidRDefault="00DA3D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28A9" w14:textId="564C89DE" w:rsidR="00DA3DA7" w:rsidRDefault="00DA3DA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5C75" w14:textId="5FE340CD" w:rsidR="000442BE" w:rsidRDefault="00304074">
    <w:r>
      <w:rPr>
        <w:noProof/>
      </w:rPr>
      <w:drawing>
        <wp:anchor distT="0" distB="0" distL="114300" distR="114300" simplePos="0" relativeHeight="251680256" behindDoc="1" locked="0" layoutInCell="1" allowOverlap="1" wp14:anchorId="32844D5D" wp14:editId="213C7C46">
          <wp:simplePos x="0" y="0"/>
          <wp:positionH relativeFrom="page">
            <wp:posOffset>-3810</wp:posOffset>
          </wp:positionH>
          <wp:positionV relativeFrom="paragraph">
            <wp:posOffset>-441325</wp:posOffset>
          </wp:positionV>
          <wp:extent cx="7558765" cy="10691997"/>
          <wp:effectExtent l="0" t="0" r="444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1451" w14:textId="2036183C" w:rsidR="00DA3DA7" w:rsidRDefault="00DA3DA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FCF6" w14:textId="5F48422B" w:rsidR="00DA3DA7" w:rsidRDefault="00DA3DA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7BBB" w14:textId="721F605B" w:rsidR="00DA3DA7" w:rsidRDefault="00DA3DA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8AFB" w14:textId="4C6BD146" w:rsidR="00DA3DA7" w:rsidRDefault="00DA3D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85A3" w14:textId="627DEF86" w:rsidR="000442BE" w:rsidRDefault="007A7AD2" w:rsidP="00AF2677">
    <w:pPr>
      <w:pStyle w:val="Header"/>
    </w:pPr>
    <w:r>
      <w:rPr>
        <w:noProof/>
      </w:rPr>
      <w:drawing>
        <wp:anchor distT="0" distB="0" distL="114300" distR="114300" simplePos="0" relativeHeight="251747840" behindDoc="1" locked="0" layoutInCell="1" allowOverlap="1" wp14:anchorId="5AF458B1" wp14:editId="4535662B">
          <wp:simplePos x="0" y="0"/>
          <wp:positionH relativeFrom="page">
            <wp:posOffset>7708</wp:posOffset>
          </wp:positionH>
          <wp:positionV relativeFrom="paragraph">
            <wp:posOffset>-457835</wp:posOffset>
          </wp:positionV>
          <wp:extent cx="7558765" cy="1069199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CD04" w14:textId="4C72B358" w:rsidR="00DA3DA7" w:rsidRDefault="00DB4004">
    <w:pPr>
      <w:pStyle w:val="Header"/>
    </w:pPr>
    <w:r>
      <w:rPr>
        <w:noProof/>
      </w:rPr>
      <w:drawing>
        <wp:anchor distT="0" distB="0" distL="114300" distR="114300" simplePos="0" relativeHeight="251712000" behindDoc="1" locked="0" layoutInCell="1" allowOverlap="1" wp14:anchorId="0DE22275" wp14:editId="4282DE3C">
          <wp:simplePos x="0" y="0"/>
          <wp:positionH relativeFrom="page">
            <wp:posOffset>-2924</wp:posOffset>
          </wp:positionH>
          <wp:positionV relativeFrom="paragraph">
            <wp:posOffset>-446568</wp:posOffset>
          </wp:positionV>
          <wp:extent cx="7558405" cy="1069149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885C" w14:textId="67571F91" w:rsidR="00DA3DA7" w:rsidRDefault="00DA3DA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675E" w14:textId="38C0831D" w:rsidR="00DA3DA7" w:rsidRDefault="00DA3DA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E99A" w14:textId="323A0EDD" w:rsidR="00DA3DA7" w:rsidRDefault="00DA3DA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A842" w14:textId="7858FF96" w:rsidR="00DA3DA7" w:rsidRDefault="00DB4004">
    <w:pPr>
      <w:pStyle w:val="Header"/>
    </w:pPr>
    <w:r>
      <w:rPr>
        <w:noProof/>
      </w:rPr>
      <w:drawing>
        <wp:anchor distT="0" distB="0" distL="114300" distR="114300" simplePos="0" relativeHeight="251710976" behindDoc="1" locked="0" layoutInCell="1" allowOverlap="1" wp14:anchorId="0AD73273" wp14:editId="13B3DB45">
          <wp:simplePos x="0" y="0"/>
          <wp:positionH relativeFrom="page">
            <wp:posOffset>-24190</wp:posOffset>
          </wp:positionH>
          <wp:positionV relativeFrom="paragraph">
            <wp:posOffset>-435935</wp:posOffset>
          </wp:positionV>
          <wp:extent cx="7558765" cy="10691997"/>
          <wp:effectExtent l="0" t="0" r="444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78BE" w14:textId="1462ED66" w:rsidR="00DA3DA7" w:rsidRDefault="00DA3DA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F9FD" w14:textId="124B66DC" w:rsidR="00D6193C" w:rsidRDefault="007C57D9" w:rsidP="002D5AE6">
    <w:pPr>
      <w:pStyle w:val="Header"/>
      <w:tabs>
        <w:tab w:val="clear" w:pos="4513"/>
        <w:tab w:val="clear" w:pos="9026"/>
        <w:tab w:val="left" w:pos="5292"/>
      </w:tabs>
    </w:pPr>
    <w:r>
      <w:rPr>
        <w:noProof/>
      </w:rPr>
      <w:drawing>
        <wp:anchor distT="0" distB="0" distL="114300" distR="114300" simplePos="0" relativeHeight="251602432" behindDoc="1" locked="0" layoutInCell="1" allowOverlap="1" wp14:anchorId="2DB45904" wp14:editId="11FD6BAC">
          <wp:simplePos x="0" y="0"/>
          <wp:positionH relativeFrom="page">
            <wp:posOffset>-1905</wp:posOffset>
          </wp:positionH>
          <wp:positionV relativeFrom="paragraph">
            <wp:posOffset>-442595</wp:posOffset>
          </wp:positionV>
          <wp:extent cx="7558405" cy="10691495"/>
          <wp:effectExtent l="0" t="0" r="444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D6193C">
      <w:tab/>
    </w:r>
  </w:p>
  <w:p w14:paraId="6A274C74" w14:textId="77777777" w:rsidR="00D6193C" w:rsidRDefault="00D6193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649D" w14:textId="677EBAE3" w:rsidR="00D6193C" w:rsidRDefault="008B2D3B">
    <w:pPr>
      <w:pStyle w:val="Header"/>
    </w:pPr>
    <w:r>
      <w:rPr>
        <w:noProof/>
      </w:rPr>
      <mc:AlternateContent>
        <mc:Choice Requires="wps">
          <w:drawing>
            <wp:anchor distT="0" distB="0" distL="114300" distR="114300" simplePos="0" relativeHeight="251683328" behindDoc="0" locked="0" layoutInCell="0" allowOverlap="1" wp14:anchorId="0D026F1D" wp14:editId="316D666E">
              <wp:simplePos x="0" y="0"/>
              <wp:positionH relativeFrom="page">
                <wp:posOffset>0</wp:posOffset>
              </wp:positionH>
              <wp:positionV relativeFrom="page">
                <wp:posOffset>0</wp:posOffset>
              </wp:positionV>
              <wp:extent cx="7772400" cy="463550"/>
              <wp:effectExtent l="0" t="0" r="0" b="12700"/>
              <wp:wrapNone/>
              <wp:docPr id="4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22A4EB"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026F1D" id="_x0000_t202" coordsize="21600,21600" o:spt="202" path="m,l,21600r21600,l21600,xe">
              <v:stroke joinstyle="miter"/>
              <v:path gradientshapeok="t" o:connecttype="rect"/>
            </v:shapetype>
            <v:shape id="_x0000_s1051" type="#_x0000_t202" alt="{&quot;HashCode&quot;:431350885,&quot;Height&quot;:9999999.0,&quot;Width&quot;:9999999.0,&quot;Placement&quot;:&quot;Header&quot;,&quot;Index&quot;:&quot;Primary&quot;,&quot;Section&quot;:8,&quot;Top&quot;:0.0,&quot;Left&quot;:0.0}" style="position:absolute;margin-left:0;margin-top:0;width:612pt;height:36.5pt;z-index:2516833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1E22A4EB"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6193C">
      <w:rPr>
        <w:noProof/>
      </w:rPr>
      <w:drawing>
        <wp:anchor distT="0" distB="0" distL="114300" distR="114300" simplePos="0" relativeHeight="251601408" behindDoc="1" locked="0" layoutInCell="1" allowOverlap="1" wp14:anchorId="6C6E7D52" wp14:editId="65CAA368">
          <wp:simplePos x="0" y="0"/>
          <wp:positionH relativeFrom="page">
            <wp:align>right</wp:align>
          </wp:positionH>
          <wp:positionV relativeFrom="paragraph">
            <wp:posOffset>-448310</wp:posOffset>
          </wp:positionV>
          <wp:extent cx="7558764" cy="10691993"/>
          <wp:effectExtent l="0" t="0" r="4445" b="0"/>
          <wp:wrapNone/>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D165" w14:textId="09520C64" w:rsidR="00D6193C" w:rsidRDefault="00D6193C">
    <w:pPr>
      <w:pStyle w:val="Header"/>
    </w:pPr>
    <w:r>
      <w:rPr>
        <w:noProof/>
      </w:rPr>
      <w:drawing>
        <wp:anchor distT="0" distB="0" distL="114300" distR="114300" simplePos="0" relativeHeight="251600384" behindDoc="1" locked="0" layoutInCell="1" allowOverlap="1" wp14:anchorId="5E986A46" wp14:editId="1831F585">
          <wp:simplePos x="0" y="0"/>
          <wp:positionH relativeFrom="page">
            <wp:align>left</wp:align>
          </wp:positionH>
          <wp:positionV relativeFrom="paragraph">
            <wp:posOffset>-448310</wp:posOffset>
          </wp:positionV>
          <wp:extent cx="7558767" cy="10691999"/>
          <wp:effectExtent l="0" t="0" r="4445" b="0"/>
          <wp:wrapNone/>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1" locked="0" layoutInCell="1" allowOverlap="1" wp14:anchorId="4FA4ACFB" wp14:editId="7B8D05D4">
          <wp:simplePos x="0" y="0"/>
          <wp:positionH relativeFrom="column">
            <wp:posOffset>6985635</wp:posOffset>
          </wp:positionH>
          <wp:positionV relativeFrom="paragraph">
            <wp:posOffset>-450215</wp:posOffset>
          </wp:positionV>
          <wp:extent cx="7558405" cy="10691495"/>
          <wp:effectExtent l="0" t="0" r="4445" b="0"/>
          <wp:wrapNone/>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757D" w14:textId="0A6ED4C9" w:rsidR="00D6193C" w:rsidRDefault="008B2D3B" w:rsidP="00BB5386">
    <w:pPr>
      <w:pStyle w:val="Header"/>
    </w:pPr>
    <w:r>
      <w:rPr>
        <w:noProof/>
      </w:rPr>
      <mc:AlternateContent>
        <mc:Choice Requires="wps">
          <w:drawing>
            <wp:anchor distT="0" distB="0" distL="114300" distR="114300" simplePos="0" relativeHeight="251684352" behindDoc="0" locked="0" layoutInCell="0" allowOverlap="1" wp14:anchorId="43B9EAAA" wp14:editId="4E6C4DCE">
              <wp:simplePos x="0" y="0"/>
              <wp:positionH relativeFrom="page">
                <wp:posOffset>0</wp:posOffset>
              </wp:positionH>
              <wp:positionV relativeFrom="page">
                <wp:posOffset>10758</wp:posOffset>
              </wp:positionV>
              <wp:extent cx="7772400" cy="463550"/>
              <wp:effectExtent l="0" t="0" r="0" b="12700"/>
              <wp:wrapNone/>
              <wp:docPr id="5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6F854"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B9EAAA" id="_x0000_t202" coordsize="21600,21600" o:spt="202" path="m,l,21600r21600,l21600,xe">
              <v:stroke joinstyle="miter"/>
              <v:path gradientshapeok="t" o:connecttype="rect"/>
            </v:shapetype>
            <v:shape id="_x0000_s1052" type="#_x0000_t202" alt="{&quot;HashCode&quot;:431350885,&quot;Height&quot;:9999999.0,&quot;Width&quot;:9999999.0,&quot;Placement&quot;:&quot;Header&quot;,&quot;Index&quot;:&quot;Primary&quot;,&quot;Section&quot;:8,&quot;Top&quot;:0.0,&quot;Left&quot;:0.0}" style="position:absolute;margin-left:0;margin-top:.85pt;width:612pt;height:36.5pt;z-index:2516843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" o:allowincell="f" filled="f" stroked="f" strokeweight=".5pt">
              <v:textbox inset=",0,,0">
                <w:txbxContent>
                  <w:p w14:paraId="7906F854"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D6193C">
      <w:rPr>
        <w:noProof/>
      </w:rPr>
      <w:drawing>
        <wp:anchor distT="0" distB="0" distL="114300" distR="114300" simplePos="0" relativeHeight="251603456" behindDoc="1" locked="0" layoutInCell="1" allowOverlap="1" wp14:anchorId="4EE9A10B" wp14:editId="73D3FEA1">
          <wp:simplePos x="0" y="0"/>
          <wp:positionH relativeFrom="page">
            <wp:posOffset>0</wp:posOffset>
          </wp:positionH>
          <wp:positionV relativeFrom="paragraph">
            <wp:posOffset>-446567</wp:posOffset>
          </wp:positionV>
          <wp:extent cx="7558765" cy="10691995"/>
          <wp:effectExtent l="0" t="0" r="4445" b="0"/>
          <wp:wrapNone/>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D08" w14:textId="145AE5C9" w:rsidR="0052005E" w:rsidRDefault="00986406">
    <w:pPr>
      <w:pStyle w:val="Header"/>
    </w:pPr>
    <w:r>
      <w:rPr>
        <w:noProof/>
      </w:rPr>
      <w:drawing>
        <wp:anchor distT="0" distB="0" distL="114300" distR="114300" simplePos="0" relativeHeight="251573760" behindDoc="1" locked="0" layoutInCell="1" allowOverlap="1" wp14:anchorId="01DA5ADF" wp14:editId="4FB65956">
          <wp:simplePos x="0" y="0"/>
          <wp:positionH relativeFrom="page">
            <wp:posOffset>6350</wp:posOffset>
          </wp:positionH>
          <wp:positionV relativeFrom="paragraph">
            <wp:posOffset>-472517</wp:posOffset>
          </wp:positionV>
          <wp:extent cx="7558765" cy="10691997"/>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15FF" w14:textId="408157E6" w:rsidR="00D6193C" w:rsidRDefault="0076647A">
    <w:pPr>
      <w:pStyle w:val="Header"/>
    </w:pPr>
    <w:r>
      <w:rPr>
        <w:noProof/>
      </w:rPr>
      <w:drawing>
        <wp:anchor distT="0" distB="0" distL="114300" distR="114300" simplePos="0" relativeHeight="251641344" behindDoc="1" locked="0" layoutInCell="1" allowOverlap="1" wp14:anchorId="42F735A1" wp14:editId="3D15DB16">
          <wp:simplePos x="0" y="0"/>
          <wp:positionH relativeFrom="page">
            <wp:posOffset>-30537</wp:posOffset>
          </wp:positionH>
          <wp:positionV relativeFrom="paragraph">
            <wp:posOffset>-518615</wp:posOffset>
          </wp:positionV>
          <wp:extent cx="7558405" cy="10691495"/>
          <wp:effectExtent l="0" t="0" r="0" b="0"/>
          <wp:wrapNone/>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1845" w14:textId="03D4813E" w:rsidR="00DA3DA7" w:rsidRDefault="00DA3DA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8814" w14:textId="14B181C6" w:rsidR="00DA3DA7" w:rsidRDefault="00663467">
    <w:pPr>
      <w:pStyle w:val="Header"/>
    </w:pPr>
    <w:r>
      <w:rPr>
        <w:noProof/>
      </w:rPr>
      <w:drawing>
        <wp:anchor distT="0" distB="0" distL="114300" distR="114300" simplePos="0" relativeHeight="251718144" behindDoc="1" locked="0" layoutInCell="1" allowOverlap="1" wp14:anchorId="5E27D034" wp14:editId="7211740A">
          <wp:simplePos x="0" y="0"/>
          <wp:positionH relativeFrom="page">
            <wp:posOffset>-2924</wp:posOffset>
          </wp:positionH>
          <wp:positionV relativeFrom="paragraph">
            <wp:posOffset>-446568</wp:posOffset>
          </wp:positionV>
          <wp:extent cx="7558765" cy="10691997"/>
          <wp:effectExtent l="0" t="0" r="4445" b="0"/>
          <wp:wrapNone/>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DBA6" w14:textId="78CC4612" w:rsidR="001350C5" w:rsidRDefault="008F7730">
    <w:pPr>
      <w:pStyle w:val="Header"/>
    </w:pPr>
    <w:r>
      <w:rPr>
        <w:noProof/>
      </w:rPr>
      <mc:AlternateContent>
        <mc:Choice Requires="wps">
          <w:drawing>
            <wp:anchor distT="0" distB="0" distL="114300" distR="114300" simplePos="0" relativeHeight="251643392" behindDoc="0" locked="0" layoutInCell="0" allowOverlap="1" wp14:anchorId="279AEC1A" wp14:editId="7D6058D0">
              <wp:simplePos x="0" y="0"/>
              <wp:positionH relativeFrom="page">
                <wp:posOffset>15766</wp:posOffset>
              </wp:positionH>
              <wp:positionV relativeFrom="page">
                <wp:posOffset>-15766</wp:posOffset>
              </wp:positionV>
              <wp:extent cx="7772400" cy="463550"/>
              <wp:effectExtent l="0" t="0" r="0" b="12700"/>
              <wp:wrapNone/>
              <wp:docPr id="222"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45424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9AEC1A" id="_x0000_t202" coordsize="21600,21600" o:spt="202" path="m,l,21600r21600,l21600,xe">
              <v:stroke joinstyle="miter"/>
              <v:path gradientshapeok="t" o:connecttype="rect"/>
            </v:shapetype>
            <v:shape id="_x0000_s1053" type="#_x0000_t202" alt="{&quot;HashCode&quot;:431350885,&quot;Height&quot;:9999999.0,&quot;Width&quot;:9999999.0,&quot;Placement&quot;:&quot;Header&quot;,&quot;Index&quot;:&quot;Primary&quot;,&quot;Section&quot;:8,&quot;Top&quot;:0.0,&quot;Left&quot;:0.0}" style="position:absolute;margin-left:1.25pt;margin-top:-1.25pt;width:612pt;height:36.5pt;z-index:2516433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" o:allowincell="f" filled="f" stroked="f" strokeweight=".5pt">
              <v:textbox inset=",0,,0">
                <w:txbxContent>
                  <w:p w14:paraId="7145424F"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1350C5">
      <w:rPr>
        <w:noProof/>
      </w:rPr>
      <w:drawing>
        <wp:anchor distT="0" distB="0" distL="114300" distR="114300" simplePos="0" relativeHeight="251642368" behindDoc="1" locked="0" layoutInCell="1" allowOverlap="1" wp14:anchorId="53233390" wp14:editId="1E97F5DD">
          <wp:simplePos x="0" y="0"/>
          <wp:positionH relativeFrom="page">
            <wp:posOffset>13335</wp:posOffset>
          </wp:positionH>
          <wp:positionV relativeFrom="paragraph">
            <wp:posOffset>-472745</wp:posOffset>
          </wp:positionV>
          <wp:extent cx="7558405" cy="10691495"/>
          <wp:effectExtent l="0" t="0" r="0" b="0"/>
          <wp:wrapNone/>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A107" w14:textId="02B92AF4" w:rsidR="00DA3DA7" w:rsidRDefault="00DA3DA7">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EC44" w14:textId="254E96E0" w:rsidR="000442BE" w:rsidRDefault="008F7730">
    <w:pPr>
      <w:pStyle w:val="Header"/>
    </w:pPr>
    <w:r>
      <w:rPr>
        <w:noProof/>
      </w:rPr>
      <mc:AlternateContent>
        <mc:Choice Requires="wps">
          <w:drawing>
            <wp:anchor distT="0" distB="0" distL="114300" distR="114300" simplePos="0" relativeHeight="251644416" behindDoc="0" locked="0" layoutInCell="0" allowOverlap="1" wp14:anchorId="151BE8EB" wp14:editId="6AC34341">
              <wp:simplePos x="0" y="0"/>
              <wp:positionH relativeFrom="page">
                <wp:posOffset>0</wp:posOffset>
              </wp:positionH>
              <wp:positionV relativeFrom="page">
                <wp:posOffset>-31531</wp:posOffset>
              </wp:positionV>
              <wp:extent cx="7772400" cy="463550"/>
              <wp:effectExtent l="0" t="0" r="0" b="12700"/>
              <wp:wrapNone/>
              <wp:docPr id="223"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85101"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1BE8EB" id="_x0000_t202" coordsize="21600,21600" o:spt="202" path="m,l,21600r21600,l21600,xe">
              <v:stroke joinstyle="miter"/>
              <v:path gradientshapeok="t" o:connecttype="rect"/>
            </v:shapetype>
            <v:shape id="_x0000_s1054" type="#_x0000_t202" alt="{&quot;HashCode&quot;:431350885,&quot;Height&quot;:9999999.0,&quot;Width&quot;:9999999.0,&quot;Placement&quot;:&quot;Header&quot;,&quot;Index&quot;:&quot;Primary&quot;,&quot;Section&quot;:8,&quot;Top&quot;:0.0,&quot;Left&quot;:0.0}" style="position:absolute;margin-left:0;margin-top:-2.5pt;width:612pt;height:36.5pt;z-index:251644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" o:allowincell="f" filled="f" stroked="f" strokeweight=".5pt">
              <v:textbox inset=",0,,0">
                <w:txbxContent>
                  <w:p w14:paraId="18B85101"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FC5FFD">
      <w:rPr>
        <w:noProof/>
      </w:rPr>
      <w:drawing>
        <wp:anchor distT="0" distB="0" distL="114300" distR="114300" simplePos="0" relativeHeight="251639296" behindDoc="1" locked="0" layoutInCell="1" allowOverlap="1" wp14:anchorId="3F9B8C91" wp14:editId="72E4F985">
          <wp:simplePos x="0" y="0"/>
          <wp:positionH relativeFrom="page">
            <wp:posOffset>-3241</wp:posOffset>
          </wp:positionH>
          <wp:positionV relativeFrom="paragraph">
            <wp:posOffset>-491319</wp:posOffset>
          </wp:positionV>
          <wp:extent cx="7558765" cy="10691997"/>
          <wp:effectExtent l="0" t="0" r="4445" b="0"/>
          <wp:wrapNone/>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16E2" w14:textId="52FECFF6" w:rsidR="00DA3DA7" w:rsidRDefault="00DB4004">
    <w:pPr>
      <w:pStyle w:val="Header"/>
    </w:pPr>
    <w:r>
      <w:rPr>
        <w:noProof/>
      </w:rPr>
      <w:drawing>
        <wp:anchor distT="0" distB="0" distL="114300" distR="114300" simplePos="0" relativeHeight="251713024" behindDoc="1" locked="0" layoutInCell="1" allowOverlap="1" wp14:anchorId="66BDACD7" wp14:editId="646560CC">
          <wp:simplePos x="0" y="0"/>
          <wp:positionH relativeFrom="page">
            <wp:posOffset>18341</wp:posOffset>
          </wp:positionH>
          <wp:positionV relativeFrom="paragraph">
            <wp:posOffset>-446567</wp:posOffset>
          </wp:positionV>
          <wp:extent cx="7558763" cy="10691993"/>
          <wp:effectExtent l="0" t="0" r="0" b="0"/>
          <wp:wrapNone/>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1605" w14:textId="4FA919C6" w:rsidR="00DA3DA7" w:rsidRDefault="00DA3D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1757" w14:textId="1A7EDEE8" w:rsidR="000442BE" w:rsidRDefault="009F258F">
    <w:pPr>
      <w:pStyle w:val="Header"/>
    </w:pPr>
    <w:r>
      <w:rPr>
        <w:noProof/>
      </w:rPr>
      <w:drawing>
        <wp:anchor distT="0" distB="0" distL="114300" distR="114300" simplePos="0" relativeHeight="251727360" behindDoc="1" locked="0" layoutInCell="1" allowOverlap="1" wp14:anchorId="72672643" wp14:editId="14D9082C">
          <wp:simplePos x="0" y="0"/>
          <wp:positionH relativeFrom="page">
            <wp:posOffset>-5080</wp:posOffset>
          </wp:positionH>
          <wp:positionV relativeFrom="paragraph">
            <wp:posOffset>10362565</wp:posOffset>
          </wp:positionV>
          <wp:extent cx="7558405" cy="10691495"/>
          <wp:effectExtent l="0" t="0" r="4445" b="0"/>
          <wp:wrapNone/>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422" name="Picture 1756629422"/>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2D1A4F03" wp14:editId="5B84CD1F">
          <wp:simplePos x="0" y="0"/>
          <wp:positionH relativeFrom="column">
            <wp:posOffset>-710151</wp:posOffset>
          </wp:positionH>
          <wp:positionV relativeFrom="paragraph">
            <wp:posOffset>-477078</wp:posOffset>
          </wp:positionV>
          <wp:extent cx="7595731" cy="10744200"/>
          <wp:effectExtent l="0" t="0" r="5715" b="0"/>
          <wp:wrapNone/>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6226" name="Picture 1756626226"/>
                  <pic:cNvPicPr/>
                </pic:nvPicPr>
                <pic:blipFill>
                  <a:blip r:embed="rId1">
                    <a:extLst>
                      <a:ext uri="{28A0092B-C50C-407E-A947-70E740481C1C}">
                        <a14:useLocalDpi xmlns:a14="http://schemas.microsoft.com/office/drawing/2010/main" val="0"/>
                      </a:ext>
                    </a:extLst>
                  </a:blip>
                  <a:stretch>
                    <a:fillRect/>
                  </a:stretch>
                </pic:blipFill>
                <pic:spPr>
                  <a:xfrm>
                    <a:off x="0" y="0"/>
                    <a:ext cx="7608846" cy="10762751"/>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31A5" w14:textId="103A2D58" w:rsidR="00855F7F" w:rsidRDefault="008F7730">
    <w:r>
      <w:rPr>
        <w:noProof/>
      </w:rPr>
      <mc:AlternateContent>
        <mc:Choice Requires="wps">
          <w:drawing>
            <wp:anchor distT="0" distB="0" distL="114300" distR="114300" simplePos="0" relativeHeight="251645440" behindDoc="0" locked="0" layoutInCell="0" allowOverlap="1" wp14:anchorId="752DBF0E" wp14:editId="770760B6">
              <wp:simplePos x="0" y="0"/>
              <wp:positionH relativeFrom="page">
                <wp:posOffset>0</wp:posOffset>
              </wp:positionH>
              <wp:positionV relativeFrom="page">
                <wp:posOffset>0</wp:posOffset>
              </wp:positionV>
              <wp:extent cx="7772400" cy="463550"/>
              <wp:effectExtent l="0" t="0" r="0" b="12700"/>
              <wp:wrapNone/>
              <wp:docPr id="175662656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4E86CC"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2DBF0E" id="_x0000_t202" coordsize="21600,21600" o:spt="202" path="m,l,21600r21600,l21600,xe">
              <v:stroke joinstyle="miter"/>
              <v:path gradientshapeok="t" o:connecttype="rect"/>
            </v:shapetype>
            <v:shape id="_x0000_s1055" type="#_x0000_t202" alt="{&quot;HashCode&quot;:431350885,&quot;Height&quot;:9999999.0,&quot;Width&quot;:9999999.0,&quot;Placement&quot;:&quot;Header&quot;,&quot;Index&quot;:&quot;Primary&quot;,&quot;Section&quot;:8,&quot;Top&quot;:0.0,&quot;Left&quot;:0.0}" style="position:absolute;margin-left:0;margin-top:0;width:612pt;height:36.5pt;z-index:2516454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7A4E86CC"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AE35D2">
      <w:rPr>
        <w:noProof/>
      </w:rPr>
      <w:drawing>
        <wp:anchor distT="0" distB="0" distL="114300" distR="114300" simplePos="0" relativeHeight="251629056" behindDoc="1" locked="0" layoutInCell="1" allowOverlap="1" wp14:anchorId="43DBC3BE" wp14:editId="7EDF6983">
          <wp:simplePos x="0" y="0"/>
          <wp:positionH relativeFrom="page">
            <wp:posOffset>1135</wp:posOffset>
          </wp:positionH>
          <wp:positionV relativeFrom="paragraph">
            <wp:posOffset>-453710</wp:posOffset>
          </wp:positionV>
          <wp:extent cx="7558765" cy="10691996"/>
          <wp:effectExtent l="0" t="0" r="4445" b="0"/>
          <wp:wrapNone/>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C0BC" w14:textId="78940B2F" w:rsidR="000442BE" w:rsidRDefault="00E7193F">
    <w:pPr>
      <w:pStyle w:val="Header"/>
    </w:pPr>
    <w:r>
      <w:rPr>
        <w:noProof/>
      </w:rPr>
      <mc:AlternateContent>
        <mc:Choice Requires="wps">
          <w:drawing>
            <wp:anchor distT="0" distB="0" distL="114300" distR="114300" simplePos="0" relativeHeight="251646464" behindDoc="0" locked="0" layoutInCell="0" allowOverlap="1" wp14:anchorId="545579E2" wp14:editId="32F2DF8B">
              <wp:simplePos x="0" y="0"/>
              <wp:positionH relativeFrom="page">
                <wp:align>center</wp:align>
              </wp:positionH>
              <wp:positionV relativeFrom="page">
                <wp:align>top</wp:align>
              </wp:positionV>
              <wp:extent cx="7772400" cy="463550"/>
              <wp:effectExtent l="0" t="0" r="0" b="12700"/>
              <wp:wrapNone/>
              <wp:docPr id="1756626582" name="MSIPCM5b7341f397424e164e56e6d2"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5748A" w14:textId="189CA9DF" w:rsidR="00E7193F" w:rsidRPr="009B0939" w:rsidRDefault="004060ED" w:rsidP="004060ED">
                          <w:pPr>
                            <w:spacing w:after="0"/>
                            <w:jc w:val="center"/>
                            <w:rPr>
                              <w:rFonts w:ascii="Calibri" w:hAnsi="Calibri" w:cs="Calibri"/>
                              <w:color w:val="auto"/>
                              <w:sz w:val="24"/>
                            </w:rPr>
                          </w:pPr>
                          <w:r w:rsidRPr="008B2D3B">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5579E2" id="_x0000_t202" coordsize="21600,21600" o:spt="202" path="m,l,21600r21600,l21600,xe">
              <v:stroke joinstyle="miter"/>
              <v:path gradientshapeok="t" o:connecttype="rect"/>
            </v:shapetype>
            <v:shape id="MSIPCM5b7341f397424e164e56e6d2" o:spid="_x0000_s1041" type="#_x0000_t202" alt="{&quot;HashCode&quot;:431350885,&quot;Height&quot;:9999999.0,&quot;Width&quot;:9999999.0,&quot;Placement&quot;:&quot;Header&quot;,&quot;Index&quot;:&quot;FirstPage&quot;,&quot;Section&quot;:2,&quot;Top&quot;:0.0,&quot;Left&quot;:0.0}" style="position:absolute;margin-left:0;margin-top:0;width:612pt;height:36.5pt;z-index:2516464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1F5748A" w14:textId="189CA9DF" w:rsidR="00E7193F" w:rsidRPr="009B0939" w:rsidRDefault="004060ED" w:rsidP="004060ED">
                    <w:pPr>
                      <w:spacing w:after="0"/>
                      <w:jc w:val="center"/>
                      <w:rPr>
                        <w:rFonts w:ascii="Calibri" w:hAnsi="Calibri" w:cs="Calibri"/>
                        <w:color w:val="auto"/>
                        <w:sz w:val="24"/>
                      </w:rPr>
                    </w:pPr>
                    <w:r w:rsidRPr="008B2D3B">
                      <w:rPr>
                        <w:rFonts w:ascii="Calibri" w:hAnsi="Calibri" w:cs="Calibri"/>
                        <w:color w:val="auto"/>
                        <w:sz w:val="24"/>
                      </w:rPr>
                      <w:t>OFFICIAL</w:t>
                    </w:r>
                  </w:p>
                </w:txbxContent>
              </v:textbox>
              <w10:wrap anchorx="page" anchory="page"/>
            </v:shape>
          </w:pict>
        </mc:Fallback>
      </mc:AlternateContent>
    </w:r>
    <w:r w:rsidR="006A0A5F">
      <w:rPr>
        <w:noProof/>
      </w:rPr>
      <w:drawing>
        <wp:anchor distT="0" distB="0" distL="114300" distR="114300" simplePos="0" relativeHeight="251565568" behindDoc="1" locked="0" layoutInCell="1" allowOverlap="1" wp14:anchorId="5CEB8FA8" wp14:editId="270B7F31">
          <wp:simplePos x="0" y="0"/>
          <wp:positionH relativeFrom="page">
            <wp:align>right</wp:align>
          </wp:positionH>
          <wp:positionV relativeFrom="paragraph">
            <wp:posOffset>-452456</wp:posOffset>
          </wp:positionV>
          <wp:extent cx="7558765" cy="10691996"/>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552256" behindDoc="1" locked="0" layoutInCell="1" allowOverlap="1" wp14:anchorId="7CD7861D" wp14:editId="7F1B305F">
          <wp:simplePos x="0" y="0"/>
          <wp:positionH relativeFrom="column">
            <wp:posOffset>6985635</wp:posOffset>
          </wp:positionH>
          <wp:positionV relativeFrom="paragraph">
            <wp:posOffset>-450215</wp:posOffset>
          </wp:positionV>
          <wp:extent cx="7558405" cy="1069149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213A3AFE" w14:textId="77777777" w:rsidR="000442BE" w:rsidRDefault="000442B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7D61" w14:textId="147D003D" w:rsidR="00DA3DA7" w:rsidRDefault="00DA3DA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AD5A" w14:textId="12622D75" w:rsidR="00DA3DA7" w:rsidRDefault="00DA3DA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F04F" w14:textId="5B768A90" w:rsidR="00C27723" w:rsidRDefault="009F258F">
    <w:pPr>
      <w:pStyle w:val="Header"/>
    </w:pPr>
    <w:r>
      <w:rPr>
        <w:noProof/>
      </w:rPr>
      <w:drawing>
        <wp:anchor distT="0" distB="0" distL="114300" distR="114300" simplePos="0" relativeHeight="251755008" behindDoc="1" locked="0" layoutInCell="1" allowOverlap="1" wp14:anchorId="479324DC" wp14:editId="1225DC9C">
          <wp:simplePos x="0" y="0"/>
          <wp:positionH relativeFrom="column">
            <wp:posOffset>-733530</wp:posOffset>
          </wp:positionH>
          <wp:positionV relativeFrom="paragraph">
            <wp:posOffset>-452175</wp:posOffset>
          </wp:positionV>
          <wp:extent cx="7595731" cy="10744200"/>
          <wp:effectExtent l="0" t="0" r="5715" b="0"/>
          <wp:wrapNone/>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6226" name="Picture 1756626226"/>
                  <pic:cNvPicPr/>
                </pic:nvPicPr>
                <pic:blipFill>
                  <a:blip r:embed="rId1">
                    <a:extLst>
                      <a:ext uri="{28A0092B-C50C-407E-A947-70E740481C1C}">
                        <a14:useLocalDpi xmlns:a14="http://schemas.microsoft.com/office/drawing/2010/main" val="0"/>
                      </a:ext>
                    </a:extLst>
                  </a:blip>
                  <a:stretch>
                    <a:fillRect/>
                  </a:stretch>
                </pic:blipFill>
                <pic:spPr>
                  <a:xfrm>
                    <a:off x="0" y="0"/>
                    <a:ext cx="7595731"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7657" w14:textId="22EA5240" w:rsidR="00DA3DA7" w:rsidRDefault="00DA3DA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8C2E" w14:textId="0A82AE3E" w:rsidR="00AE35D2" w:rsidRDefault="00AE35D2">
    <w:pPr>
      <w:pStyle w:val="Header"/>
    </w:pPr>
    <w:r>
      <w:rPr>
        <w:noProof/>
      </w:rPr>
      <w:drawing>
        <wp:anchor distT="0" distB="0" distL="114300" distR="114300" simplePos="0" relativeHeight="251630080" behindDoc="1" locked="0" layoutInCell="1" allowOverlap="1" wp14:anchorId="605848CD" wp14:editId="52632C6E">
          <wp:simplePos x="0" y="0"/>
          <wp:positionH relativeFrom="page">
            <wp:posOffset>-5846</wp:posOffset>
          </wp:positionH>
          <wp:positionV relativeFrom="paragraph">
            <wp:posOffset>-425789</wp:posOffset>
          </wp:positionV>
          <wp:extent cx="7558765" cy="10691997"/>
          <wp:effectExtent l="0" t="0" r="4445" b="0"/>
          <wp:wrapNone/>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A821" w14:textId="0853B079" w:rsidR="00DA3DA7" w:rsidRDefault="00DA3DA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3E5F" w14:textId="6DAEA4D4" w:rsidR="00DA3DA7" w:rsidRDefault="00DA3DA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0D19" w14:textId="2A2CB52A" w:rsidR="00DA3DA7" w:rsidRDefault="00DA3DA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8545" w14:textId="102ECFB2" w:rsidR="00AE35D2" w:rsidRDefault="00AE35D2">
    <w:r>
      <w:rPr>
        <w:noProof/>
      </w:rPr>
      <w:drawing>
        <wp:anchor distT="0" distB="0" distL="114300" distR="114300" simplePos="0" relativeHeight="251631104" behindDoc="1" locked="0" layoutInCell="1" allowOverlap="1" wp14:anchorId="4F07BC27" wp14:editId="29D994B4">
          <wp:simplePos x="0" y="0"/>
          <wp:positionH relativeFrom="page">
            <wp:posOffset>15095</wp:posOffset>
          </wp:positionH>
          <wp:positionV relativeFrom="paragraph">
            <wp:posOffset>-439749</wp:posOffset>
          </wp:positionV>
          <wp:extent cx="7558763" cy="10691993"/>
          <wp:effectExtent l="0" t="0" r="0" b="0"/>
          <wp:wrapNone/>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BC1B" w14:textId="0DA5BC12" w:rsidR="00DA3DA7" w:rsidRDefault="00DA3D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DC63" w14:textId="4A50E261" w:rsidR="000442BE" w:rsidRDefault="00FC5FFD">
    <w:r>
      <w:rPr>
        <w:noProof/>
      </w:rPr>
      <w:drawing>
        <wp:anchor distT="0" distB="0" distL="114300" distR="114300" simplePos="0" relativeHeight="251640320" behindDoc="1" locked="0" layoutInCell="1" allowOverlap="1" wp14:anchorId="2F149E2D" wp14:editId="6E6CCE57">
          <wp:simplePos x="0" y="0"/>
          <wp:positionH relativeFrom="page">
            <wp:posOffset>-16889</wp:posOffset>
          </wp:positionH>
          <wp:positionV relativeFrom="paragraph">
            <wp:posOffset>-464659</wp:posOffset>
          </wp:positionV>
          <wp:extent cx="7558765" cy="1069199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E4C9E">
      <w:rPr>
        <w:noProof/>
      </w:rPr>
      <mc:AlternateContent>
        <mc:Choice Requires="wps">
          <w:drawing>
            <wp:anchor distT="0" distB="0" distL="114300" distR="114300" simplePos="0" relativeHeight="251634176" behindDoc="0" locked="0" layoutInCell="0" allowOverlap="1" wp14:anchorId="0D43750F" wp14:editId="6FEE8827">
              <wp:simplePos x="0" y="0"/>
              <wp:positionH relativeFrom="page">
                <wp:posOffset>-13648</wp:posOffset>
              </wp:positionH>
              <wp:positionV relativeFrom="page">
                <wp:posOffset>-13648</wp:posOffset>
              </wp:positionV>
              <wp:extent cx="7772400" cy="463550"/>
              <wp:effectExtent l="0" t="0" r="0" b="12700"/>
              <wp:wrapNone/>
              <wp:docPr id="4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3A6EF" w14:textId="77777777" w:rsidR="008E4C9E" w:rsidRPr="008E4C9E" w:rsidRDefault="008E4C9E" w:rsidP="008E4C9E">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43750F" id="_x0000_t202" coordsize="21600,21600" o:spt="202" path="m,l,21600r21600,l21600,xe">
              <v:stroke joinstyle="miter"/>
              <v:path gradientshapeok="t" o:connecttype="rect"/>
            </v:shapetype>
            <v:shape id="MSIPCM994e4d5ca9dea02ca8b1b0c9" o:spid="_x0000_s1042" type="#_x0000_t202" alt="{&quot;HashCode&quot;:431350885,&quot;Height&quot;:9999999.0,&quot;Width&quot;:9999999.0,&quot;Placement&quot;:&quot;Header&quot;,&quot;Index&quot;:&quot;Primary&quot;,&quot;Section&quot;:8,&quot;Top&quot;:0.0,&quot;Left&quot;:0.0}" style="position:absolute;margin-left:-1.05pt;margin-top:-1.05pt;width:612pt;height:36.5pt;z-index:251634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" o:allowincell="f" filled="f" stroked="f" strokeweight=".5pt">
              <v:textbox inset=",0,,0">
                <w:txbxContent>
                  <w:p w14:paraId="3343A6EF" w14:textId="77777777" w:rsidR="008E4C9E" w:rsidRPr="008E4C9E" w:rsidRDefault="008E4C9E" w:rsidP="008E4C9E">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E27336">
      <w:rPr>
        <w:noProof/>
      </w:rPr>
      <w:drawing>
        <wp:anchor distT="0" distB="0" distL="114300" distR="114300" simplePos="0" relativeHeight="251572736" behindDoc="1" locked="0" layoutInCell="1" allowOverlap="1" wp14:anchorId="19B035DE" wp14:editId="22D41236">
          <wp:simplePos x="0" y="0"/>
          <wp:positionH relativeFrom="page">
            <wp:posOffset>-38100</wp:posOffset>
          </wp:positionH>
          <wp:positionV relativeFrom="paragraph">
            <wp:posOffset>10351135</wp:posOffset>
          </wp:positionV>
          <wp:extent cx="7558405" cy="10691495"/>
          <wp:effectExtent l="0" t="0" r="4445"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D47D" w14:textId="07F0FE33" w:rsidR="00AD5687" w:rsidRDefault="00AD5687">
    <w:pPr>
      <w:pStyle w:val="Header"/>
    </w:pPr>
    <w:r>
      <w:rPr>
        <w:noProof/>
      </w:rPr>
      <w:drawing>
        <wp:anchor distT="0" distB="0" distL="114300" distR="114300" simplePos="0" relativeHeight="251576832" behindDoc="1" locked="0" layoutInCell="1" allowOverlap="1" wp14:anchorId="23A6D48F" wp14:editId="52352473">
          <wp:simplePos x="0" y="0"/>
          <wp:positionH relativeFrom="page">
            <wp:align>right</wp:align>
          </wp:positionH>
          <wp:positionV relativeFrom="paragraph">
            <wp:posOffset>-450215</wp:posOffset>
          </wp:positionV>
          <wp:extent cx="7558765" cy="10691997"/>
          <wp:effectExtent l="0" t="0" r="4445" b="0"/>
          <wp:wrapNone/>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DEF5" w14:textId="4354959C" w:rsidR="00AD5687" w:rsidRDefault="008F7730">
    <w:pPr>
      <w:pStyle w:val="Header"/>
    </w:pPr>
    <w:r>
      <w:rPr>
        <w:noProof/>
      </w:rPr>
      <mc:AlternateContent>
        <mc:Choice Requires="wps">
          <w:drawing>
            <wp:anchor distT="0" distB="0" distL="114300" distR="114300" simplePos="0" relativeHeight="251648512" behindDoc="0" locked="0" layoutInCell="0" allowOverlap="1" wp14:anchorId="4DC4E3FB" wp14:editId="156AEDE0">
              <wp:simplePos x="0" y="0"/>
              <wp:positionH relativeFrom="page">
                <wp:posOffset>0</wp:posOffset>
              </wp:positionH>
              <wp:positionV relativeFrom="page">
                <wp:posOffset>0</wp:posOffset>
              </wp:positionV>
              <wp:extent cx="7772400" cy="463550"/>
              <wp:effectExtent l="0" t="0" r="0" b="12700"/>
              <wp:wrapNone/>
              <wp:docPr id="1756626564"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00FE2A"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C4E3FB" id="_x0000_t202" coordsize="21600,21600" o:spt="202" path="m,l,21600r21600,l21600,xe">
              <v:stroke joinstyle="miter"/>
              <v:path gradientshapeok="t" o:connecttype="rect"/>
            </v:shapetype>
            <v:shape id="_x0000_s1056" type="#_x0000_t202" alt="{&quot;HashCode&quot;:431350885,&quot;Height&quot;:9999999.0,&quot;Width&quot;:9999999.0,&quot;Placement&quot;:&quot;Header&quot;,&quot;Index&quot;:&quot;Primary&quot;,&quot;Section&quot;:8,&quot;Top&quot;:0.0,&quot;Left&quot;:0.0}" style="position:absolute;margin-left:0;margin-top:0;width:612pt;height:36.5pt;z-index:2516485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7D00FE2A" w14:textId="77777777" w:rsidR="008F7730" w:rsidRPr="008E4C9E" w:rsidRDefault="008F7730" w:rsidP="008F7730">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r w:rsidR="00AD5687">
      <w:rPr>
        <w:noProof/>
      </w:rPr>
      <w:drawing>
        <wp:anchor distT="0" distB="0" distL="114300" distR="114300" simplePos="0" relativeHeight="251577856" behindDoc="1" locked="0" layoutInCell="1" allowOverlap="1" wp14:anchorId="5BC439F3" wp14:editId="11F007E1">
          <wp:simplePos x="0" y="0"/>
          <wp:positionH relativeFrom="page">
            <wp:posOffset>-673</wp:posOffset>
          </wp:positionH>
          <wp:positionV relativeFrom="paragraph">
            <wp:posOffset>-462578</wp:posOffset>
          </wp:positionV>
          <wp:extent cx="7558764" cy="10691995"/>
          <wp:effectExtent l="0" t="0" r="4445" b="0"/>
          <wp:wrapNone/>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F63B" w14:textId="6EE2A56B" w:rsidR="00DA3DA7" w:rsidRDefault="00DA3DA7">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FD12" w14:textId="54DC04E7" w:rsidR="00DF252A" w:rsidRDefault="00DF252A">
    <w:pPr>
      <w:pStyle w:val="Header"/>
    </w:pPr>
    <w:r>
      <w:rPr>
        <w:noProof/>
      </w:rPr>
      <w:drawing>
        <wp:anchor distT="0" distB="0" distL="114300" distR="114300" simplePos="0" relativeHeight="251675136" behindDoc="1" locked="0" layoutInCell="1" allowOverlap="1" wp14:anchorId="39F504C1" wp14:editId="07C44499">
          <wp:simplePos x="0" y="0"/>
          <wp:positionH relativeFrom="page">
            <wp:align>right</wp:align>
          </wp:positionH>
          <wp:positionV relativeFrom="paragraph">
            <wp:posOffset>-450215</wp:posOffset>
          </wp:positionV>
          <wp:extent cx="7558765" cy="10691997"/>
          <wp:effectExtent l="0" t="0" r="4445" b="0"/>
          <wp:wrapNone/>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A5E3" w14:textId="17B502EA" w:rsidR="00DF252A" w:rsidRDefault="00BB5386">
    <w:pPr>
      <w:pStyle w:val="Header"/>
    </w:pPr>
    <w:r>
      <w:rPr>
        <w:noProof/>
      </w:rPr>
      <w:drawing>
        <wp:anchor distT="0" distB="0" distL="114300" distR="114300" simplePos="0" relativeHeight="251692544" behindDoc="1" locked="0" layoutInCell="1" allowOverlap="1" wp14:anchorId="1C0EAA34" wp14:editId="2E6EC2FE">
          <wp:simplePos x="0" y="0"/>
          <wp:positionH relativeFrom="page">
            <wp:posOffset>-2924</wp:posOffset>
          </wp:positionH>
          <wp:positionV relativeFrom="paragraph">
            <wp:posOffset>-457200</wp:posOffset>
          </wp:positionV>
          <wp:extent cx="7558763" cy="10691993"/>
          <wp:effectExtent l="0" t="0" r="0" b="0"/>
          <wp:wrapNone/>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r w:rsidR="008B2D3B">
      <w:rPr>
        <w:noProof/>
      </w:rPr>
      <mc:AlternateContent>
        <mc:Choice Requires="wps">
          <w:drawing>
            <wp:anchor distT="0" distB="0" distL="114300" distR="114300" simplePos="0" relativeHeight="251685376" behindDoc="0" locked="0" layoutInCell="0" allowOverlap="1" wp14:anchorId="06BC62B0" wp14:editId="5999698A">
              <wp:simplePos x="0" y="0"/>
              <wp:positionH relativeFrom="page">
                <wp:posOffset>0</wp:posOffset>
              </wp:positionH>
              <wp:positionV relativeFrom="page">
                <wp:posOffset>0</wp:posOffset>
              </wp:positionV>
              <wp:extent cx="7772400" cy="463550"/>
              <wp:effectExtent l="0" t="0" r="0" b="12700"/>
              <wp:wrapNone/>
              <wp:docPr id="54"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3DB60"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BC62B0" id="_x0000_t202" coordsize="21600,21600" o:spt="202" path="m,l,21600r21600,l21600,xe">
              <v:stroke joinstyle="miter"/>
              <v:path gradientshapeok="t" o:connecttype="rect"/>
            </v:shapetype>
            <v:shape id="_x0000_s1057" type="#_x0000_t202" alt="{&quot;HashCode&quot;:431350885,&quot;Height&quot;:9999999.0,&quot;Width&quot;:9999999.0,&quot;Placement&quot;:&quot;Header&quot;,&quot;Index&quot;:&quot;Primary&quot;,&quot;Section&quot;:8,&quot;Top&quot;:0.0,&quot;Left&quot;:0.0}" style="position:absolute;margin-left:0;margin-top:0;width:612pt;height:36.5pt;z-index:2516853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4773DB60"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BCC2" w14:textId="1EFC6C86" w:rsidR="00DA3DA7" w:rsidRDefault="00DA3DA7">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28C6" w14:textId="4FABB269" w:rsidR="0054785D" w:rsidRDefault="00BB5386">
    <w:pPr>
      <w:pStyle w:val="Header"/>
    </w:pPr>
    <w:r>
      <w:rPr>
        <w:noProof/>
      </w:rPr>
      <w:drawing>
        <wp:anchor distT="0" distB="0" distL="114300" distR="114300" simplePos="0" relativeHeight="251693568" behindDoc="1" locked="0" layoutInCell="1" allowOverlap="1" wp14:anchorId="39358A64" wp14:editId="22BDB428">
          <wp:simplePos x="0" y="0"/>
          <wp:positionH relativeFrom="page">
            <wp:posOffset>-2924</wp:posOffset>
          </wp:positionH>
          <wp:positionV relativeFrom="paragraph">
            <wp:posOffset>-457200</wp:posOffset>
          </wp:positionV>
          <wp:extent cx="7558765" cy="10691997"/>
          <wp:effectExtent l="0" t="0" r="4445" b="0"/>
          <wp:wrapNone/>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8B2D3B">
      <w:rPr>
        <w:noProof/>
      </w:rPr>
      <mc:AlternateContent>
        <mc:Choice Requires="wps">
          <w:drawing>
            <wp:anchor distT="0" distB="0" distL="114300" distR="114300" simplePos="0" relativeHeight="251686400" behindDoc="0" locked="0" layoutInCell="0" allowOverlap="1" wp14:anchorId="746FA8FD" wp14:editId="013229CF">
              <wp:simplePos x="0" y="0"/>
              <wp:positionH relativeFrom="page">
                <wp:posOffset>0</wp:posOffset>
              </wp:positionH>
              <wp:positionV relativeFrom="page">
                <wp:posOffset>0</wp:posOffset>
              </wp:positionV>
              <wp:extent cx="7772400" cy="463550"/>
              <wp:effectExtent l="0" t="0" r="0" b="12700"/>
              <wp:wrapNone/>
              <wp:docPr id="55"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750EE0"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6FA8FD" id="_x0000_t202" coordsize="21600,21600" o:spt="202" path="m,l,21600r21600,l21600,xe">
              <v:stroke joinstyle="miter"/>
              <v:path gradientshapeok="t" o:connecttype="rect"/>
            </v:shapetype>
            <v:shape id="_x0000_s1058" type="#_x0000_t202" alt="{&quot;HashCode&quot;:431350885,&quot;Height&quot;:9999999.0,&quot;Width&quot;:9999999.0,&quot;Placement&quot;:&quot;Header&quot;,&quot;Index&quot;:&quot;Primary&quot;,&quot;Section&quot;:8,&quot;Top&quot;:0.0,&quot;Left&quot;:0.0}" style="position:absolute;margin-left:0;margin-top:0;width:612pt;height:36.5pt;z-index:2516864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20750EE0" w14:textId="77777777" w:rsidR="008B2D3B" w:rsidRPr="008E4C9E" w:rsidRDefault="008B2D3B" w:rsidP="008B2D3B">
                    <w:pPr>
                      <w:spacing w:after="0"/>
                      <w:jc w:val="center"/>
                      <w:rPr>
                        <w:rFonts w:ascii="Calibri" w:hAnsi="Calibri" w:cs="Calibri"/>
                        <w:color w:val="auto"/>
                        <w:sz w:val="24"/>
                      </w:rPr>
                    </w:pPr>
                    <w:r w:rsidRPr="008E4C9E">
                      <w:rPr>
                        <w:rFonts w:ascii="Calibri" w:hAnsi="Calibri" w:cs="Calibri"/>
                        <w:color w:val="auto"/>
                        <w:sz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90D1" w14:textId="08E8350C" w:rsidR="00DA3DA7" w:rsidRDefault="00DB4004">
    <w:pPr>
      <w:pStyle w:val="Header"/>
    </w:pPr>
    <w:r>
      <w:rPr>
        <w:noProof/>
      </w:rPr>
      <w:drawing>
        <wp:anchor distT="0" distB="0" distL="114300" distR="114300" simplePos="0" relativeHeight="251714048" behindDoc="1" locked="0" layoutInCell="1" allowOverlap="1" wp14:anchorId="77DBBC8C" wp14:editId="2F2068AD">
          <wp:simplePos x="0" y="0"/>
          <wp:positionH relativeFrom="page">
            <wp:posOffset>-47212</wp:posOffset>
          </wp:positionH>
          <wp:positionV relativeFrom="paragraph">
            <wp:posOffset>-446567</wp:posOffset>
          </wp:positionV>
          <wp:extent cx="7558763" cy="10691993"/>
          <wp:effectExtent l="0" t="0" r="0" b="0"/>
          <wp:wrapNone/>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4D26" w14:textId="163D7B31" w:rsidR="00DA3DA7" w:rsidRDefault="00DA3DA7">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CAFC" w14:textId="104771B3" w:rsidR="00B9178A" w:rsidRDefault="00BB5386">
    <w:pPr>
      <w:pStyle w:val="Header"/>
    </w:pPr>
    <w:r>
      <w:rPr>
        <w:noProof/>
      </w:rPr>
      <w:drawing>
        <wp:anchor distT="0" distB="0" distL="114300" distR="114300" simplePos="0" relativeHeight="251694592" behindDoc="1" locked="0" layoutInCell="1" allowOverlap="1" wp14:anchorId="57E9520D" wp14:editId="026D9EB1">
          <wp:simplePos x="0" y="0"/>
          <wp:positionH relativeFrom="page">
            <wp:posOffset>-2924</wp:posOffset>
          </wp:positionH>
          <wp:positionV relativeFrom="paragraph">
            <wp:posOffset>-489098</wp:posOffset>
          </wp:positionV>
          <wp:extent cx="7558765" cy="10691997"/>
          <wp:effectExtent l="0" t="0" r="4445" b="0"/>
          <wp:wrapNone/>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BA8C" w14:textId="1C098D6A" w:rsidR="006A0A5F" w:rsidRDefault="00A60414">
    <w:pPr>
      <w:pStyle w:val="Header"/>
    </w:pPr>
    <w:r>
      <w:rPr>
        <w:noProof/>
      </w:rPr>
      <mc:AlternateContent>
        <mc:Choice Requires="wps">
          <w:drawing>
            <wp:anchor distT="0" distB="0" distL="114300" distR="114300" simplePos="0" relativeHeight="251638272" behindDoc="0" locked="0" layoutInCell="0" allowOverlap="1" wp14:anchorId="42FB36B8" wp14:editId="714E6DA6">
              <wp:simplePos x="0" y="190500"/>
              <wp:positionH relativeFrom="page">
                <wp:align>center</wp:align>
              </wp:positionH>
              <wp:positionV relativeFrom="page">
                <wp:align>top</wp:align>
              </wp:positionV>
              <wp:extent cx="7772400" cy="463550"/>
              <wp:effectExtent l="0" t="0" r="0" b="12700"/>
              <wp:wrapNone/>
              <wp:docPr id="933" name="MSIPCMd3c04742878fd0b5218a2936" descr="{&quot;HashCode&quot;:431350885,&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6C637" w14:textId="21A35D40"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FB36B8" id="_x0000_t202" coordsize="21600,21600" o:spt="202" path="m,l,21600r21600,l21600,xe">
              <v:stroke joinstyle="miter"/>
              <v:path gradientshapeok="t" o:connecttype="rect"/>
            </v:shapetype>
            <v:shape id="MSIPCMd3c04742878fd0b5218a2936" o:spid="_x0000_s1043" type="#_x0000_t202" alt="{&quot;HashCode&quot;:431350885,&quot;Height&quot;:9999999.0,&quot;Width&quot;:9999999.0,&quot;Placement&quot;:&quot;Header&quot;,&quot;Index&quot;:&quot;Primary&quot;,&quot;Section&quot;:3,&quot;Top&quot;:0.0,&quot;Left&quot;:0.0}" style="position:absolute;margin-left:0;margin-top:0;width:612pt;height:36.5pt;z-index:2516382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01F6C637" w14:textId="21A35D40"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v:textbox>
              <w10:wrap anchorx="page" anchory="page"/>
            </v:shape>
          </w:pict>
        </mc:Fallback>
      </mc:AlternateContent>
    </w:r>
    <w:r w:rsidR="006A0A5F">
      <w:rPr>
        <w:noProof/>
      </w:rPr>
      <w:drawing>
        <wp:anchor distT="0" distB="0" distL="114300" distR="114300" simplePos="0" relativeHeight="251564544" behindDoc="1" locked="0" layoutInCell="1" allowOverlap="1" wp14:anchorId="3566D8D0" wp14:editId="329A0BB8">
          <wp:simplePos x="0" y="0"/>
          <wp:positionH relativeFrom="page">
            <wp:align>right</wp:align>
          </wp:positionH>
          <wp:positionV relativeFrom="paragraph">
            <wp:posOffset>-457835</wp:posOffset>
          </wp:positionV>
          <wp:extent cx="7558765" cy="10691997"/>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10F0" w14:textId="1FE19DEC" w:rsidR="00DA3DA7" w:rsidRDefault="00DB4004">
    <w:pPr>
      <w:pStyle w:val="Header"/>
    </w:pPr>
    <w:r>
      <w:rPr>
        <w:noProof/>
      </w:rPr>
      <w:drawing>
        <wp:anchor distT="0" distB="0" distL="114300" distR="114300" simplePos="0" relativeHeight="251715072" behindDoc="1" locked="0" layoutInCell="1" allowOverlap="1" wp14:anchorId="5650E6C2" wp14:editId="280C49A4">
          <wp:simplePos x="0" y="0"/>
          <wp:positionH relativeFrom="page">
            <wp:posOffset>-13557</wp:posOffset>
          </wp:positionH>
          <wp:positionV relativeFrom="paragraph">
            <wp:posOffset>-446567</wp:posOffset>
          </wp:positionV>
          <wp:extent cx="7558763" cy="10691993"/>
          <wp:effectExtent l="0" t="0" r="0" b="0"/>
          <wp:wrapNone/>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6193" w14:textId="4F47CB1A" w:rsidR="00DA3DA7" w:rsidRDefault="00DA3DA7">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C418" w14:textId="41AC62BC" w:rsidR="00BB5386" w:rsidRDefault="000307D2">
    <w:pPr>
      <w:pStyle w:val="Header"/>
    </w:pPr>
    <w:r>
      <w:rPr>
        <w:noProof/>
      </w:rPr>
      <w:drawing>
        <wp:anchor distT="0" distB="0" distL="114300" distR="114300" simplePos="0" relativeHeight="251695616" behindDoc="1" locked="0" layoutInCell="1" allowOverlap="1" wp14:anchorId="7705B850" wp14:editId="6843D982">
          <wp:simplePos x="0" y="0"/>
          <wp:positionH relativeFrom="page">
            <wp:posOffset>-2540</wp:posOffset>
          </wp:positionH>
          <wp:positionV relativeFrom="paragraph">
            <wp:posOffset>-469062</wp:posOffset>
          </wp:positionV>
          <wp:extent cx="7558405" cy="10691495"/>
          <wp:effectExtent l="0" t="0" r="4445" b="0"/>
          <wp:wrapNone/>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CCE8" w14:textId="1A94714F" w:rsidR="00C27723" w:rsidRDefault="00BD0C90">
    <w:pPr>
      <w:pStyle w:val="Header"/>
    </w:pPr>
    <w:r>
      <w:rPr>
        <w:noProof/>
      </w:rPr>
      <w:drawing>
        <wp:anchor distT="0" distB="0" distL="114300" distR="114300" simplePos="0" relativeHeight="251756032" behindDoc="1" locked="0" layoutInCell="1" allowOverlap="1" wp14:anchorId="4AD76260" wp14:editId="0E137FFB">
          <wp:simplePos x="0" y="0"/>
          <wp:positionH relativeFrom="page">
            <wp:posOffset>243</wp:posOffset>
          </wp:positionH>
          <wp:positionV relativeFrom="paragraph">
            <wp:posOffset>-447472</wp:posOffset>
          </wp:positionV>
          <wp:extent cx="7558763" cy="10691993"/>
          <wp:effectExtent l="0" t="0" r="0" b="0"/>
          <wp:wrapNone/>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C136" w14:textId="2D741B8F" w:rsidR="00DA3DA7" w:rsidRDefault="00DA3DA7">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33BB" w14:textId="5BB8936D" w:rsidR="00DA3DA7" w:rsidRDefault="00DA3DA7">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043C" w14:textId="52FC9550" w:rsidR="00BB5386" w:rsidRDefault="00DB4004">
    <w:pPr>
      <w:pStyle w:val="Header"/>
    </w:pPr>
    <w:r>
      <w:rPr>
        <w:noProof/>
      </w:rPr>
      <w:drawing>
        <wp:anchor distT="0" distB="0" distL="114300" distR="114300" simplePos="0" relativeHeight="251716096" behindDoc="1" locked="0" layoutInCell="1" allowOverlap="1" wp14:anchorId="7B887CED" wp14:editId="476666A6">
          <wp:simplePos x="0" y="0"/>
          <wp:positionH relativeFrom="page">
            <wp:posOffset>-2924</wp:posOffset>
          </wp:positionH>
          <wp:positionV relativeFrom="paragraph">
            <wp:posOffset>-457200</wp:posOffset>
          </wp:positionV>
          <wp:extent cx="7558763" cy="10691993"/>
          <wp:effectExtent l="0" t="0" r="0" b="0"/>
          <wp:wrapNone/>
          <wp:docPr id="1756629452" name="Picture 175662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629E" w14:textId="4BCB924E" w:rsidR="00DA3DA7" w:rsidRDefault="00DA3DA7">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BDB8" w14:textId="70A72673" w:rsidR="0054785D" w:rsidRDefault="0054785D">
    <w:pPr>
      <w:pStyle w:val="Header"/>
    </w:pPr>
    <w:r>
      <w:rPr>
        <w:noProof/>
      </w:rPr>
      <w:drawing>
        <wp:anchor distT="0" distB="0" distL="114300" distR="114300" simplePos="0" relativeHeight="251598336" behindDoc="1" locked="0" layoutInCell="1" allowOverlap="1" wp14:anchorId="07E7DD67" wp14:editId="65255AA9">
          <wp:simplePos x="0" y="0"/>
          <wp:positionH relativeFrom="page">
            <wp:align>right</wp:align>
          </wp:positionH>
          <wp:positionV relativeFrom="paragraph">
            <wp:posOffset>-457200</wp:posOffset>
          </wp:positionV>
          <wp:extent cx="7558763" cy="10691993"/>
          <wp:effectExtent l="0" t="0" r="0" b="0"/>
          <wp:wrapNone/>
          <wp:docPr id="1756629454" name="Picture 175662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D816" w14:textId="577AF8BF" w:rsidR="00DA3DA7" w:rsidRDefault="00DA3D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F8F9" w14:textId="7E2E1E64" w:rsidR="00DA3DA7" w:rsidRPr="00D92454" w:rsidRDefault="00DA3DA7" w:rsidP="00D9245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0EA" w14:textId="3EF8FA4D" w:rsidR="00DA3DA7" w:rsidRDefault="00DA3DA7">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F038" w14:textId="21D26EF8" w:rsidR="000442BE" w:rsidRDefault="000442BE">
    <w:pPr>
      <w:pStyle w:val="Header"/>
    </w:pPr>
    <w:r>
      <w:rPr>
        <w:noProof/>
      </w:rPr>
      <w:drawing>
        <wp:anchor distT="0" distB="0" distL="114300" distR="114300" simplePos="0" relativeHeight="251556352" behindDoc="1" locked="0" layoutInCell="1" allowOverlap="1" wp14:anchorId="088F96CC" wp14:editId="78A48372">
          <wp:simplePos x="0" y="0"/>
          <wp:positionH relativeFrom="page">
            <wp:align>right</wp:align>
          </wp:positionH>
          <wp:positionV relativeFrom="paragraph">
            <wp:posOffset>-450215</wp:posOffset>
          </wp:positionV>
          <wp:extent cx="7558768" cy="10692000"/>
          <wp:effectExtent l="0" t="0" r="4445" b="0"/>
          <wp:wrapNone/>
          <wp:docPr id="1756629456" name="Picture 17566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C3E6" w14:textId="20F7E0C2" w:rsidR="000442BE" w:rsidRDefault="00210654">
    <w:pPr>
      <w:pStyle w:val="Header"/>
    </w:pPr>
    <w:r>
      <w:rPr>
        <w:noProof/>
      </w:rPr>
      <w:drawing>
        <wp:anchor distT="0" distB="0" distL="114300" distR="114300" simplePos="0" relativeHeight="251566592" behindDoc="1" locked="0" layoutInCell="1" allowOverlap="1" wp14:anchorId="65F5D84C" wp14:editId="321C5441">
          <wp:simplePos x="0" y="0"/>
          <wp:positionH relativeFrom="page">
            <wp:align>right</wp:align>
          </wp:positionH>
          <wp:positionV relativeFrom="paragraph">
            <wp:posOffset>-462579</wp:posOffset>
          </wp:positionV>
          <wp:extent cx="7558762" cy="10691992"/>
          <wp:effectExtent l="0" t="0" r="4445" b="0"/>
          <wp:wrapNone/>
          <wp:docPr id="1756629460" name="Picture 175662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8318" w14:textId="23A591AD" w:rsidR="00DA3DA7" w:rsidRDefault="00DA3DA7">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2C6C" w14:textId="33F34144" w:rsidR="000A32C4" w:rsidRDefault="000A32C4" w:rsidP="00884CA1">
    <w:pPr>
      <w:pStyle w:val="Header"/>
    </w:pPr>
    <w:r>
      <w:rPr>
        <w:noProof/>
      </w:rPr>
      <w:drawing>
        <wp:anchor distT="0" distB="0" distL="114300" distR="114300" simplePos="0" relativeHeight="251594240" behindDoc="1" locked="0" layoutInCell="1" allowOverlap="1" wp14:anchorId="6DB93378" wp14:editId="74F886FD">
          <wp:simplePos x="0" y="0"/>
          <wp:positionH relativeFrom="page">
            <wp:align>right</wp:align>
          </wp:positionH>
          <wp:positionV relativeFrom="paragraph">
            <wp:posOffset>-457200</wp:posOffset>
          </wp:positionV>
          <wp:extent cx="7558763" cy="10691993"/>
          <wp:effectExtent l="0" t="0" r="0" b="0"/>
          <wp:wrapNone/>
          <wp:docPr id="1756629462" name="Picture 175662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07A4" w14:textId="161B9124" w:rsidR="000A32C4" w:rsidRDefault="00AE35D2">
    <w:pPr>
      <w:pStyle w:val="Header"/>
    </w:pPr>
    <w:r>
      <w:rPr>
        <w:noProof/>
      </w:rPr>
      <w:drawing>
        <wp:anchor distT="0" distB="0" distL="114300" distR="114300" simplePos="0" relativeHeight="251632128" behindDoc="1" locked="0" layoutInCell="1" allowOverlap="1" wp14:anchorId="06E3C090" wp14:editId="7C6C5143">
          <wp:simplePos x="0" y="0"/>
          <wp:positionH relativeFrom="page">
            <wp:posOffset>15094</wp:posOffset>
          </wp:positionH>
          <wp:positionV relativeFrom="paragraph">
            <wp:posOffset>-432769</wp:posOffset>
          </wp:positionV>
          <wp:extent cx="7558764" cy="10691995"/>
          <wp:effectExtent l="0" t="0" r="4445" b="0"/>
          <wp:wrapNone/>
          <wp:docPr id="1756629463" name="Picture 175662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A85F" w14:textId="607642F3" w:rsidR="00DA3DA7" w:rsidRDefault="00DA3DA7">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80B7" w14:textId="46935826" w:rsidR="000A32C4" w:rsidRDefault="000A32C4" w:rsidP="00884CA1">
    <w:pPr>
      <w:pStyle w:val="Header"/>
    </w:pPr>
    <w:r>
      <w:rPr>
        <w:noProof/>
      </w:rPr>
      <w:drawing>
        <wp:anchor distT="0" distB="0" distL="114300" distR="114300" simplePos="0" relativeHeight="251597312" behindDoc="1" locked="0" layoutInCell="1" allowOverlap="1" wp14:anchorId="7D5F969C" wp14:editId="1DA97449">
          <wp:simplePos x="0" y="0"/>
          <wp:positionH relativeFrom="page">
            <wp:align>right</wp:align>
          </wp:positionH>
          <wp:positionV relativeFrom="paragraph">
            <wp:posOffset>-457200</wp:posOffset>
          </wp:positionV>
          <wp:extent cx="7558763" cy="10691993"/>
          <wp:effectExtent l="0" t="0" r="0" b="0"/>
          <wp:wrapNone/>
          <wp:docPr id="1756629464" name="Picture 175662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85E0" w14:textId="210B6CB1" w:rsidR="00DA3DA7" w:rsidRDefault="00663467">
    <w:pPr>
      <w:pStyle w:val="Header"/>
    </w:pPr>
    <w:r>
      <w:rPr>
        <w:noProof/>
      </w:rPr>
      <w:drawing>
        <wp:anchor distT="0" distB="0" distL="114300" distR="114300" simplePos="0" relativeHeight="251720192" behindDoc="1" locked="0" layoutInCell="1" allowOverlap="1" wp14:anchorId="2DE44903" wp14:editId="21FFBF3B">
          <wp:simplePos x="0" y="0"/>
          <wp:positionH relativeFrom="page">
            <wp:posOffset>-24189</wp:posOffset>
          </wp:positionH>
          <wp:positionV relativeFrom="paragraph">
            <wp:posOffset>-435934</wp:posOffset>
          </wp:positionV>
          <wp:extent cx="7558765" cy="10691997"/>
          <wp:effectExtent l="0" t="0" r="4445" b="0"/>
          <wp:wrapNone/>
          <wp:docPr id="1756629465" name="Picture 175662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6D4E" w14:textId="3A9BD7D6" w:rsidR="00DA3DA7" w:rsidRDefault="00DA3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843D8C"/>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AC6C3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56D4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A26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CCDC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C3A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8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2C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697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B06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A"/>
    <w:multiLevelType w:val="multilevel"/>
    <w:tmpl w:val="0000088D"/>
    <w:lvl w:ilvl="0">
      <w:start w:val="1"/>
      <w:numFmt w:val="lowerLetter"/>
      <w:lvlText w:val="%1)"/>
      <w:lvlJc w:val="left"/>
      <w:pPr>
        <w:ind w:left="442" w:hanging="284"/>
      </w:pPr>
      <w:rPr>
        <w:rFonts w:ascii="Arial" w:hAnsi="Arial" w:cs="Arial"/>
        <w:b w:val="0"/>
        <w:bCs w:val="0"/>
        <w:i w:val="0"/>
        <w:iCs w:val="0"/>
        <w:spacing w:val="-1"/>
        <w:w w:val="100"/>
        <w:sz w:val="22"/>
        <w:szCs w:val="22"/>
      </w:rPr>
    </w:lvl>
    <w:lvl w:ilvl="1">
      <w:numFmt w:val="bullet"/>
      <w:lvlText w:val="•"/>
      <w:lvlJc w:val="left"/>
      <w:pPr>
        <w:ind w:left="1386" w:hanging="284"/>
      </w:pPr>
    </w:lvl>
    <w:lvl w:ilvl="2">
      <w:numFmt w:val="bullet"/>
      <w:lvlText w:val="•"/>
      <w:lvlJc w:val="left"/>
      <w:pPr>
        <w:ind w:left="2333" w:hanging="284"/>
      </w:pPr>
    </w:lvl>
    <w:lvl w:ilvl="3">
      <w:numFmt w:val="bullet"/>
      <w:lvlText w:val="•"/>
      <w:lvlJc w:val="left"/>
      <w:pPr>
        <w:ind w:left="3279" w:hanging="284"/>
      </w:pPr>
    </w:lvl>
    <w:lvl w:ilvl="4">
      <w:numFmt w:val="bullet"/>
      <w:lvlText w:val="•"/>
      <w:lvlJc w:val="left"/>
      <w:pPr>
        <w:ind w:left="4226" w:hanging="284"/>
      </w:pPr>
    </w:lvl>
    <w:lvl w:ilvl="5">
      <w:numFmt w:val="bullet"/>
      <w:lvlText w:val="•"/>
      <w:lvlJc w:val="left"/>
      <w:pPr>
        <w:ind w:left="5173" w:hanging="284"/>
      </w:pPr>
    </w:lvl>
    <w:lvl w:ilvl="6">
      <w:numFmt w:val="bullet"/>
      <w:lvlText w:val="•"/>
      <w:lvlJc w:val="left"/>
      <w:pPr>
        <w:ind w:left="6119" w:hanging="284"/>
      </w:pPr>
    </w:lvl>
    <w:lvl w:ilvl="7">
      <w:numFmt w:val="bullet"/>
      <w:lvlText w:val="•"/>
      <w:lvlJc w:val="left"/>
      <w:pPr>
        <w:ind w:left="7066" w:hanging="284"/>
      </w:pPr>
    </w:lvl>
    <w:lvl w:ilvl="8">
      <w:numFmt w:val="bullet"/>
      <w:lvlText w:val="•"/>
      <w:lvlJc w:val="left"/>
      <w:pPr>
        <w:ind w:left="8013" w:hanging="284"/>
      </w:pPr>
    </w:lvl>
  </w:abstractNum>
  <w:abstractNum w:abstractNumId="11" w15:restartNumberingAfterBreak="0">
    <w:nsid w:val="0000040B"/>
    <w:multiLevelType w:val="multilevel"/>
    <w:tmpl w:val="0000088E"/>
    <w:lvl w:ilvl="0">
      <w:numFmt w:val="bullet"/>
      <w:lvlText w:val=""/>
      <w:lvlJc w:val="left"/>
      <w:pPr>
        <w:ind w:left="442" w:hanging="284"/>
      </w:pPr>
      <w:rPr>
        <w:rFonts w:ascii="Symbol" w:hAnsi="Symbol" w:cs="Symbol"/>
        <w:b w:val="0"/>
        <w:bCs w:val="0"/>
        <w:i w:val="0"/>
        <w:iCs w:val="0"/>
        <w:w w:val="100"/>
        <w:sz w:val="22"/>
        <w:szCs w:val="22"/>
      </w:rPr>
    </w:lvl>
    <w:lvl w:ilvl="1">
      <w:numFmt w:val="bullet"/>
      <w:lvlText w:val="•"/>
      <w:lvlJc w:val="left"/>
      <w:pPr>
        <w:ind w:left="1386" w:hanging="284"/>
      </w:pPr>
    </w:lvl>
    <w:lvl w:ilvl="2">
      <w:numFmt w:val="bullet"/>
      <w:lvlText w:val="•"/>
      <w:lvlJc w:val="left"/>
      <w:pPr>
        <w:ind w:left="2333" w:hanging="284"/>
      </w:pPr>
    </w:lvl>
    <w:lvl w:ilvl="3">
      <w:numFmt w:val="bullet"/>
      <w:lvlText w:val="•"/>
      <w:lvlJc w:val="left"/>
      <w:pPr>
        <w:ind w:left="3279" w:hanging="284"/>
      </w:pPr>
    </w:lvl>
    <w:lvl w:ilvl="4">
      <w:numFmt w:val="bullet"/>
      <w:lvlText w:val="•"/>
      <w:lvlJc w:val="left"/>
      <w:pPr>
        <w:ind w:left="4226" w:hanging="284"/>
      </w:pPr>
    </w:lvl>
    <w:lvl w:ilvl="5">
      <w:numFmt w:val="bullet"/>
      <w:lvlText w:val="•"/>
      <w:lvlJc w:val="left"/>
      <w:pPr>
        <w:ind w:left="5173" w:hanging="284"/>
      </w:pPr>
    </w:lvl>
    <w:lvl w:ilvl="6">
      <w:numFmt w:val="bullet"/>
      <w:lvlText w:val="•"/>
      <w:lvlJc w:val="left"/>
      <w:pPr>
        <w:ind w:left="6119" w:hanging="284"/>
      </w:pPr>
    </w:lvl>
    <w:lvl w:ilvl="7">
      <w:numFmt w:val="bullet"/>
      <w:lvlText w:val="•"/>
      <w:lvlJc w:val="left"/>
      <w:pPr>
        <w:ind w:left="7066" w:hanging="284"/>
      </w:pPr>
    </w:lvl>
    <w:lvl w:ilvl="8">
      <w:numFmt w:val="bullet"/>
      <w:lvlText w:val="•"/>
      <w:lvlJc w:val="left"/>
      <w:pPr>
        <w:ind w:left="8013" w:hanging="284"/>
      </w:pPr>
    </w:lvl>
  </w:abstractNum>
  <w:abstractNum w:abstractNumId="12" w15:restartNumberingAfterBreak="0">
    <w:nsid w:val="034E06B1"/>
    <w:multiLevelType w:val="hybridMultilevel"/>
    <w:tmpl w:val="BD308F3C"/>
    <w:lvl w:ilvl="0" w:tplc="883CF01A">
      <w:start w:val="1"/>
      <w:numFmt w:val="lowerLetter"/>
      <w:lvlText w:val="%1)"/>
      <w:lvlJc w:val="left"/>
      <w:pPr>
        <w:ind w:left="685" w:hanging="568"/>
      </w:pPr>
      <w:rPr>
        <w:rFonts w:ascii="Arial" w:eastAsia="Arial" w:hAnsi="Arial" w:cs="Arial" w:hint="default"/>
        <w:b w:val="0"/>
        <w:bCs w:val="0"/>
        <w:i w:val="0"/>
        <w:iCs w:val="0"/>
        <w:spacing w:val="-2"/>
        <w:w w:val="100"/>
        <w:sz w:val="22"/>
        <w:szCs w:val="22"/>
        <w:lang w:val="en-US" w:eastAsia="en-US" w:bidi="ar-SA"/>
      </w:rPr>
    </w:lvl>
    <w:lvl w:ilvl="1" w:tplc="A524049C">
      <w:numFmt w:val="bullet"/>
      <w:lvlText w:val="•"/>
      <w:lvlJc w:val="left"/>
      <w:pPr>
        <w:ind w:left="1546" w:hanging="568"/>
      </w:pPr>
      <w:rPr>
        <w:rFonts w:hint="default"/>
        <w:lang w:val="en-US" w:eastAsia="en-US" w:bidi="ar-SA"/>
      </w:rPr>
    </w:lvl>
    <w:lvl w:ilvl="2" w:tplc="3612CD4A">
      <w:numFmt w:val="bullet"/>
      <w:lvlText w:val="•"/>
      <w:lvlJc w:val="left"/>
      <w:pPr>
        <w:ind w:left="2413" w:hanging="568"/>
      </w:pPr>
      <w:rPr>
        <w:rFonts w:hint="default"/>
        <w:lang w:val="en-US" w:eastAsia="en-US" w:bidi="ar-SA"/>
      </w:rPr>
    </w:lvl>
    <w:lvl w:ilvl="3" w:tplc="470E5D34">
      <w:numFmt w:val="bullet"/>
      <w:lvlText w:val="•"/>
      <w:lvlJc w:val="left"/>
      <w:pPr>
        <w:ind w:left="3279" w:hanging="568"/>
      </w:pPr>
      <w:rPr>
        <w:rFonts w:hint="default"/>
        <w:lang w:val="en-US" w:eastAsia="en-US" w:bidi="ar-SA"/>
      </w:rPr>
    </w:lvl>
    <w:lvl w:ilvl="4" w:tplc="EB7C9548">
      <w:numFmt w:val="bullet"/>
      <w:lvlText w:val="•"/>
      <w:lvlJc w:val="left"/>
      <w:pPr>
        <w:ind w:left="4146" w:hanging="568"/>
      </w:pPr>
      <w:rPr>
        <w:rFonts w:hint="default"/>
        <w:lang w:val="en-US" w:eastAsia="en-US" w:bidi="ar-SA"/>
      </w:rPr>
    </w:lvl>
    <w:lvl w:ilvl="5" w:tplc="767AA8E8">
      <w:numFmt w:val="bullet"/>
      <w:lvlText w:val="•"/>
      <w:lvlJc w:val="left"/>
      <w:pPr>
        <w:ind w:left="5013" w:hanging="568"/>
      </w:pPr>
      <w:rPr>
        <w:rFonts w:hint="default"/>
        <w:lang w:val="en-US" w:eastAsia="en-US" w:bidi="ar-SA"/>
      </w:rPr>
    </w:lvl>
    <w:lvl w:ilvl="6" w:tplc="3ACCFE9E">
      <w:numFmt w:val="bullet"/>
      <w:lvlText w:val="•"/>
      <w:lvlJc w:val="left"/>
      <w:pPr>
        <w:ind w:left="5879" w:hanging="568"/>
      </w:pPr>
      <w:rPr>
        <w:rFonts w:hint="default"/>
        <w:lang w:val="en-US" w:eastAsia="en-US" w:bidi="ar-SA"/>
      </w:rPr>
    </w:lvl>
    <w:lvl w:ilvl="7" w:tplc="8050F7F4">
      <w:numFmt w:val="bullet"/>
      <w:lvlText w:val="•"/>
      <w:lvlJc w:val="left"/>
      <w:pPr>
        <w:ind w:left="6746" w:hanging="568"/>
      </w:pPr>
      <w:rPr>
        <w:rFonts w:hint="default"/>
        <w:lang w:val="en-US" w:eastAsia="en-US" w:bidi="ar-SA"/>
      </w:rPr>
    </w:lvl>
    <w:lvl w:ilvl="8" w:tplc="E5E875DC">
      <w:numFmt w:val="bullet"/>
      <w:lvlText w:val="•"/>
      <w:lvlJc w:val="left"/>
      <w:pPr>
        <w:ind w:left="7613" w:hanging="568"/>
      </w:pPr>
      <w:rPr>
        <w:rFonts w:hint="default"/>
        <w:lang w:val="en-US" w:eastAsia="en-US" w:bidi="ar-SA"/>
      </w:rPr>
    </w:lvl>
  </w:abstractNum>
  <w:abstractNum w:abstractNumId="13" w15:restartNumberingAfterBreak="0">
    <w:nsid w:val="049F6F99"/>
    <w:multiLevelType w:val="hybridMultilevel"/>
    <w:tmpl w:val="EC480426"/>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547301D"/>
    <w:multiLevelType w:val="hybridMultilevel"/>
    <w:tmpl w:val="558A081A"/>
    <w:lvl w:ilvl="0" w:tplc="18E8D5EE">
      <w:start w:val="1"/>
      <w:numFmt w:val="bullet"/>
      <w:pStyle w:val="NormalindentbulletsL1"/>
      <w:lvlText w:val=""/>
      <w:lvlJc w:val="left"/>
      <w:pPr>
        <w:ind w:left="360" w:hanging="360"/>
      </w:pPr>
      <w:rPr>
        <w:rFonts w:ascii="Symbol" w:hAnsi="Symbol" w:hint="default"/>
      </w:rPr>
    </w:lvl>
    <w:lvl w:ilvl="1" w:tplc="0C090003">
      <w:start w:val="1"/>
      <w:numFmt w:val="bullet"/>
      <w:lvlText w:val="o"/>
      <w:lvlJc w:val="left"/>
      <w:pPr>
        <w:ind w:left="1445" w:hanging="360"/>
      </w:pPr>
      <w:rPr>
        <w:rFonts w:ascii="Courier New" w:hAnsi="Courier New" w:cs="Courier New" w:hint="default"/>
      </w:rPr>
    </w:lvl>
    <w:lvl w:ilvl="2" w:tplc="0C090005">
      <w:start w:val="1"/>
      <w:numFmt w:val="bullet"/>
      <w:lvlText w:val=""/>
      <w:lvlJc w:val="left"/>
      <w:pPr>
        <w:ind w:left="2165" w:hanging="360"/>
      </w:pPr>
      <w:rPr>
        <w:rFonts w:ascii="Wingdings" w:hAnsi="Wingdings" w:hint="default"/>
      </w:rPr>
    </w:lvl>
    <w:lvl w:ilvl="3" w:tplc="0C090001">
      <w:start w:val="1"/>
      <w:numFmt w:val="bullet"/>
      <w:lvlText w:val=""/>
      <w:lvlJc w:val="left"/>
      <w:pPr>
        <w:ind w:left="2885" w:hanging="360"/>
      </w:pPr>
      <w:rPr>
        <w:rFonts w:ascii="Symbol" w:hAnsi="Symbol" w:hint="default"/>
      </w:rPr>
    </w:lvl>
    <w:lvl w:ilvl="4" w:tplc="0C090003">
      <w:start w:val="1"/>
      <w:numFmt w:val="bullet"/>
      <w:lvlText w:val="o"/>
      <w:lvlJc w:val="left"/>
      <w:pPr>
        <w:ind w:left="3605" w:hanging="360"/>
      </w:pPr>
      <w:rPr>
        <w:rFonts w:ascii="Courier New" w:hAnsi="Courier New" w:cs="Courier New" w:hint="default"/>
      </w:rPr>
    </w:lvl>
    <w:lvl w:ilvl="5" w:tplc="0C090005">
      <w:start w:val="1"/>
      <w:numFmt w:val="bullet"/>
      <w:lvlText w:val=""/>
      <w:lvlJc w:val="left"/>
      <w:pPr>
        <w:ind w:left="4325" w:hanging="360"/>
      </w:pPr>
      <w:rPr>
        <w:rFonts w:ascii="Wingdings" w:hAnsi="Wingdings" w:hint="default"/>
      </w:rPr>
    </w:lvl>
    <w:lvl w:ilvl="6" w:tplc="0C090001">
      <w:start w:val="1"/>
      <w:numFmt w:val="bullet"/>
      <w:lvlText w:val=""/>
      <w:lvlJc w:val="left"/>
      <w:pPr>
        <w:ind w:left="5045" w:hanging="360"/>
      </w:pPr>
      <w:rPr>
        <w:rFonts w:ascii="Symbol" w:hAnsi="Symbol" w:hint="default"/>
      </w:rPr>
    </w:lvl>
    <w:lvl w:ilvl="7" w:tplc="0C090003">
      <w:start w:val="1"/>
      <w:numFmt w:val="bullet"/>
      <w:lvlText w:val="o"/>
      <w:lvlJc w:val="left"/>
      <w:pPr>
        <w:ind w:left="5765" w:hanging="360"/>
      </w:pPr>
      <w:rPr>
        <w:rFonts w:ascii="Courier New" w:hAnsi="Courier New" w:cs="Courier New" w:hint="default"/>
      </w:rPr>
    </w:lvl>
    <w:lvl w:ilvl="8" w:tplc="0C090005">
      <w:start w:val="1"/>
      <w:numFmt w:val="bullet"/>
      <w:lvlText w:val=""/>
      <w:lvlJc w:val="left"/>
      <w:pPr>
        <w:ind w:left="6485" w:hanging="360"/>
      </w:pPr>
      <w:rPr>
        <w:rFonts w:ascii="Wingdings" w:hAnsi="Wingdings" w:hint="default"/>
      </w:rPr>
    </w:lvl>
  </w:abstractNum>
  <w:abstractNum w:abstractNumId="15" w15:restartNumberingAfterBreak="0">
    <w:nsid w:val="05640B50"/>
    <w:multiLevelType w:val="hybridMultilevel"/>
    <w:tmpl w:val="4C20FF8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05DD0F35"/>
    <w:multiLevelType w:val="hybridMultilevel"/>
    <w:tmpl w:val="BA3C478E"/>
    <w:lvl w:ilvl="0" w:tplc="96BE9904">
      <w:start w:val="1"/>
      <w:numFmt w:val="bullet"/>
      <w:pStyle w:val="NormalBulletlistL1"/>
      <w:lvlText w:val=""/>
      <w:lvlJc w:val="left"/>
      <w:pPr>
        <w:ind w:left="720" w:hanging="360"/>
      </w:pPr>
      <w:rPr>
        <w:rFonts w:ascii="Symbol" w:hAnsi="Symbol" w:hint="default"/>
        <w:color w:val="939598"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5F00366"/>
    <w:multiLevelType w:val="hybridMultilevel"/>
    <w:tmpl w:val="EEAA79F6"/>
    <w:lvl w:ilvl="0" w:tplc="EDAA23A2">
      <w:start w:val="1"/>
      <w:numFmt w:val="bullet"/>
      <w:pStyle w:val="Bulletpoints"/>
      <w:lvlText w:val=""/>
      <w:lvlJc w:val="left"/>
      <w:pPr>
        <w:ind w:left="360" w:hanging="360"/>
      </w:pPr>
      <w:rPr>
        <w:rFonts w:ascii="Symbol" w:hAnsi="Symbol" w:hint="default"/>
        <w:caps w:val="0"/>
        <w:color w:val="414042"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7254D00"/>
    <w:multiLevelType w:val="hybridMultilevel"/>
    <w:tmpl w:val="901280C0"/>
    <w:lvl w:ilvl="0" w:tplc="B12A360E">
      <w:start w:val="1"/>
      <w:numFmt w:val="lowerLetter"/>
      <w:lvlText w:val="%1)"/>
      <w:lvlJc w:val="left"/>
      <w:pPr>
        <w:ind w:left="567" w:hanging="568"/>
      </w:pPr>
      <w:rPr>
        <w:rFonts w:ascii="Arial" w:eastAsia="Arial" w:hAnsi="Arial" w:cs="Arial" w:hint="default"/>
        <w:b w:val="0"/>
        <w:bCs w:val="0"/>
        <w:i w:val="0"/>
        <w:iCs w:val="0"/>
        <w:spacing w:val="-2"/>
        <w:w w:val="100"/>
        <w:sz w:val="22"/>
        <w:szCs w:val="22"/>
        <w:lang w:val="en-US" w:eastAsia="en-US" w:bidi="ar-SA"/>
      </w:rPr>
    </w:lvl>
    <w:lvl w:ilvl="1" w:tplc="40A8010E">
      <w:numFmt w:val="bullet"/>
      <w:lvlText w:val="•"/>
      <w:lvlJc w:val="left"/>
      <w:pPr>
        <w:ind w:left="1429" w:hanging="568"/>
      </w:pPr>
      <w:rPr>
        <w:rFonts w:hint="default"/>
        <w:lang w:val="en-US" w:eastAsia="en-US" w:bidi="ar-SA"/>
      </w:rPr>
    </w:lvl>
    <w:lvl w:ilvl="2" w:tplc="E31C6C2A">
      <w:numFmt w:val="bullet"/>
      <w:lvlText w:val="•"/>
      <w:lvlJc w:val="left"/>
      <w:pPr>
        <w:ind w:left="2296" w:hanging="568"/>
      </w:pPr>
      <w:rPr>
        <w:rFonts w:hint="default"/>
        <w:lang w:val="en-US" w:eastAsia="en-US" w:bidi="ar-SA"/>
      </w:rPr>
    </w:lvl>
    <w:lvl w:ilvl="3" w:tplc="1924B948">
      <w:numFmt w:val="bullet"/>
      <w:lvlText w:val="•"/>
      <w:lvlJc w:val="left"/>
      <w:pPr>
        <w:ind w:left="3162" w:hanging="568"/>
      </w:pPr>
      <w:rPr>
        <w:rFonts w:hint="default"/>
        <w:lang w:val="en-US" w:eastAsia="en-US" w:bidi="ar-SA"/>
      </w:rPr>
    </w:lvl>
    <w:lvl w:ilvl="4" w:tplc="A1D02C3E">
      <w:numFmt w:val="bullet"/>
      <w:lvlText w:val="•"/>
      <w:lvlJc w:val="left"/>
      <w:pPr>
        <w:ind w:left="4029" w:hanging="568"/>
      </w:pPr>
      <w:rPr>
        <w:rFonts w:hint="default"/>
        <w:lang w:val="en-US" w:eastAsia="en-US" w:bidi="ar-SA"/>
      </w:rPr>
    </w:lvl>
    <w:lvl w:ilvl="5" w:tplc="C2A4A5D0">
      <w:numFmt w:val="bullet"/>
      <w:lvlText w:val="•"/>
      <w:lvlJc w:val="left"/>
      <w:pPr>
        <w:ind w:left="4896" w:hanging="568"/>
      </w:pPr>
      <w:rPr>
        <w:rFonts w:hint="default"/>
        <w:lang w:val="en-US" w:eastAsia="en-US" w:bidi="ar-SA"/>
      </w:rPr>
    </w:lvl>
    <w:lvl w:ilvl="6" w:tplc="C870E8DC">
      <w:numFmt w:val="bullet"/>
      <w:lvlText w:val="•"/>
      <w:lvlJc w:val="left"/>
      <w:pPr>
        <w:ind w:left="5762" w:hanging="568"/>
      </w:pPr>
      <w:rPr>
        <w:rFonts w:hint="default"/>
        <w:lang w:val="en-US" w:eastAsia="en-US" w:bidi="ar-SA"/>
      </w:rPr>
    </w:lvl>
    <w:lvl w:ilvl="7" w:tplc="C284C6A8">
      <w:numFmt w:val="bullet"/>
      <w:lvlText w:val="•"/>
      <w:lvlJc w:val="left"/>
      <w:pPr>
        <w:ind w:left="6629" w:hanging="568"/>
      </w:pPr>
      <w:rPr>
        <w:rFonts w:hint="default"/>
        <w:lang w:val="en-US" w:eastAsia="en-US" w:bidi="ar-SA"/>
      </w:rPr>
    </w:lvl>
    <w:lvl w:ilvl="8" w:tplc="CDC6AD1E">
      <w:numFmt w:val="bullet"/>
      <w:lvlText w:val="•"/>
      <w:lvlJc w:val="left"/>
      <w:pPr>
        <w:ind w:left="7496" w:hanging="568"/>
      </w:pPr>
      <w:rPr>
        <w:rFonts w:hint="default"/>
        <w:lang w:val="en-US" w:eastAsia="en-US" w:bidi="ar-SA"/>
      </w:rPr>
    </w:lvl>
  </w:abstractNum>
  <w:abstractNum w:abstractNumId="19" w15:restartNumberingAfterBreak="0">
    <w:nsid w:val="0B1D7E35"/>
    <w:multiLevelType w:val="hybridMultilevel"/>
    <w:tmpl w:val="5CB29370"/>
    <w:lvl w:ilvl="0" w:tplc="A1605152">
      <w:start w:val="1"/>
      <w:numFmt w:val="bullet"/>
      <w:pStyle w:val="Bullets2"/>
      <w:lvlText w:val=""/>
      <w:lvlJc w:val="left"/>
      <w:pPr>
        <w:ind w:left="717" w:hanging="360"/>
      </w:pPr>
      <w:rPr>
        <w:rFonts w:ascii="Symbol" w:hAnsi="Symbol" w:hint="default"/>
        <w:color w:val="58595B" w:themeColor="accent2"/>
        <w:sz w:val="1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0F502DE3"/>
    <w:multiLevelType w:val="multilevel"/>
    <w:tmpl w:val="2DBE2FFC"/>
    <w:lvl w:ilvl="0">
      <w:start w:val="1"/>
      <w:numFmt w:val="bullet"/>
      <w:pStyle w:val="Briefbulletpoints"/>
      <w:lvlText w:val=""/>
      <w:lvlJc w:val="left"/>
      <w:pPr>
        <w:ind w:left="284" w:hanging="284"/>
      </w:pPr>
      <w:rPr>
        <w:rFonts w:ascii="Symbol" w:hAnsi="Symbol" w:hint="default"/>
        <w:color w:val="auto"/>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cs="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cs="Courier New" w:hint="default"/>
      </w:rPr>
    </w:lvl>
    <w:lvl w:ilvl="8">
      <w:start w:val="1"/>
      <w:numFmt w:val="bullet"/>
      <w:lvlText w:val=""/>
      <w:lvlJc w:val="left"/>
      <w:pPr>
        <w:ind w:left="7092" w:hanging="284"/>
      </w:pPr>
      <w:rPr>
        <w:rFonts w:ascii="Wingdings" w:hAnsi="Wingdings" w:hint="default"/>
      </w:rPr>
    </w:lvl>
  </w:abstractNum>
  <w:abstractNum w:abstractNumId="21" w15:restartNumberingAfterBreak="0">
    <w:nsid w:val="101F2559"/>
    <w:multiLevelType w:val="hybridMultilevel"/>
    <w:tmpl w:val="4D6817B8"/>
    <w:lvl w:ilvl="0" w:tplc="FFFFFFFF">
      <w:start w:val="1"/>
      <w:numFmt w:val="bullet"/>
      <w:lvlText w:val=""/>
      <w:lvlJc w:val="left"/>
      <w:pPr>
        <w:ind w:left="1040" w:hanging="360"/>
      </w:pPr>
      <w:rPr>
        <w:rFonts w:ascii="Symbol" w:hAnsi="Symbol" w:hint="default"/>
      </w:rPr>
    </w:lvl>
    <w:lvl w:ilvl="1" w:tplc="0C090003">
      <w:start w:val="1"/>
      <w:numFmt w:val="bullet"/>
      <w:lvlText w:val="o"/>
      <w:lvlJc w:val="left"/>
      <w:pPr>
        <w:ind w:left="2125" w:hanging="360"/>
      </w:pPr>
      <w:rPr>
        <w:rFonts w:ascii="Courier New" w:hAnsi="Courier New" w:cs="Courier New" w:hint="default"/>
      </w:rPr>
    </w:lvl>
    <w:lvl w:ilvl="2" w:tplc="FFFFFFFF">
      <w:start w:val="1"/>
      <w:numFmt w:val="bullet"/>
      <w:lvlText w:val=""/>
      <w:lvlJc w:val="left"/>
      <w:pPr>
        <w:ind w:left="2845" w:hanging="360"/>
      </w:pPr>
      <w:rPr>
        <w:rFonts w:ascii="Wingdings" w:hAnsi="Wingdings" w:hint="default"/>
      </w:rPr>
    </w:lvl>
    <w:lvl w:ilvl="3" w:tplc="FFFFFFFF">
      <w:start w:val="1"/>
      <w:numFmt w:val="bullet"/>
      <w:lvlText w:val=""/>
      <w:lvlJc w:val="left"/>
      <w:pPr>
        <w:ind w:left="3565" w:hanging="360"/>
      </w:pPr>
      <w:rPr>
        <w:rFonts w:ascii="Symbol" w:hAnsi="Symbol" w:hint="default"/>
      </w:rPr>
    </w:lvl>
    <w:lvl w:ilvl="4" w:tplc="FFFFFFFF">
      <w:start w:val="1"/>
      <w:numFmt w:val="bullet"/>
      <w:lvlText w:val="o"/>
      <w:lvlJc w:val="left"/>
      <w:pPr>
        <w:ind w:left="4285" w:hanging="360"/>
      </w:pPr>
      <w:rPr>
        <w:rFonts w:ascii="Courier New" w:hAnsi="Courier New" w:cs="Courier New" w:hint="default"/>
      </w:rPr>
    </w:lvl>
    <w:lvl w:ilvl="5" w:tplc="FFFFFFFF">
      <w:start w:val="1"/>
      <w:numFmt w:val="bullet"/>
      <w:lvlText w:val=""/>
      <w:lvlJc w:val="left"/>
      <w:pPr>
        <w:ind w:left="5005" w:hanging="360"/>
      </w:pPr>
      <w:rPr>
        <w:rFonts w:ascii="Wingdings" w:hAnsi="Wingdings" w:hint="default"/>
      </w:rPr>
    </w:lvl>
    <w:lvl w:ilvl="6" w:tplc="FFFFFFFF">
      <w:start w:val="1"/>
      <w:numFmt w:val="bullet"/>
      <w:lvlText w:val=""/>
      <w:lvlJc w:val="left"/>
      <w:pPr>
        <w:ind w:left="5725" w:hanging="360"/>
      </w:pPr>
      <w:rPr>
        <w:rFonts w:ascii="Symbol" w:hAnsi="Symbol" w:hint="default"/>
      </w:rPr>
    </w:lvl>
    <w:lvl w:ilvl="7" w:tplc="FFFFFFFF">
      <w:start w:val="1"/>
      <w:numFmt w:val="bullet"/>
      <w:lvlText w:val="o"/>
      <w:lvlJc w:val="left"/>
      <w:pPr>
        <w:ind w:left="6445" w:hanging="360"/>
      </w:pPr>
      <w:rPr>
        <w:rFonts w:ascii="Courier New" w:hAnsi="Courier New" w:cs="Courier New" w:hint="default"/>
      </w:rPr>
    </w:lvl>
    <w:lvl w:ilvl="8" w:tplc="FFFFFFFF">
      <w:start w:val="1"/>
      <w:numFmt w:val="bullet"/>
      <w:lvlText w:val=""/>
      <w:lvlJc w:val="left"/>
      <w:pPr>
        <w:ind w:left="7165" w:hanging="360"/>
      </w:pPr>
      <w:rPr>
        <w:rFonts w:ascii="Wingdings" w:hAnsi="Wingdings" w:hint="default"/>
      </w:rPr>
    </w:lvl>
  </w:abstractNum>
  <w:abstractNum w:abstractNumId="22"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30F5370"/>
    <w:multiLevelType w:val="hybridMultilevel"/>
    <w:tmpl w:val="BFFEFB3C"/>
    <w:lvl w:ilvl="0" w:tplc="D932101A">
      <w:numFmt w:val="bullet"/>
      <w:pStyle w:val="Bullets2c"/>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300B3E"/>
    <w:multiLevelType w:val="hybridMultilevel"/>
    <w:tmpl w:val="36BE8F3A"/>
    <w:lvl w:ilvl="0" w:tplc="69822386">
      <w:start w:val="1"/>
      <w:numFmt w:val="decimal"/>
      <w:pStyle w:val="NormalnumberedlistL2"/>
      <w:lvlText w:val="%1."/>
      <w:lvlJc w:val="left"/>
      <w:pPr>
        <w:ind w:left="1284" w:hanging="360"/>
      </w:pPr>
      <w:rPr>
        <w:rFonts w:hint="default"/>
        <w:color w:val="939598"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25" w15:restartNumberingAfterBreak="0">
    <w:nsid w:val="197264E7"/>
    <w:multiLevelType w:val="hybridMultilevel"/>
    <w:tmpl w:val="14CACEBC"/>
    <w:lvl w:ilvl="0" w:tplc="FFFFFFFF">
      <w:start w:val="1"/>
      <w:numFmt w:val="decimal"/>
      <w:lvlText w:val="%1."/>
      <w:lvlJc w:val="left"/>
      <w:pPr>
        <w:ind w:left="360" w:hanging="360"/>
      </w:pPr>
      <w:rPr>
        <w:rFonts w:hint="default"/>
        <w:b w:val="0"/>
        <w:bCs w:val="0"/>
        <w:color w:val="58595B" w:themeColor="accen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CA35E88"/>
    <w:multiLevelType w:val="hybridMultilevel"/>
    <w:tmpl w:val="EC480426"/>
    <w:lvl w:ilvl="0" w:tplc="FFFFFFFF">
      <w:start w:val="1"/>
      <w:numFmt w:val="decimal"/>
      <w:lvlText w:val="%1."/>
      <w:lvlJc w:val="left"/>
      <w:pPr>
        <w:ind w:left="360" w:hanging="360"/>
      </w:pPr>
      <w:rPr>
        <w:rFonts w:hint="default"/>
        <w:b w:val="0"/>
        <w:bCs w:val="0"/>
        <w:color w:val="58595B" w:themeColor="accen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D602654"/>
    <w:multiLevelType w:val="hybridMultilevel"/>
    <w:tmpl w:val="23245D98"/>
    <w:lvl w:ilvl="0" w:tplc="D83C2454">
      <w:start w:val="1"/>
      <w:numFmt w:val="lowerLetter"/>
      <w:pStyle w:val="NormalalistL1"/>
      <w:lvlText w:val="(%1)"/>
      <w:lvlJc w:val="left"/>
      <w:pPr>
        <w:ind w:left="927"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1E500F5F"/>
    <w:multiLevelType w:val="hybridMultilevel"/>
    <w:tmpl w:val="E124A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714D14"/>
    <w:multiLevelType w:val="hybridMultilevel"/>
    <w:tmpl w:val="36722E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23D40A0"/>
    <w:multiLevelType w:val="hybridMultilevel"/>
    <w:tmpl w:val="79A2A472"/>
    <w:lvl w:ilvl="0" w:tplc="38E28F76">
      <w:start w:val="1"/>
      <w:numFmt w:val="bullet"/>
      <w:pStyle w:val="NormalbulletlistL10"/>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31"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4FC187A"/>
    <w:multiLevelType w:val="hybridMultilevel"/>
    <w:tmpl w:val="D3469D92"/>
    <w:lvl w:ilvl="0" w:tplc="BCAC9C84">
      <w:start w:val="1"/>
      <w:numFmt w:val="bullet"/>
      <w:pStyle w:val="Bullets"/>
      <w:lvlText w:val=""/>
      <w:lvlJc w:val="left"/>
      <w:pPr>
        <w:ind w:left="502" w:hanging="360"/>
      </w:pPr>
      <w:rPr>
        <w:rFonts w:ascii="Symbol" w:hAnsi="Symbol" w:hint="default"/>
        <w:color w:val="58595B" w:themeColor="accent2"/>
        <w:sz w:val="16"/>
      </w:rPr>
    </w:lvl>
    <w:lvl w:ilvl="1" w:tplc="4164137C">
      <w:start w:val="1"/>
      <w:numFmt w:val="bullet"/>
      <w:lvlText w:val="-"/>
      <w:lvlJc w:val="left"/>
      <w:pPr>
        <w:ind w:left="927" w:hanging="360"/>
      </w:pPr>
      <w:rPr>
        <w:rFonts w:ascii="Courier New" w:hAnsi="Courier New" w:hint="default"/>
      </w:rPr>
    </w:lvl>
    <w:lvl w:ilvl="2" w:tplc="0C090005">
      <w:start w:val="1"/>
      <w:numFmt w:val="bullet"/>
      <w:lvlText w:val=""/>
      <w:lvlJc w:val="left"/>
      <w:pPr>
        <w:ind w:left="1211"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601850"/>
    <w:multiLevelType w:val="hybridMultilevel"/>
    <w:tmpl w:val="80A4A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98A5CB0"/>
    <w:multiLevelType w:val="hybridMultilevel"/>
    <w:tmpl w:val="1A08F6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A751041"/>
    <w:multiLevelType w:val="hybridMultilevel"/>
    <w:tmpl w:val="E9A4E4BC"/>
    <w:lvl w:ilvl="0" w:tplc="B566BC18">
      <w:start w:val="1"/>
      <w:numFmt w:val="decimal"/>
      <w:lvlText w:val="%1."/>
      <w:lvlJc w:val="left"/>
      <w:pPr>
        <w:ind w:left="360" w:hanging="360"/>
      </w:pPr>
      <w:rPr>
        <w:rFonts w:hint="default"/>
        <w:b w:val="0"/>
        <w:bCs w:val="0"/>
        <w:strike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2AE55D68"/>
    <w:multiLevelType w:val="hybridMultilevel"/>
    <w:tmpl w:val="EC480426"/>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2DCF0C8D"/>
    <w:multiLevelType w:val="hybridMultilevel"/>
    <w:tmpl w:val="0114BD74"/>
    <w:lvl w:ilvl="0" w:tplc="39EA0F1C">
      <w:start w:val="1"/>
      <w:numFmt w:val="lowerRoman"/>
      <w:pStyle w:val="NormalilistL2"/>
      <w:lvlText w:val="(%1)"/>
      <w:lvlJc w:val="left"/>
      <w:pPr>
        <w:ind w:left="1284"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3AEC3289"/>
    <w:multiLevelType w:val="hybridMultilevel"/>
    <w:tmpl w:val="3DD20FC0"/>
    <w:lvl w:ilvl="0" w:tplc="2DC8DE7E">
      <w:start w:val="1"/>
      <w:numFmt w:val="decimal"/>
      <w:pStyle w:val="Normal1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3CD451C3"/>
    <w:multiLevelType w:val="hybridMultilevel"/>
    <w:tmpl w:val="BF48B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DED732C"/>
    <w:multiLevelType w:val="hybridMultilevel"/>
    <w:tmpl w:val="44967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23137E"/>
    <w:multiLevelType w:val="hybridMultilevel"/>
    <w:tmpl w:val="303834C6"/>
    <w:lvl w:ilvl="0" w:tplc="8988B1DE">
      <w:start w:val="1"/>
      <w:numFmt w:val="bullet"/>
      <w:pStyle w:val="Responsedotpoint"/>
      <w:lvlText w:val=""/>
      <w:lvlJc w:val="left"/>
      <w:pPr>
        <w:ind w:left="720" w:hanging="360"/>
      </w:pPr>
      <w:rPr>
        <w:rFonts w:ascii="Symbol" w:hAnsi="Symbol" w:hint="default"/>
      </w:rPr>
    </w:lvl>
    <w:lvl w:ilvl="1" w:tplc="CB32EB02">
      <w:start w:val="2019"/>
      <w:numFmt w:val="bullet"/>
      <w:lvlText w:val="–"/>
      <w:lvlJc w:val="left"/>
      <w:pPr>
        <w:ind w:left="1440" w:hanging="360"/>
      </w:pPr>
      <w:rPr>
        <w:rFonts w:ascii="Arial" w:eastAsiaTheme="minorHAnsi"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7" w15:restartNumberingAfterBreak="0">
    <w:nsid w:val="43820411"/>
    <w:multiLevelType w:val="hybridMultilevel"/>
    <w:tmpl w:val="40846616"/>
    <w:lvl w:ilvl="0" w:tplc="0206105E">
      <w:start w:val="1"/>
      <w:numFmt w:val="bullet"/>
      <w:pStyle w:val="NormalbulletlistL2"/>
      <w:lvlText w:val="−"/>
      <w:lvlJc w:val="left"/>
      <w:pPr>
        <w:ind w:left="1284" w:hanging="360"/>
      </w:pPr>
      <w:rPr>
        <w:rFonts w:ascii="Calibri" w:hAnsi="Calibri" w:hint="default"/>
        <w:color w:val="939598"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48" w15:restartNumberingAfterBreak="0">
    <w:nsid w:val="4688136A"/>
    <w:multiLevelType w:val="hybridMultilevel"/>
    <w:tmpl w:val="8C44A650"/>
    <w:lvl w:ilvl="0" w:tplc="F12CAC74">
      <w:start w:val="1"/>
      <w:numFmt w:val="lowerRoman"/>
      <w:pStyle w:val="NormalilistL1"/>
      <w:lvlText w:val="(%1)"/>
      <w:lvlJc w:val="left"/>
      <w:pPr>
        <w:ind w:left="927"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9" w15:restartNumberingAfterBreak="0">
    <w:nsid w:val="49F90877"/>
    <w:multiLevelType w:val="hybridMultilevel"/>
    <w:tmpl w:val="DAA0EC1E"/>
    <w:lvl w:ilvl="0" w:tplc="293AF190">
      <w:start w:val="1"/>
      <w:numFmt w:val="lowerLetter"/>
      <w:pStyle w:val="Normala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0"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51"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2" w15:restartNumberingAfterBreak="0">
    <w:nsid w:val="5162572F"/>
    <w:multiLevelType w:val="hybridMultilevel"/>
    <w:tmpl w:val="C1E4C95E"/>
    <w:lvl w:ilvl="0" w:tplc="40DE1108">
      <w:start w:val="1"/>
      <w:numFmt w:val="decimal"/>
      <w:pStyle w:val="NormalnumberedlistL1"/>
      <w:lvlText w:val="%1."/>
      <w:lvlJc w:val="left"/>
      <w:pPr>
        <w:ind w:left="927" w:hanging="360"/>
      </w:pPr>
      <w:rPr>
        <w:rFonts w:hint="default"/>
        <w:color w:val="939598"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53" w15:restartNumberingAfterBreak="0">
    <w:nsid w:val="53A93C2C"/>
    <w:multiLevelType w:val="hybridMultilevel"/>
    <w:tmpl w:val="A0289400"/>
    <w:lvl w:ilvl="0" w:tplc="43989AEA">
      <w:start w:val="1"/>
      <w:numFmt w:val="lowerLetter"/>
      <w:pStyle w:val="Normala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5B9361B8"/>
    <w:multiLevelType w:val="hybridMultilevel"/>
    <w:tmpl w:val="E0A47474"/>
    <w:lvl w:ilvl="0" w:tplc="F37ECA78">
      <w:start w:val="1"/>
      <w:numFmt w:val="lowerRoman"/>
      <w:pStyle w:val="Normali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5" w15:restartNumberingAfterBreak="0">
    <w:nsid w:val="61E679BB"/>
    <w:multiLevelType w:val="hybridMultilevel"/>
    <w:tmpl w:val="B446983E"/>
    <w:lvl w:ilvl="0" w:tplc="9E92D8A4">
      <w:start w:val="1"/>
      <w:numFmt w:val="lowerRoman"/>
      <w:pStyle w:val="Normali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676E3AB8"/>
    <w:multiLevelType w:val="hybridMultilevel"/>
    <w:tmpl w:val="AC526276"/>
    <w:lvl w:ilvl="0" w:tplc="B90CA7C0">
      <w:start w:val="1"/>
      <w:numFmt w:val="lowerLetter"/>
      <w:lvlText w:val="%1)"/>
      <w:lvlJc w:val="left"/>
      <w:pPr>
        <w:ind w:left="442" w:hanging="284"/>
      </w:pPr>
      <w:rPr>
        <w:rFonts w:ascii="Arial" w:eastAsia="Arial" w:hAnsi="Arial" w:cs="Arial" w:hint="default"/>
        <w:b w:val="0"/>
        <w:bCs w:val="0"/>
        <w:i w:val="0"/>
        <w:iCs w:val="0"/>
        <w:spacing w:val="-1"/>
        <w:w w:val="100"/>
        <w:sz w:val="22"/>
        <w:szCs w:val="22"/>
        <w:lang w:val="en-US" w:eastAsia="en-US" w:bidi="ar-SA"/>
      </w:rPr>
    </w:lvl>
    <w:lvl w:ilvl="1" w:tplc="1338C9E4">
      <w:numFmt w:val="bullet"/>
      <w:lvlText w:val="•"/>
      <w:lvlJc w:val="left"/>
      <w:pPr>
        <w:ind w:left="1386" w:hanging="284"/>
      </w:pPr>
      <w:rPr>
        <w:rFonts w:hint="default"/>
        <w:lang w:val="en-US" w:eastAsia="en-US" w:bidi="ar-SA"/>
      </w:rPr>
    </w:lvl>
    <w:lvl w:ilvl="2" w:tplc="A560EC3E">
      <w:numFmt w:val="bullet"/>
      <w:lvlText w:val="•"/>
      <w:lvlJc w:val="left"/>
      <w:pPr>
        <w:ind w:left="2333" w:hanging="284"/>
      </w:pPr>
      <w:rPr>
        <w:rFonts w:hint="default"/>
        <w:lang w:val="en-US" w:eastAsia="en-US" w:bidi="ar-SA"/>
      </w:rPr>
    </w:lvl>
    <w:lvl w:ilvl="3" w:tplc="AD56660C">
      <w:numFmt w:val="bullet"/>
      <w:lvlText w:val="•"/>
      <w:lvlJc w:val="left"/>
      <w:pPr>
        <w:ind w:left="3279" w:hanging="284"/>
      </w:pPr>
      <w:rPr>
        <w:rFonts w:hint="default"/>
        <w:lang w:val="en-US" w:eastAsia="en-US" w:bidi="ar-SA"/>
      </w:rPr>
    </w:lvl>
    <w:lvl w:ilvl="4" w:tplc="46408154">
      <w:numFmt w:val="bullet"/>
      <w:lvlText w:val="•"/>
      <w:lvlJc w:val="left"/>
      <w:pPr>
        <w:ind w:left="4226" w:hanging="284"/>
      </w:pPr>
      <w:rPr>
        <w:rFonts w:hint="default"/>
        <w:lang w:val="en-US" w:eastAsia="en-US" w:bidi="ar-SA"/>
      </w:rPr>
    </w:lvl>
    <w:lvl w:ilvl="5" w:tplc="DE3C21F2">
      <w:numFmt w:val="bullet"/>
      <w:lvlText w:val="•"/>
      <w:lvlJc w:val="left"/>
      <w:pPr>
        <w:ind w:left="5173" w:hanging="284"/>
      </w:pPr>
      <w:rPr>
        <w:rFonts w:hint="default"/>
        <w:lang w:val="en-US" w:eastAsia="en-US" w:bidi="ar-SA"/>
      </w:rPr>
    </w:lvl>
    <w:lvl w:ilvl="6" w:tplc="8D28B94A">
      <w:numFmt w:val="bullet"/>
      <w:lvlText w:val="•"/>
      <w:lvlJc w:val="left"/>
      <w:pPr>
        <w:ind w:left="6119" w:hanging="284"/>
      </w:pPr>
      <w:rPr>
        <w:rFonts w:hint="default"/>
        <w:lang w:val="en-US" w:eastAsia="en-US" w:bidi="ar-SA"/>
      </w:rPr>
    </w:lvl>
    <w:lvl w:ilvl="7" w:tplc="CA1AF682">
      <w:numFmt w:val="bullet"/>
      <w:lvlText w:val="•"/>
      <w:lvlJc w:val="left"/>
      <w:pPr>
        <w:ind w:left="7066" w:hanging="284"/>
      </w:pPr>
      <w:rPr>
        <w:rFonts w:hint="default"/>
        <w:lang w:val="en-US" w:eastAsia="en-US" w:bidi="ar-SA"/>
      </w:rPr>
    </w:lvl>
    <w:lvl w:ilvl="8" w:tplc="80C81656">
      <w:numFmt w:val="bullet"/>
      <w:lvlText w:val="•"/>
      <w:lvlJc w:val="left"/>
      <w:pPr>
        <w:ind w:left="8013" w:hanging="284"/>
      </w:pPr>
      <w:rPr>
        <w:rFonts w:hint="default"/>
        <w:lang w:val="en-US" w:eastAsia="en-US" w:bidi="ar-SA"/>
      </w:rPr>
    </w:lvl>
  </w:abstractNum>
  <w:abstractNum w:abstractNumId="57"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58"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59"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60" w15:restartNumberingAfterBreak="0">
    <w:nsid w:val="6C084C81"/>
    <w:multiLevelType w:val="hybridMultilevel"/>
    <w:tmpl w:val="02024488"/>
    <w:lvl w:ilvl="0" w:tplc="F788BD8A">
      <w:start w:val="1"/>
      <w:numFmt w:val="lowerLetter"/>
      <w:pStyle w:val="Normala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C9D16C5"/>
    <w:multiLevelType w:val="hybridMultilevel"/>
    <w:tmpl w:val="7F52D93C"/>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2" w15:restartNumberingAfterBreak="0">
    <w:nsid w:val="6FA852D4"/>
    <w:multiLevelType w:val="hybridMultilevel"/>
    <w:tmpl w:val="EC480426"/>
    <w:lvl w:ilvl="0" w:tplc="FFFFFFFF">
      <w:start w:val="1"/>
      <w:numFmt w:val="decimal"/>
      <w:lvlText w:val="%1."/>
      <w:lvlJc w:val="left"/>
      <w:pPr>
        <w:ind w:left="360" w:hanging="360"/>
      </w:pPr>
      <w:rPr>
        <w:rFonts w:hint="default"/>
        <w:b w:val="0"/>
        <w:bCs w:val="0"/>
        <w:color w:val="58595B" w:themeColor="accen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763C2E50"/>
    <w:multiLevelType w:val="hybridMultilevel"/>
    <w:tmpl w:val="36722E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6706ACD"/>
    <w:multiLevelType w:val="hybridMultilevel"/>
    <w:tmpl w:val="8A9020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A8D43D5"/>
    <w:multiLevelType w:val="hybridMultilevel"/>
    <w:tmpl w:val="158AD7D4"/>
    <w:lvl w:ilvl="0" w:tplc="D5549418">
      <w:start w:val="1"/>
      <w:numFmt w:val="bullet"/>
      <w:pStyle w:val="Footnote"/>
      <w:lvlText w:val=""/>
      <w:lvlJc w:val="left"/>
      <w:pPr>
        <w:ind w:left="72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5A0FCF"/>
    <w:multiLevelType w:val="hybridMultilevel"/>
    <w:tmpl w:val="748A52E8"/>
    <w:lvl w:ilvl="0" w:tplc="FFFFFFFF">
      <w:start w:val="1"/>
      <w:numFmt w:val="decimal"/>
      <w:lvlText w:val="%1."/>
      <w:lvlJc w:val="left"/>
      <w:pPr>
        <w:ind w:left="1080" w:hanging="360"/>
      </w:pPr>
      <w:rPr>
        <w:b w:val="0"/>
        <w:bCs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627852853">
    <w:abstractNumId w:val="17"/>
  </w:num>
  <w:num w:numId="2" w16cid:durableId="859665653">
    <w:abstractNumId w:val="31"/>
  </w:num>
  <w:num w:numId="3" w16cid:durableId="1967198090">
    <w:abstractNumId w:val="37"/>
    <w:lvlOverride w:ilvl="0">
      <w:startOverride w:val="1"/>
    </w:lvlOverride>
  </w:num>
  <w:num w:numId="4" w16cid:durableId="1282418174">
    <w:abstractNumId w:val="20"/>
  </w:num>
  <w:num w:numId="5" w16cid:durableId="1817410611">
    <w:abstractNumId w:val="45"/>
  </w:num>
  <w:num w:numId="6" w16cid:durableId="2019572985">
    <w:abstractNumId w:val="30"/>
  </w:num>
  <w:num w:numId="7" w16cid:durableId="1174371051">
    <w:abstractNumId w:val="47"/>
  </w:num>
  <w:num w:numId="8" w16cid:durableId="91122292">
    <w:abstractNumId w:val="52"/>
  </w:num>
  <w:num w:numId="9" w16cid:durableId="325086331">
    <w:abstractNumId w:val="48"/>
  </w:num>
  <w:num w:numId="10" w16cid:durableId="1119177975">
    <w:abstractNumId w:val="54"/>
  </w:num>
  <w:num w:numId="11" w16cid:durableId="232130350">
    <w:abstractNumId w:val="49"/>
  </w:num>
  <w:num w:numId="12" w16cid:durableId="1974485645">
    <w:abstractNumId w:val="22"/>
  </w:num>
  <w:num w:numId="13" w16cid:durableId="1843664804">
    <w:abstractNumId w:val="57"/>
  </w:num>
  <w:num w:numId="14" w16cid:durableId="12791427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92034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56959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22847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0754531">
    <w:abstractNumId w:val="58"/>
  </w:num>
  <w:num w:numId="19" w16cid:durableId="1836456789">
    <w:abstractNumId w:val="50"/>
  </w:num>
  <w:num w:numId="20" w16cid:durableId="1187326633">
    <w:abstractNumId w:val="24"/>
  </w:num>
  <w:num w:numId="21" w16cid:durableId="12894384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1252895">
    <w:abstractNumId w:val="42"/>
  </w:num>
  <w:num w:numId="23" w16cid:durableId="542444292">
    <w:abstractNumId w:val="55"/>
  </w:num>
  <w:num w:numId="24" w16cid:durableId="1926524463">
    <w:abstractNumId w:val="39"/>
  </w:num>
  <w:num w:numId="25" w16cid:durableId="1412001691">
    <w:abstractNumId w:val="60"/>
  </w:num>
  <w:num w:numId="26" w16cid:durableId="9264641">
    <w:abstractNumId w:val="27"/>
  </w:num>
  <w:num w:numId="27" w16cid:durableId="594945037">
    <w:abstractNumId w:val="53"/>
  </w:num>
  <w:num w:numId="28" w16cid:durableId="8048128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350140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8375152">
    <w:abstractNumId w:val="16"/>
  </w:num>
  <w:num w:numId="31" w16cid:durableId="1573661522">
    <w:abstractNumId w:val="14"/>
  </w:num>
  <w:num w:numId="32" w16cid:durableId="503862578">
    <w:abstractNumId w:val="51"/>
  </w:num>
  <w:num w:numId="33" w16cid:durableId="426508371">
    <w:abstractNumId w:val="9"/>
  </w:num>
  <w:num w:numId="34" w16cid:durableId="345835309">
    <w:abstractNumId w:val="7"/>
  </w:num>
  <w:num w:numId="35" w16cid:durableId="1554267394">
    <w:abstractNumId w:val="6"/>
  </w:num>
  <w:num w:numId="36" w16cid:durableId="1947271711">
    <w:abstractNumId w:val="5"/>
  </w:num>
  <w:num w:numId="37" w16cid:durableId="1469274947">
    <w:abstractNumId w:val="4"/>
  </w:num>
  <w:num w:numId="38" w16cid:durableId="1525435127">
    <w:abstractNumId w:val="8"/>
  </w:num>
  <w:num w:numId="39" w16cid:durableId="328026521">
    <w:abstractNumId w:val="3"/>
  </w:num>
  <w:num w:numId="40" w16cid:durableId="121315987">
    <w:abstractNumId w:val="2"/>
  </w:num>
  <w:num w:numId="41" w16cid:durableId="1282414351">
    <w:abstractNumId w:val="1"/>
  </w:num>
  <w:num w:numId="42" w16cid:durableId="2048211647">
    <w:abstractNumId w:val="0"/>
  </w:num>
  <w:num w:numId="43" w16cid:durableId="526989182">
    <w:abstractNumId w:val="65"/>
  </w:num>
  <w:num w:numId="44" w16cid:durableId="1283875637">
    <w:abstractNumId w:val="13"/>
  </w:num>
  <w:num w:numId="45" w16cid:durableId="650408589">
    <w:abstractNumId w:val="35"/>
  </w:num>
  <w:num w:numId="46" w16cid:durableId="509640344">
    <w:abstractNumId w:val="43"/>
  </w:num>
  <w:num w:numId="47" w16cid:durableId="1349066386">
    <w:abstractNumId w:val="33"/>
  </w:num>
  <w:num w:numId="48" w16cid:durableId="553779848">
    <w:abstractNumId w:val="19"/>
  </w:num>
  <w:num w:numId="49" w16cid:durableId="152184080">
    <w:abstractNumId w:val="64"/>
  </w:num>
  <w:num w:numId="50" w16cid:durableId="1214658931">
    <w:abstractNumId w:val="32"/>
  </w:num>
  <w:num w:numId="51" w16cid:durableId="1381131550">
    <w:abstractNumId w:val="66"/>
  </w:num>
  <w:num w:numId="52" w16cid:durableId="1054622671">
    <w:abstractNumId w:val="11"/>
  </w:num>
  <w:num w:numId="53" w16cid:durableId="125396653">
    <w:abstractNumId w:val="10"/>
  </w:num>
  <w:num w:numId="54" w16cid:durableId="155344113">
    <w:abstractNumId w:val="56"/>
  </w:num>
  <w:num w:numId="55" w16cid:durableId="99765095">
    <w:abstractNumId w:val="23"/>
  </w:num>
  <w:num w:numId="56" w16cid:durableId="1633554247">
    <w:abstractNumId w:val="61"/>
  </w:num>
  <w:num w:numId="57" w16cid:durableId="1329602059">
    <w:abstractNumId w:val="29"/>
  </w:num>
  <w:num w:numId="58" w16cid:durableId="1258170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5560918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10405634">
    <w:abstractNumId w:val="62"/>
  </w:num>
  <w:num w:numId="61" w16cid:durableId="1046029731">
    <w:abstractNumId w:val="25"/>
  </w:num>
  <w:num w:numId="62" w16cid:durableId="696466317">
    <w:abstractNumId w:val="44"/>
  </w:num>
  <w:num w:numId="63" w16cid:durableId="463355584">
    <w:abstractNumId w:val="21"/>
  </w:num>
  <w:num w:numId="64" w16cid:durableId="205459877">
    <w:abstractNumId w:val="34"/>
  </w:num>
  <w:num w:numId="65" w16cid:durableId="1364937405">
    <w:abstractNumId w:val="66"/>
  </w:num>
  <w:num w:numId="66" w16cid:durableId="2087722499">
    <w:abstractNumId w:val="28"/>
  </w:num>
  <w:num w:numId="67" w16cid:durableId="1475180998">
    <w:abstractNumId w:val="15"/>
  </w:num>
  <w:num w:numId="68" w16cid:durableId="2145198403">
    <w:abstractNumId w:val="12"/>
  </w:num>
  <w:num w:numId="69" w16cid:durableId="1246374944">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0"/>
  <w:revisionView w:markup="0"/>
  <w:documentProtection w:edit="readOnly" w:formatting="1" w:enforcement="1" w:cryptProviderType="rsaAES" w:cryptAlgorithmClass="hash" w:cryptAlgorithmType="typeAny" w:cryptAlgorithmSid="14" w:cryptSpinCount="100000" w:hash="3pa6+9mDyARv1UQxJOGT3sdg8iBTVdoOvKDXV5qDEKsWfBAR80Q9xPGt1eDG0nbJmmKrvucYSylyyoPl/w7gRA==" w:salt="x8ZW+OwutqOkuddLVzvXMQ=="/>
  <w:defaultTabStop w:val="720"/>
  <w:defaultTableStyle w:val="Annualreport2020-21"/>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4A"/>
    <w:rsid w:val="00000629"/>
    <w:rsid w:val="0000072B"/>
    <w:rsid w:val="000008EC"/>
    <w:rsid w:val="00000FDB"/>
    <w:rsid w:val="00001116"/>
    <w:rsid w:val="00001CEF"/>
    <w:rsid w:val="0000357F"/>
    <w:rsid w:val="000038F3"/>
    <w:rsid w:val="00003B0D"/>
    <w:rsid w:val="00003C19"/>
    <w:rsid w:val="00004029"/>
    <w:rsid w:val="0000439B"/>
    <w:rsid w:val="00004541"/>
    <w:rsid w:val="00004572"/>
    <w:rsid w:val="00004BDE"/>
    <w:rsid w:val="0000518A"/>
    <w:rsid w:val="00005418"/>
    <w:rsid w:val="00005F86"/>
    <w:rsid w:val="000064A9"/>
    <w:rsid w:val="00006684"/>
    <w:rsid w:val="0000694B"/>
    <w:rsid w:val="0000709C"/>
    <w:rsid w:val="00007AB8"/>
    <w:rsid w:val="00007D35"/>
    <w:rsid w:val="00007D3E"/>
    <w:rsid w:val="00010131"/>
    <w:rsid w:val="00010890"/>
    <w:rsid w:val="00011004"/>
    <w:rsid w:val="00011062"/>
    <w:rsid w:val="00011BA2"/>
    <w:rsid w:val="00012214"/>
    <w:rsid w:val="00012356"/>
    <w:rsid w:val="00013101"/>
    <w:rsid w:val="000135FE"/>
    <w:rsid w:val="00013F61"/>
    <w:rsid w:val="000140B6"/>
    <w:rsid w:val="00015F8E"/>
    <w:rsid w:val="00017CB7"/>
    <w:rsid w:val="0002016E"/>
    <w:rsid w:val="00020744"/>
    <w:rsid w:val="00020959"/>
    <w:rsid w:val="00020D11"/>
    <w:rsid w:val="000211DF"/>
    <w:rsid w:val="00021A4A"/>
    <w:rsid w:val="00021F1E"/>
    <w:rsid w:val="00022367"/>
    <w:rsid w:val="000229F4"/>
    <w:rsid w:val="00022B27"/>
    <w:rsid w:val="000230BD"/>
    <w:rsid w:val="00023583"/>
    <w:rsid w:val="00023827"/>
    <w:rsid w:val="000246EA"/>
    <w:rsid w:val="00024B7B"/>
    <w:rsid w:val="00024DD5"/>
    <w:rsid w:val="000251DB"/>
    <w:rsid w:val="00025844"/>
    <w:rsid w:val="00026576"/>
    <w:rsid w:val="000270D5"/>
    <w:rsid w:val="00027301"/>
    <w:rsid w:val="0002740A"/>
    <w:rsid w:val="000300A6"/>
    <w:rsid w:val="000307D2"/>
    <w:rsid w:val="00031099"/>
    <w:rsid w:val="00031276"/>
    <w:rsid w:val="0003209E"/>
    <w:rsid w:val="000326D7"/>
    <w:rsid w:val="000326EC"/>
    <w:rsid w:val="00032796"/>
    <w:rsid w:val="000328EC"/>
    <w:rsid w:val="00032D92"/>
    <w:rsid w:val="00032F73"/>
    <w:rsid w:val="00033519"/>
    <w:rsid w:val="00033671"/>
    <w:rsid w:val="00033F40"/>
    <w:rsid w:val="000341CE"/>
    <w:rsid w:val="000344CE"/>
    <w:rsid w:val="00034725"/>
    <w:rsid w:val="00036A9C"/>
    <w:rsid w:val="0003720A"/>
    <w:rsid w:val="000377E3"/>
    <w:rsid w:val="00037917"/>
    <w:rsid w:val="00040033"/>
    <w:rsid w:val="00040104"/>
    <w:rsid w:val="00040738"/>
    <w:rsid w:val="00040A6D"/>
    <w:rsid w:val="00040E63"/>
    <w:rsid w:val="00041161"/>
    <w:rsid w:val="00041224"/>
    <w:rsid w:val="00041A8B"/>
    <w:rsid w:val="00041D17"/>
    <w:rsid w:val="00041F70"/>
    <w:rsid w:val="00042450"/>
    <w:rsid w:val="0004297B"/>
    <w:rsid w:val="000437C4"/>
    <w:rsid w:val="000439F3"/>
    <w:rsid w:val="00043A75"/>
    <w:rsid w:val="00043CE3"/>
    <w:rsid w:val="000442BE"/>
    <w:rsid w:val="0004452E"/>
    <w:rsid w:val="0004473A"/>
    <w:rsid w:val="00044C96"/>
    <w:rsid w:val="0004521C"/>
    <w:rsid w:val="00045AA7"/>
    <w:rsid w:val="0004602F"/>
    <w:rsid w:val="0004603E"/>
    <w:rsid w:val="00046150"/>
    <w:rsid w:val="00046560"/>
    <w:rsid w:val="000469F2"/>
    <w:rsid w:val="00047012"/>
    <w:rsid w:val="00047929"/>
    <w:rsid w:val="00047C86"/>
    <w:rsid w:val="00050EDC"/>
    <w:rsid w:val="000518FF"/>
    <w:rsid w:val="00051B77"/>
    <w:rsid w:val="00051CF9"/>
    <w:rsid w:val="0005235E"/>
    <w:rsid w:val="00052441"/>
    <w:rsid w:val="00052976"/>
    <w:rsid w:val="00052A60"/>
    <w:rsid w:val="00052AD8"/>
    <w:rsid w:val="00052B03"/>
    <w:rsid w:val="00052C3C"/>
    <w:rsid w:val="0005301C"/>
    <w:rsid w:val="0005389B"/>
    <w:rsid w:val="00053CB9"/>
    <w:rsid w:val="00053FE9"/>
    <w:rsid w:val="000547AD"/>
    <w:rsid w:val="000549D5"/>
    <w:rsid w:val="0005571E"/>
    <w:rsid w:val="00055C92"/>
    <w:rsid w:val="00057299"/>
    <w:rsid w:val="00057362"/>
    <w:rsid w:val="00057C02"/>
    <w:rsid w:val="00057EEF"/>
    <w:rsid w:val="0006019B"/>
    <w:rsid w:val="000613C0"/>
    <w:rsid w:val="000619FE"/>
    <w:rsid w:val="00061A64"/>
    <w:rsid w:val="00061EFB"/>
    <w:rsid w:val="00061F2D"/>
    <w:rsid w:val="00062724"/>
    <w:rsid w:val="000628A7"/>
    <w:rsid w:val="00062AE2"/>
    <w:rsid w:val="0006305F"/>
    <w:rsid w:val="00063296"/>
    <w:rsid w:val="000636DF"/>
    <w:rsid w:val="0006494F"/>
    <w:rsid w:val="00064A7B"/>
    <w:rsid w:val="00064AD4"/>
    <w:rsid w:val="00064B3C"/>
    <w:rsid w:val="00064D54"/>
    <w:rsid w:val="00064E50"/>
    <w:rsid w:val="00065310"/>
    <w:rsid w:val="00065B23"/>
    <w:rsid w:val="000661F0"/>
    <w:rsid w:val="0006651E"/>
    <w:rsid w:val="000665EB"/>
    <w:rsid w:val="0006705E"/>
    <w:rsid w:val="0006746C"/>
    <w:rsid w:val="00067D94"/>
    <w:rsid w:val="00070182"/>
    <w:rsid w:val="000701D8"/>
    <w:rsid w:val="0007037D"/>
    <w:rsid w:val="0007058E"/>
    <w:rsid w:val="000706C7"/>
    <w:rsid w:val="00070DE5"/>
    <w:rsid w:val="000711DB"/>
    <w:rsid w:val="0007154A"/>
    <w:rsid w:val="00071A81"/>
    <w:rsid w:val="00071C30"/>
    <w:rsid w:val="00071D0E"/>
    <w:rsid w:val="00071D8D"/>
    <w:rsid w:val="0007210F"/>
    <w:rsid w:val="0007291F"/>
    <w:rsid w:val="00072B06"/>
    <w:rsid w:val="00072BDB"/>
    <w:rsid w:val="00072D57"/>
    <w:rsid w:val="00073C8A"/>
    <w:rsid w:val="00073DCC"/>
    <w:rsid w:val="00074082"/>
    <w:rsid w:val="00074514"/>
    <w:rsid w:val="000745FF"/>
    <w:rsid w:val="00074C19"/>
    <w:rsid w:val="00074FC3"/>
    <w:rsid w:val="0007507D"/>
    <w:rsid w:val="000752F6"/>
    <w:rsid w:val="000754D4"/>
    <w:rsid w:val="00075AA3"/>
    <w:rsid w:val="00075E9E"/>
    <w:rsid w:val="00076199"/>
    <w:rsid w:val="00076260"/>
    <w:rsid w:val="0007627C"/>
    <w:rsid w:val="00076499"/>
    <w:rsid w:val="000767FC"/>
    <w:rsid w:val="00076A3F"/>
    <w:rsid w:val="00076CD8"/>
    <w:rsid w:val="00076D2C"/>
    <w:rsid w:val="0007770B"/>
    <w:rsid w:val="00080420"/>
    <w:rsid w:val="00081613"/>
    <w:rsid w:val="00081A81"/>
    <w:rsid w:val="000823AC"/>
    <w:rsid w:val="00082812"/>
    <w:rsid w:val="00082C17"/>
    <w:rsid w:val="00082FEF"/>
    <w:rsid w:val="0008314D"/>
    <w:rsid w:val="000839A2"/>
    <w:rsid w:val="00083A15"/>
    <w:rsid w:val="00083F4D"/>
    <w:rsid w:val="0008447C"/>
    <w:rsid w:val="00084740"/>
    <w:rsid w:val="000847EB"/>
    <w:rsid w:val="00084800"/>
    <w:rsid w:val="0008539B"/>
    <w:rsid w:val="00085B48"/>
    <w:rsid w:val="00085EAF"/>
    <w:rsid w:val="00086780"/>
    <w:rsid w:val="000868AA"/>
    <w:rsid w:val="00086BE7"/>
    <w:rsid w:val="00086D38"/>
    <w:rsid w:val="00087F5C"/>
    <w:rsid w:val="000909EF"/>
    <w:rsid w:val="00090F8F"/>
    <w:rsid w:val="000911AE"/>
    <w:rsid w:val="00091E47"/>
    <w:rsid w:val="0009209E"/>
    <w:rsid w:val="0009240A"/>
    <w:rsid w:val="0009256E"/>
    <w:rsid w:val="00092945"/>
    <w:rsid w:val="00093BD1"/>
    <w:rsid w:val="0009408B"/>
    <w:rsid w:val="00094B6A"/>
    <w:rsid w:val="00094D1C"/>
    <w:rsid w:val="00094FAA"/>
    <w:rsid w:val="0009525A"/>
    <w:rsid w:val="00095329"/>
    <w:rsid w:val="00095583"/>
    <w:rsid w:val="000955C9"/>
    <w:rsid w:val="00095875"/>
    <w:rsid w:val="00095C93"/>
    <w:rsid w:val="00095CB7"/>
    <w:rsid w:val="00095DAF"/>
    <w:rsid w:val="00095F0A"/>
    <w:rsid w:val="0009621D"/>
    <w:rsid w:val="000969F7"/>
    <w:rsid w:val="00097872"/>
    <w:rsid w:val="000A08C0"/>
    <w:rsid w:val="000A0AB3"/>
    <w:rsid w:val="000A10B2"/>
    <w:rsid w:val="000A14FD"/>
    <w:rsid w:val="000A15BF"/>
    <w:rsid w:val="000A1898"/>
    <w:rsid w:val="000A2993"/>
    <w:rsid w:val="000A31FB"/>
    <w:rsid w:val="000A32C4"/>
    <w:rsid w:val="000A343F"/>
    <w:rsid w:val="000A3A31"/>
    <w:rsid w:val="000A44C9"/>
    <w:rsid w:val="000A4898"/>
    <w:rsid w:val="000A4FC4"/>
    <w:rsid w:val="000A50F6"/>
    <w:rsid w:val="000A5C57"/>
    <w:rsid w:val="000A65C4"/>
    <w:rsid w:val="000A6746"/>
    <w:rsid w:val="000A6BC1"/>
    <w:rsid w:val="000A6C9C"/>
    <w:rsid w:val="000A730A"/>
    <w:rsid w:val="000A73B4"/>
    <w:rsid w:val="000A7803"/>
    <w:rsid w:val="000B05EE"/>
    <w:rsid w:val="000B0980"/>
    <w:rsid w:val="000B0B6D"/>
    <w:rsid w:val="000B11CA"/>
    <w:rsid w:val="000B142B"/>
    <w:rsid w:val="000B18EE"/>
    <w:rsid w:val="000B2018"/>
    <w:rsid w:val="000B2D8E"/>
    <w:rsid w:val="000B331F"/>
    <w:rsid w:val="000B3870"/>
    <w:rsid w:val="000B43D8"/>
    <w:rsid w:val="000B474C"/>
    <w:rsid w:val="000B4C7F"/>
    <w:rsid w:val="000B4DEF"/>
    <w:rsid w:val="000B53A7"/>
    <w:rsid w:val="000B57F5"/>
    <w:rsid w:val="000B60D9"/>
    <w:rsid w:val="000B611B"/>
    <w:rsid w:val="000B6342"/>
    <w:rsid w:val="000B69E7"/>
    <w:rsid w:val="000B71BD"/>
    <w:rsid w:val="000B7760"/>
    <w:rsid w:val="000C004C"/>
    <w:rsid w:val="000C0C57"/>
    <w:rsid w:val="000C1AA1"/>
    <w:rsid w:val="000C1F1E"/>
    <w:rsid w:val="000C218D"/>
    <w:rsid w:val="000C2975"/>
    <w:rsid w:val="000C32EF"/>
    <w:rsid w:val="000C3429"/>
    <w:rsid w:val="000C3A2D"/>
    <w:rsid w:val="000C3CA2"/>
    <w:rsid w:val="000C3F3E"/>
    <w:rsid w:val="000C40E2"/>
    <w:rsid w:val="000C4972"/>
    <w:rsid w:val="000C4BBF"/>
    <w:rsid w:val="000C4DC3"/>
    <w:rsid w:val="000C5039"/>
    <w:rsid w:val="000C5250"/>
    <w:rsid w:val="000C5644"/>
    <w:rsid w:val="000C5D85"/>
    <w:rsid w:val="000C60F1"/>
    <w:rsid w:val="000C6645"/>
    <w:rsid w:val="000C6797"/>
    <w:rsid w:val="000C6A20"/>
    <w:rsid w:val="000C7428"/>
    <w:rsid w:val="000C7565"/>
    <w:rsid w:val="000D0827"/>
    <w:rsid w:val="000D1036"/>
    <w:rsid w:val="000D1A3E"/>
    <w:rsid w:val="000D24E5"/>
    <w:rsid w:val="000D2592"/>
    <w:rsid w:val="000D28FD"/>
    <w:rsid w:val="000D292B"/>
    <w:rsid w:val="000D299A"/>
    <w:rsid w:val="000D2F08"/>
    <w:rsid w:val="000D326F"/>
    <w:rsid w:val="000D3E9B"/>
    <w:rsid w:val="000D41E9"/>
    <w:rsid w:val="000D44DD"/>
    <w:rsid w:val="000D476E"/>
    <w:rsid w:val="000D4B7B"/>
    <w:rsid w:val="000D4D0F"/>
    <w:rsid w:val="000D4FF7"/>
    <w:rsid w:val="000D57DC"/>
    <w:rsid w:val="000D5F17"/>
    <w:rsid w:val="000D5F39"/>
    <w:rsid w:val="000D6853"/>
    <w:rsid w:val="000D6869"/>
    <w:rsid w:val="000E0092"/>
    <w:rsid w:val="000E05F1"/>
    <w:rsid w:val="000E0D0C"/>
    <w:rsid w:val="000E0E28"/>
    <w:rsid w:val="000E1205"/>
    <w:rsid w:val="000E151C"/>
    <w:rsid w:val="000E197C"/>
    <w:rsid w:val="000E1C2F"/>
    <w:rsid w:val="000E2408"/>
    <w:rsid w:val="000E3EE7"/>
    <w:rsid w:val="000E4201"/>
    <w:rsid w:val="000E4B6E"/>
    <w:rsid w:val="000E4F9E"/>
    <w:rsid w:val="000E5609"/>
    <w:rsid w:val="000E59E2"/>
    <w:rsid w:val="000E5C71"/>
    <w:rsid w:val="000E5C90"/>
    <w:rsid w:val="000E66C8"/>
    <w:rsid w:val="000E6A27"/>
    <w:rsid w:val="000E6C4C"/>
    <w:rsid w:val="000E6F56"/>
    <w:rsid w:val="000E6FE9"/>
    <w:rsid w:val="000E7164"/>
    <w:rsid w:val="000E7209"/>
    <w:rsid w:val="000E7E35"/>
    <w:rsid w:val="000F00A7"/>
    <w:rsid w:val="000F00F2"/>
    <w:rsid w:val="000F09AA"/>
    <w:rsid w:val="000F0DFC"/>
    <w:rsid w:val="000F16F7"/>
    <w:rsid w:val="000F29DF"/>
    <w:rsid w:val="000F29E6"/>
    <w:rsid w:val="000F2DEC"/>
    <w:rsid w:val="000F3B19"/>
    <w:rsid w:val="000F3E00"/>
    <w:rsid w:val="000F40C4"/>
    <w:rsid w:val="000F41F2"/>
    <w:rsid w:val="000F4CA1"/>
    <w:rsid w:val="000F504A"/>
    <w:rsid w:val="000F5064"/>
    <w:rsid w:val="000F6251"/>
    <w:rsid w:val="000F7498"/>
    <w:rsid w:val="000F7992"/>
    <w:rsid w:val="000F7C78"/>
    <w:rsid w:val="0010010B"/>
    <w:rsid w:val="0010037C"/>
    <w:rsid w:val="001007DC"/>
    <w:rsid w:val="00100B6A"/>
    <w:rsid w:val="00100BB6"/>
    <w:rsid w:val="00101231"/>
    <w:rsid w:val="001018CC"/>
    <w:rsid w:val="00101A4D"/>
    <w:rsid w:val="00102282"/>
    <w:rsid w:val="00102D73"/>
    <w:rsid w:val="001030D0"/>
    <w:rsid w:val="00103AEC"/>
    <w:rsid w:val="00103B23"/>
    <w:rsid w:val="001045DC"/>
    <w:rsid w:val="0010466D"/>
    <w:rsid w:val="00104C21"/>
    <w:rsid w:val="0010582F"/>
    <w:rsid w:val="00105849"/>
    <w:rsid w:val="001060B6"/>
    <w:rsid w:val="001061F9"/>
    <w:rsid w:val="00107188"/>
    <w:rsid w:val="00107C2F"/>
    <w:rsid w:val="00107FE4"/>
    <w:rsid w:val="001100F9"/>
    <w:rsid w:val="00110960"/>
    <w:rsid w:val="00110B45"/>
    <w:rsid w:val="00110DCD"/>
    <w:rsid w:val="00111493"/>
    <w:rsid w:val="0011162B"/>
    <w:rsid w:val="0011169C"/>
    <w:rsid w:val="001116A6"/>
    <w:rsid w:val="0011212C"/>
    <w:rsid w:val="00112684"/>
    <w:rsid w:val="0011395A"/>
    <w:rsid w:val="0011421A"/>
    <w:rsid w:val="0011441B"/>
    <w:rsid w:val="00115A51"/>
    <w:rsid w:val="00115A54"/>
    <w:rsid w:val="00115D32"/>
    <w:rsid w:val="00116537"/>
    <w:rsid w:val="00116791"/>
    <w:rsid w:val="0011697F"/>
    <w:rsid w:val="00117636"/>
    <w:rsid w:val="00117A8C"/>
    <w:rsid w:val="001202F5"/>
    <w:rsid w:val="001208C4"/>
    <w:rsid w:val="00120B70"/>
    <w:rsid w:val="00121451"/>
    <w:rsid w:val="0012148E"/>
    <w:rsid w:val="00121613"/>
    <w:rsid w:val="00121702"/>
    <w:rsid w:val="00121ED9"/>
    <w:rsid w:val="001224FD"/>
    <w:rsid w:val="0012256D"/>
    <w:rsid w:val="00122AD8"/>
    <w:rsid w:val="00123846"/>
    <w:rsid w:val="00123A41"/>
    <w:rsid w:val="0012461F"/>
    <w:rsid w:val="00125BE2"/>
    <w:rsid w:val="001267E4"/>
    <w:rsid w:val="00126BDE"/>
    <w:rsid w:val="00126D9F"/>
    <w:rsid w:val="00127617"/>
    <w:rsid w:val="00127C33"/>
    <w:rsid w:val="00127EFD"/>
    <w:rsid w:val="0013024E"/>
    <w:rsid w:val="00130917"/>
    <w:rsid w:val="00130B40"/>
    <w:rsid w:val="00130B47"/>
    <w:rsid w:val="001311A5"/>
    <w:rsid w:val="001311B9"/>
    <w:rsid w:val="00131A83"/>
    <w:rsid w:val="00131F9B"/>
    <w:rsid w:val="001323E7"/>
    <w:rsid w:val="00132D67"/>
    <w:rsid w:val="0013317A"/>
    <w:rsid w:val="001334A4"/>
    <w:rsid w:val="001341FE"/>
    <w:rsid w:val="001350C1"/>
    <w:rsid w:val="001350C5"/>
    <w:rsid w:val="00135414"/>
    <w:rsid w:val="001361DC"/>
    <w:rsid w:val="00136313"/>
    <w:rsid w:val="001368AD"/>
    <w:rsid w:val="00136AA3"/>
    <w:rsid w:val="00136CB4"/>
    <w:rsid w:val="00136DC8"/>
    <w:rsid w:val="00136F0B"/>
    <w:rsid w:val="001376DD"/>
    <w:rsid w:val="001401A7"/>
    <w:rsid w:val="00140892"/>
    <w:rsid w:val="00140AC4"/>
    <w:rsid w:val="0014105B"/>
    <w:rsid w:val="00141352"/>
    <w:rsid w:val="0014181B"/>
    <w:rsid w:val="00141AFD"/>
    <w:rsid w:val="00142337"/>
    <w:rsid w:val="001426D3"/>
    <w:rsid w:val="00142CCB"/>
    <w:rsid w:val="00142CEA"/>
    <w:rsid w:val="00142D00"/>
    <w:rsid w:val="00143243"/>
    <w:rsid w:val="001435CD"/>
    <w:rsid w:val="00143E30"/>
    <w:rsid w:val="00144298"/>
    <w:rsid w:val="00144BCA"/>
    <w:rsid w:val="00144DBD"/>
    <w:rsid w:val="001455A4"/>
    <w:rsid w:val="00145765"/>
    <w:rsid w:val="00145A5A"/>
    <w:rsid w:val="00145D2C"/>
    <w:rsid w:val="00145FAC"/>
    <w:rsid w:val="001461B3"/>
    <w:rsid w:val="00146386"/>
    <w:rsid w:val="0014682B"/>
    <w:rsid w:val="00146C21"/>
    <w:rsid w:val="00147106"/>
    <w:rsid w:val="001472B6"/>
    <w:rsid w:val="0014785C"/>
    <w:rsid w:val="00147C03"/>
    <w:rsid w:val="00147F79"/>
    <w:rsid w:val="00150080"/>
    <w:rsid w:val="0015025B"/>
    <w:rsid w:val="001502B0"/>
    <w:rsid w:val="0015080B"/>
    <w:rsid w:val="00151058"/>
    <w:rsid w:val="001516A8"/>
    <w:rsid w:val="00151EF9"/>
    <w:rsid w:val="00152132"/>
    <w:rsid w:val="001534FF"/>
    <w:rsid w:val="001535C1"/>
    <w:rsid w:val="001536EB"/>
    <w:rsid w:val="001537BD"/>
    <w:rsid w:val="00153943"/>
    <w:rsid w:val="001539F2"/>
    <w:rsid w:val="00153D3E"/>
    <w:rsid w:val="001542E3"/>
    <w:rsid w:val="0015447B"/>
    <w:rsid w:val="00154511"/>
    <w:rsid w:val="00154A59"/>
    <w:rsid w:val="00155176"/>
    <w:rsid w:val="00155701"/>
    <w:rsid w:val="00155FAF"/>
    <w:rsid w:val="00156333"/>
    <w:rsid w:val="001567E6"/>
    <w:rsid w:val="001567E7"/>
    <w:rsid w:val="00156C0D"/>
    <w:rsid w:val="00157088"/>
    <w:rsid w:val="0015747F"/>
    <w:rsid w:val="00157C49"/>
    <w:rsid w:val="00157E59"/>
    <w:rsid w:val="00160757"/>
    <w:rsid w:val="00160A3C"/>
    <w:rsid w:val="00160D4D"/>
    <w:rsid w:val="00160F24"/>
    <w:rsid w:val="001624C1"/>
    <w:rsid w:val="001626EF"/>
    <w:rsid w:val="00162D03"/>
    <w:rsid w:val="001630D1"/>
    <w:rsid w:val="0016330C"/>
    <w:rsid w:val="00163AAE"/>
    <w:rsid w:val="00163C41"/>
    <w:rsid w:val="00163E8A"/>
    <w:rsid w:val="00164558"/>
    <w:rsid w:val="00164701"/>
    <w:rsid w:val="001649BB"/>
    <w:rsid w:val="00166027"/>
    <w:rsid w:val="00166183"/>
    <w:rsid w:val="00166202"/>
    <w:rsid w:val="00166B24"/>
    <w:rsid w:val="00166B2E"/>
    <w:rsid w:val="00166B88"/>
    <w:rsid w:val="00166BA0"/>
    <w:rsid w:val="001673C1"/>
    <w:rsid w:val="0016774A"/>
    <w:rsid w:val="001704C5"/>
    <w:rsid w:val="00170650"/>
    <w:rsid w:val="00170846"/>
    <w:rsid w:val="001708FF"/>
    <w:rsid w:val="00171426"/>
    <w:rsid w:val="00171435"/>
    <w:rsid w:val="0017161B"/>
    <w:rsid w:val="00171C5D"/>
    <w:rsid w:val="00171D4E"/>
    <w:rsid w:val="00171FD3"/>
    <w:rsid w:val="00171FFE"/>
    <w:rsid w:val="00172F48"/>
    <w:rsid w:val="0017339B"/>
    <w:rsid w:val="0017359D"/>
    <w:rsid w:val="001738B0"/>
    <w:rsid w:val="001742E6"/>
    <w:rsid w:val="001747E4"/>
    <w:rsid w:val="00175484"/>
    <w:rsid w:val="00175CB7"/>
    <w:rsid w:val="00175E6D"/>
    <w:rsid w:val="00176577"/>
    <w:rsid w:val="00176729"/>
    <w:rsid w:val="00176796"/>
    <w:rsid w:val="00180370"/>
    <w:rsid w:val="0018075B"/>
    <w:rsid w:val="00180814"/>
    <w:rsid w:val="00180B95"/>
    <w:rsid w:val="00180D14"/>
    <w:rsid w:val="00180D7E"/>
    <w:rsid w:val="00181269"/>
    <w:rsid w:val="00181D50"/>
    <w:rsid w:val="00181D8F"/>
    <w:rsid w:val="00182FB0"/>
    <w:rsid w:val="00183165"/>
    <w:rsid w:val="0018391C"/>
    <w:rsid w:val="001848AF"/>
    <w:rsid w:val="001854F3"/>
    <w:rsid w:val="00186889"/>
    <w:rsid w:val="00186917"/>
    <w:rsid w:val="00186BC0"/>
    <w:rsid w:val="00187502"/>
    <w:rsid w:val="001875DC"/>
    <w:rsid w:val="00187745"/>
    <w:rsid w:val="00187933"/>
    <w:rsid w:val="00191E99"/>
    <w:rsid w:val="00192809"/>
    <w:rsid w:val="00192E62"/>
    <w:rsid w:val="0019328E"/>
    <w:rsid w:val="00193348"/>
    <w:rsid w:val="00193646"/>
    <w:rsid w:val="001939C6"/>
    <w:rsid w:val="00193B3B"/>
    <w:rsid w:val="00194112"/>
    <w:rsid w:val="001944FB"/>
    <w:rsid w:val="001946CE"/>
    <w:rsid w:val="001948D6"/>
    <w:rsid w:val="00194E29"/>
    <w:rsid w:val="00194FA9"/>
    <w:rsid w:val="0019556C"/>
    <w:rsid w:val="0019570F"/>
    <w:rsid w:val="00195B55"/>
    <w:rsid w:val="00195C8C"/>
    <w:rsid w:val="001961E3"/>
    <w:rsid w:val="00196552"/>
    <w:rsid w:val="001A0142"/>
    <w:rsid w:val="001A047F"/>
    <w:rsid w:val="001A095C"/>
    <w:rsid w:val="001A1FF2"/>
    <w:rsid w:val="001A33F4"/>
    <w:rsid w:val="001A3ECC"/>
    <w:rsid w:val="001A44A5"/>
    <w:rsid w:val="001A44E0"/>
    <w:rsid w:val="001A4E74"/>
    <w:rsid w:val="001A5A95"/>
    <w:rsid w:val="001A5EDF"/>
    <w:rsid w:val="001A6067"/>
    <w:rsid w:val="001A62F4"/>
    <w:rsid w:val="001A7E5B"/>
    <w:rsid w:val="001A7F01"/>
    <w:rsid w:val="001B0A19"/>
    <w:rsid w:val="001B0E3B"/>
    <w:rsid w:val="001B139A"/>
    <w:rsid w:val="001B1A19"/>
    <w:rsid w:val="001B1EFB"/>
    <w:rsid w:val="001B30D0"/>
    <w:rsid w:val="001B33F5"/>
    <w:rsid w:val="001B34CD"/>
    <w:rsid w:val="001B3721"/>
    <w:rsid w:val="001B39B4"/>
    <w:rsid w:val="001B3B3E"/>
    <w:rsid w:val="001B41C8"/>
    <w:rsid w:val="001B4261"/>
    <w:rsid w:val="001B42C1"/>
    <w:rsid w:val="001B6D21"/>
    <w:rsid w:val="001B6D92"/>
    <w:rsid w:val="001B7513"/>
    <w:rsid w:val="001B792E"/>
    <w:rsid w:val="001B7E91"/>
    <w:rsid w:val="001C001B"/>
    <w:rsid w:val="001C06A7"/>
    <w:rsid w:val="001C1962"/>
    <w:rsid w:val="001C1EAB"/>
    <w:rsid w:val="001C21C1"/>
    <w:rsid w:val="001C2ABE"/>
    <w:rsid w:val="001C332E"/>
    <w:rsid w:val="001C36FA"/>
    <w:rsid w:val="001C3760"/>
    <w:rsid w:val="001C3785"/>
    <w:rsid w:val="001C3B11"/>
    <w:rsid w:val="001C3E5F"/>
    <w:rsid w:val="001C3EBF"/>
    <w:rsid w:val="001C3F74"/>
    <w:rsid w:val="001C404E"/>
    <w:rsid w:val="001C4371"/>
    <w:rsid w:val="001C4A29"/>
    <w:rsid w:val="001C5CAD"/>
    <w:rsid w:val="001C5CB0"/>
    <w:rsid w:val="001C60E8"/>
    <w:rsid w:val="001C614E"/>
    <w:rsid w:val="001C6465"/>
    <w:rsid w:val="001C6863"/>
    <w:rsid w:val="001C68C3"/>
    <w:rsid w:val="001C6FDB"/>
    <w:rsid w:val="001C75A2"/>
    <w:rsid w:val="001C7980"/>
    <w:rsid w:val="001C7AC4"/>
    <w:rsid w:val="001D03DE"/>
    <w:rsid w:val="001D15B1"/>
    <w:rsid w:val="001D16AF"/>
    <w:rsid w:val="001D2A09"/>
    <w:rsid w:val="001D48AE"/>
    <w:rsid w:val="001D4B4E"/>
    <w:rsid w:val="001D50B1"/>
    <w:rsid w:val="001D552C"/>
    <w:rsid w:val="001D55BC"/>
    <w:rsid w:val="001D5DD5"/>
    <w:rsid w:val="001D63C2"/>
    <w:rsid w:val="001D70DD"/>
    <w:rsid w:val="001D7295"/>
    <w:rsid w:val="001D73BB"/>
    <w:rsid w:val="001D76A8"/>
    <w:rsid w:val="001D7FF4"/>
    <w:rsid w:val="001E0280"/>
    <w:rsid w:val="001E0FB9"/>
    <w:rsid w:val="001E17BC"/>
    <w:rsid w:val="001E2409"/>
    <w:rsid w:val="001E2AEC"/>
    <w:rsid w:val="001E33A3"/>
    <w:rsid w:val="001E34CA"/>
    <w:rsid w:val="001E3507"/>
    <w:rsid w:val="001E3DC2"/>
    <w:rsid w:val="001E422F"/>
    <w:rsid w:val="001E44AF"/>
    <w:rsid w:val="001E4EE8"/>
    <w:rsid w:val="001E5138"/>
    <w:rsid w:val="001E5518"/>
    <w:rsid w:val="001E585A"/>
    <w:rsid w:val="001E5C54"/>
    <w:rsid w:val="001E633A"/>
    <w:rsid w:val="001E70D6"/>
    <w:rsid w:val="001F036F"/>
    <w:rsid w:val="001F0BAF"/>
    <w:rsid w:val="001F0CB5"/>
    <w:rsid w:val="001F0FE3"/>
    <w:rsid w:val="001F10A0"/>
    <w:rsid w:val="001F1137"/>
    <w:rsid w:val="001F2E36"/>
    <w:rsid w:val="001F31BD"/>
    <w:rsid w:val="001F392B"/>
    <w:rsid w:val="001F3B8B"/>
    <w:rsid w:val="001F3FF7"/>
    <w:rsid w:val="001F42E1"/>
    <w:rsid w:val="001F4500"/>
    <w:rsid w:val="001F5092"/>
    <w:rsid w:val="001F50B7"/>
    <w:rsid w:val="001F5596"/>
    <w:rsid w:val="001F5762"/>
    <w:rsid w:val="001F59A0"/>
    <w:rsid w:val="001F5A78"/>
    <w:rsid w:val="001F5BC5"/>
    <w:rsid w:val="001F5F1C"/>
    <w:rsid w:val="001F6423"/>
    <w:rsid w:val="001F65EA"/>
    <w:rsid w:val="001F6B6B"/>
    <w:rsid w:val="001F6D4A"/>
    <w:rsid w:val="001F6D5B"/>
    <w:rsid w:val="001F70C8"/>
    <w:rsid w:val="001F730A"/>
    <w:rsid w:val="001F7A07"/>
    <w:rsid w:val="001F7E71"/>
    <w:rsid w:val="00200352"/>
    <w:rsid w:val="0020039D"/>
    <w:rsid w:val="00200573"/>
    <w:rsid w:val="00200931"/>
    <w:rsid w:val="00201293"/>
    <w:rsid w:val="0020171B"/>
    <w:rsid w:val="00201A90"/>
    <w:rsid w:val="002022AE"/>
    <w:rsid w:val="002022B9"/>
    <w:rsid w:val="002025E4"/>
    <w:rsid w:val="00202C3F"/>
    <w:rsid w:val="00203115"/>
    <w:rsid w:val="00203163"/>
    <w:rsid w:val="002037F1"/>
    <w:rsid w:val="00203967"/>
    <w:rsid w:val="00203EF2"/>
    <w:rsid w:val="00204E3D"/>
    <w:rsid w:val="00204FB3"/>
    <w:rsid w:val="00204FD1"/>
    <w:rsid w:val="00205840"/>
    <w:rsid w:val="00205BCE"/>
    <w:rsid w:val="00205EFD"/>
    <w:rsid w:val="002060E0"/>
    <w:rsid w:val="00206628"/>
    <w:rsid w:val="0020663B"/>
    <w:rsid w:val="002066C6"/>
    <w:rsid w:val="00206755"/>
    <w:rsid w:val="00210631"/>
    <w:rsid w:val="00210654"/>
    <w:rsid w:val="00210C84"/>
    <w:rsid w:val="002113BC"/>
    <w:rsid w:val="0021171A"/>
    <w:rsid w:val="002123A6"/>
    <w:rsid w:val="002123EA"/>
    <w:rsid w:val="0021260D"/>
    <w:rsid w:val="002137B7"/>
    <w:rsid w:val="002139D6"/>
    <w:rsid w:val="00213A3B"/>
    <w:rsid w:val="00213DA3"/>
    <w:rsid w:val="00213E78"/>
    <w:rsid w:val="002152D8"/>
    <w:rsid w:val="00215A86"/>
    <w:rsid w:val="00215CF9"/>
    <w:rsid w:val="00215EEA"/>
    <w:rsid w:val="00216012"/>
    <w:rsid w:val="00216894"/>
    <w:rsid w:val="00216BE4"/>
    <w:rsid w:val="00216C6E"/>
    <w:rsid w:val="00217679"/>
    <w:rsid w:val="00217CAC"/>
    <w:rsid w:val="00217F29"/>
    <w:rsid w:val="002200F2"/>
    <w:rsid w:val="00220C85"/>
    <w:rsid w:val="0022128C"/>
    <w:rsid w:val="00222160"/>
    <w:rsid w:val="00222355"/>
    <w:rsid w:val="0022260D"/>
    <w:rsid w:val="002227D3"/>
    <w:rsid w:val="00222FA6"/>
    <w:rsid w:val="0022318E"/>
    <w:rsid w:val="002234F5"/>
    <w:rsid w:val="00223610"/>
    <w:rsid w:val="002236A2"/>
    <w:rsid w:val="002240AB"/>
    <w:rsid w:val="002243E8"/>
    <w:rsid w:val="0022444D"/>
    <w:rsid w:val="00224C0B"/>
    <w:rsid w:val="00225D8F"/>
    <w:rsid w:val="002262FC"/>
    <w:rsid w:val="002265B4"/>
    <w:rsid w:val="00226AEF"/>
    <w:rsid w:val="0022785B"/>
    <w:rsid w:val="00227D54"/>
    <w:rsid w:val="00227EA0"/>
    <w:rsid w:val="00227EBF"/>
    <w:rsid w:val="00230D58"/>
    <w:rsid w:val="00230E4B"/>
    <w:rsid w:val="0023112C"/>
    <w:rsid w:val="0023192E"/>
    <w:rsid w:val="0023199A"/>
    <w:rsid w:val="0023245E"/>
    <w:rsid w:val="0023256E"/>
    <w:rsid w:val="002325C2"/>
    <w:rsid w:val="00232E6C"/>
    <w:rsid w:val="00233571"/>
    <w:rsid w:val="002336B0"/>
    <w:rsid w:val="00233918"/>
    <w:rsid w:val="002339F5"/>
    <w:rsid w:val="00233D81"/>
    <w:rsid w:val="002340FA"/>
    <w:rsid w:val="00234461"/>
    <w:rsid w:val="00234A1C"/>
    <w:rsid w:val="00235315"/>
    <w:rsid w:val="0023571D"/>
    <w:rsid w:val="00236201"/>
    <w:rsid w:val="00236269"/>
    <w:rsid w:val="00236352"/>
    <w:rsid w:val="00236413"/>
    <w:rsid w:val="0023652F"/>
    <w:rsid w:val="002365FF"/>
    <w:rsid w:val="00236649"/>
    <w:rsid w:val="00240490"/>
    <w:rsid w:val="002404D3"/>
    <w:rsid w:val="0024059B"/>
    <w:rsid w:val="002405F1"/>
    <w:rsid w:val="00240814"/>
    <w:rsid w:val="00241273"/>
    <w:rsid w:val="002413E0"/>
    <w:rsid w:val="002420AA"/>
    <w:rsid w:val="002422E1"/>
    <w:rsid w:val="00242EB1"/>
    <w:rsid w:val="00242F86"/>
    <w:rsid w:val="00243051"/>
    <w:rsid w:val="002432C3"/>
    <w:rsid w:val="0024354B"/>
    <w:rsid w:val="002435FF"/>
    <w:rsid w:val="00243D24"/>
    <w:rsid w:val="002449F1"/>
    <w:rsid w:val="00245463"/>
    <w:rsid w:val="00245705"/>
    <w:rsid w:val="0024659F"/>
    <w:rsid w:val="0024691D"/>
    <w:rsid w:val="00247124"/>
    <w:rsid w:val="00247143"/>
    <w:rsid w:val="00247441"/>
    <w:rsid w:val="00247A42"/>
    <w:rsid w:val="00250030"/>
    <w:rsid w:val="00250039"/>
    <w:rsid w:val="0025004A"/>
    <w:rsid w:val="00250828"/>
    <w:rsid w:val="00250836"/>
    <w:rsid w:val="002511B4"/>
    <w:rsid w:val="002516FB"/>
    <w:rsid w:val="002526D9"/>
    <w:rsid w:val="002528F7"/>
    <w:rsid w:val="0025295B"/>
    <w:rsid w:val="00252DF5"/>
    <w:rsid w:val="00253170"/>
    <w:rsid w:val="002532BF"/>
    <w:rsid w:val="00253AE5"/>
    <w:rsid w:val="00254124"/>
    <w:rsid w:val="002542AF"/>
    <w:rsid w:val="0025449A"/>
    <w:rsid w:val="002547F7"/>
    <w:rsid w:val="0025483E"/>
    <w:rsid w:val="002557B7"/>
    <w:rsid w:val="00255F17"/>
    <w:rsid w:val="00255FA7"/>
    <w:rsid w:val="00256799"/>
    <w:rsid w:val="00256B7C"/>
    <w:rsid w:val="00256F90"/>
    <w:rsid w:val="00257881"/>
    <w:rsid w:val="0025788D"/>
    <w:rsid w:val="00260267"/>
    <w:rsid w:val="00260422"/>
    <w:rsid w:val="0026082F"/>
    <w:rsid w:val="00260B1D"/>
    <w:rsid w:val="0026136A"/>
    <w:rsid w:val="00261AC3"/>
    <w:rsid w:val="00261E21"/>
    <w:rsid w:val="00262619"/>
    <w:rsid w:val="00262804"/>
    <w:rsid w:val="00262819"/>
    <w:rsid w:val="00262B22"/>
    <w:rsid w:val="0026373B"/>
    <w:rsid w:val="00263932"/>
    <w:rsid w:val="00263E57"/>
    <w:rsid w:val="00265EA2"/>
    <w:rsid w:val="00266465"/>
    <w:rsid w:val="002664F7"/>
    <w:rsid w:val="00267211"/>
    <w:rsid w:val="00267745"/>
    <w:rsid w:val="00267D14"/>
    <w:rsid w:val="002702CB"/>
    <w:rsid w:val="00270576"/>
    <w:rsid w:val="002710E3"/>
    <w:rsid w:val="00271CF4"/>
    <w:rsid w:val="00271FF9"/>
    <w:rsid w:val="002725A1"/>
    <w:rsid w:val="002725CC"/>
    <w:rsid w:val="00272A5D"/>
    <w:rsid w:val="002731A0"/>
    <w:rsid w:val="002732BE"/>
    <w:rsid w:val="002735C9"/>
    <w:rsid w:val="00273AA8"/>
    <w:rsid w:val="00273C8F"/>
    <w:rsid w:val="00273CC8"/>
    <w:rsid w:val="00273ECA"/>
    <w:rsid w:val="002740AE"/>
    <w:rsid w:val="002744EF"/>
    <w:rsid w:val="0027491D"/>
    <w:rsid w:val="00274F43"/>
    <w:rsid w:val="00275783"/>
    <w:rsid w:val="00275818"/>
    <w:rsid w:val="00275BA6"/>
    <w:rsid w:val="0027740E"/>
    <w:rsid w:val="0027749E"/>
    <w:rsid w:val="0027784D"/>
    <w:rsid w:val="00280380"/>
    <w:rsid w:val="00280803"/>
    <w:rsid w:val="00280EFD"/>
    <w:rsid w:val="00281157"/>
    <w:rsid w:val="0028234C"/>
    <w:rsid w:val="00282CB2"/>
    <w:rsid w:val="00282D55"/>
    <w:rsid w:val="00283322"/>
    <w:rsid w:val="00283E1D"/>
    <w:rsid w:val="00284BA1"/>
    <w:rsid w:val="002851C2"/>
    <w:rsid w:val="00285BEA"/>
    <w:rsid w:val="00285EDE"/>
    <w:rsid w:val="00285EEB"/>
    <w:rsid w:val="002868E0"/>
    <w:rsid w:val="002869B3"/>
    <w:rsid w:val="00286A80"/>
    <w:rsid w:val="00287386"/>
    <w:rsid w:val="00287464"/>
    <w:rsid w:val="00287DE0"/>
    <w:rsid w:val="002909CF"/>
    <w:rsid w:val="00290C7E"/>
    <w:rsid w:val="002910F8"/>
    <w:rsid w:val="00291971"/>
    <w:rsid w:val="00291AC3"/>
    <w:rsid w:val="00291F3D"/>
    <w:rsid w:val="00292596"/>
    <w:rsid w:val="00292A1C"/>
    <w:rsid w:val="00292DB7"/>
    <w:rsid w:val="00292F86"/>
    <w:rsid w:val="00293136"/>
    <w:rsid w:val="002932D2"/>
    <w:rsid w:val="0029346C"/>
    <w:rsid w:val="0029360D"/>
    <w:rsid w:val="0029382D"/>
    <w:rsid w:val="00293D31"/>
    <w:rsid w:val="0029412A"/>
    <w:rsid w:val="002943B6"/>
    <w:rsid w:val="00294B89"/>
    <w:rsid w:val="00295266"/>
    <w:rsid w:val="0029686D"/>
    <w:rsid w:val="00296CEC"/>
    <w:rsid w:val="00297ACA"/>
    <w:rsid w:val="00297F49"/>
    <w:rsid w:val="002A000C"/>
    <w:rsid w:val="002A009C"/>
    <w:rsid w:val="002A0718"/>
    <w:rsid w:val="002A088E"/>
    <w:rsid w:val="002A0A03"/>
    <w:rsid w:val="002A0DC7"/>
    <w:rsid w:val="002A1121"/>
    <w:rsid w:val="002A1181"/>
    <w:rsid w:val="002A1326"/>
    <w:rsid w:val="002A18B7"/>
    <w:rsid w:val="002A20F0"/>
    <w:rsid w:val="002A22E9"/>
    <w:rsid w:val="002A24D6"/>
    <w:rsid w:val="002A35D1"/>
    <w:rsid w:val="002A3B9C"/>
    <w:rsid w:val="002A4053"/>
    <w:rsid w:val="002A41A6"/>
    <w:rsid w:val="002A4265"/>
    <w:rsid w:val="002A4273"/>
    <w:rsid w:val="002A59DC"/>
    <w:rsid w:val="002A600F"/>
    <w:rsid w:val="002A6031"/>
    <w:rsid w:val="002A618B"/>
    <w:rsid w:val="002A673C"/>
    <w:rsid w:val="002A6FE1"/>
    <w:rsid w:val="002A7223"/>
    <w:rsid w:val="002A75D1"/>
    <w:rsid w:val="002A7952"/>
    <w:rsid w:val="002B0185"/>
    <w:rsid w:val="002B01CA"/>
    <w:rsid w:val="002B0561"/>
    <w:rsid w:val="002B1CA7"/>
    <w:rsid w:val="002B2412"/>
    <w:rsid w:val="002B2A63"/>
    <w:rsid w:val="002B31E1"/>
    <w:rsid w:val="002B323D"/>
    <w:rsid w:val="002B37C5"/>
    <w:rsid w:val="002B4965"/>
    <w:rsid w:val="002B4B42"/>
    <w:rsid w:val="002B4D57"/>
    <w:rsid w:val="002B5640"/>
    <w:rsid w:val="002B5A42"/>
    <w:rsid w:val="002B5A9E"/>
    <w:rsid w:val="002B6178"/>
    <w:rsid w:val="002B63AF"/>
    <w:rsid w:val="002B691D"/>
    <w:rsid w:val="002B7A1B"/>
    <w:rsid w:val="002B7E01"/>
    <w:rsid w:val="002B7EF1"/>
    <w:rsid w:val="002C05B2"/>
    <w:rsid w:val="002C0650"/>
    <w:rsid w:val="002C06B5"/>
    <w:rsid w:val="002C0C85"/>
    <w:rsid w:val="002C0CFA"/>
    <w:rsid w:val="002C0EE0"/>
    <w:rsid w:val="002C1243"/>
    <w:rsid w:val="002C1381"/>
    <w:rsid w:val="002C1519"/>
    <w:rsid w:val="002C1664"/>
    <w:rsid w:val="002C1B65"/>
    <w:rsid w:val="002C1D6D"/>
    <w:rsid w:val="002C1E29"/>
    <w:rsid w:val="002C1F33"/>
    <w:rsid w:val="002C1F7C"/>
    <w:rsid w:val="002C2730"/>
    <w:rsid w:val="002C2D1C"/>
    <w:rsid w:val="002C32E1"/>
    <w:rsid w:val="002C3639"/>
    <w:rsid w:val="002C37B2"/>
    <w:rsid w:val="002C42D1"/>
    <w:rsid w:val="002C448F"/>
    <w:rsid w:val="002C459D"/>
    <w:rsid w:val="002C4F7D"/>
    <w:rsid w:val="002C5493"/>
    <w:rsid w:val="002C5556"/>
    <w:rsid w:val="002C6293"/>
    <w:rsid w:val="002C74EA"/>
    <w:rsid w:val="002C7958"/>
    <w:rsid w:val="002C7E84"/>
    <w:rsid w:val="002D0075"/>
    <w:rsid w:val="002D0246"/>
    <w:rsid w:val="002D05C6"/>
    <w:rsid w:val="002D0D26"/>
    <w:rsid w:val="002D237F"/>
    <w:rsid w:val="002D24FE"/>
    <w:rsid w:val="002D2E35"/>
    <w:rsid w:val="002D306A"/>
    <w:rsid w:val="002D34DF"/>
    <w:rsid w:val="002D3815"/>
    <w:rsid w:val="002D436D"/>
    <w:rsid w:val="002D4A60"/>
    <w:rsid w:val="002D4AF8"/>
    <w:rsid w:val="002D4B47"/>
    <w:rsid w:val="002D4F8B"/>
    <w:rsid w:val="002D516C"/>
    <w:rsid w:val="002D58FC"/>
    <w:rsid w:val="002D59C3"/>
    <w:rsid w:val="002D5AE6"/>
    <w:rsid w:val="002D6020"/>
    <w:rsid w:val="002D6195"/>
    <w:rsid w:val="002D61EB"/>
    <w:rsid w:val="002D71C8"/>
    <w:rsid w:val="002D75AA"/>
    <w:rsid w:val="002D7BAE"/>
    <w:rsid w:val="002E0489"/>
    <w:rsid w:val="002E0A87"/>
    <w:rsid w:val="002E0C55"/>
    <w:rsid w:val="002E0E36"/>
    <w:rsid w:val="002E132C"/>
    <w:rsid w:val="002E16CB"/>
    <w:rsid w:val="002E1C1D"/>
    <w:rsid w:val="002E21C9"/>
    <w:rsid w:val="002E259F"/>
    <w:rsid w:val="002E29F6"/>
    <w:rsid w:val="002E36C7"/>
    <w:rsid w:val="002E3DFA"/>
    <w:rsid w:val="002E49B5"/>
    <w:rsid w:val="002E5C1B"/>
    <w:rsid w:val="002E5F3D"/>
    <w:rsid w:val="002E61F7"/>
    <w:rsid w:val="002E6223"/>
    <w:rsid w:val="002E6AA4"/>
    <w:rsid w:val="002E7528"/>
    <w:rsid w:val="002E758E"/>
    <w:rsid w:val="002E76BF"/>
    <w:rsid w:val="002E7CA5"/>
    <w:rsid w:val="002F02E1"/>
    <w:rsid w:val="002F07C8"/>
    <w:rsid w:val="002F0D08"/>
    <w:rsid w:val="002F184F"/>
    <w:rsid w:val="002F2021"/>
    <w:rsid w:val="002F2283"/>
    <w:rsid w:val="002F28AB"/>
    <w:rsid w:val="002F2EF5"/>
    <w:rsid w:val="002F38AE"/>
    <w:rsid w:val="002F38BF"/>
    <w:rsid w:val="002F42B5"/>
    <w:rsid w:val="002F4ED6"/>
    <w:rsid w:val="002F52DC"/>
    <w:rsid w:val="002F5474"/>
    <w:rsid w:val="002F63C2"/>
    <w:rsid w:val="002F673A"/>
    <w:rsid w:val="002F6C99"/>
    <w:rsid w:val="002F7224"/>
    <w:rsid w:val="002F769E"/>
    <w:rsid w:val="002F78C6"/>
    <w:rsid w:val="002F7CB4"/>
    <w:rsid w:val="0030039A"/>
    <w:rsid w:val="003009E1"/>
    <w:rsid w:val="00301200"/>
    <w:rsid w:val="003016CD"/>
    <w:rsid w:val="00301855"/>
    <w:rsid w:val="0030214A"/>
    <w:rsid w:val="003027D5"/>
    <w:rsid w:val="0030286E"/>
    <w:rsid w:val="003034BE"/>
    <w:rsid w:val="003038EB"/>
    <w:rsid w:val="00303AC0"/>
    <w:rsid w:val="00303F18"/>
    <w:rsid w:val="00304074"/>
    <w:rsid w:val="003040F0"/>
    <w:rsid w:val="003046EE"/>
    <w:rsid w:val="00304825"/>
    <w:rsid w:val="00305175"/>
    <w:rsid w:val="00305714"/>
    <w:rsid w:val="00306A0C"/>
    <w:rsid w:val="00307667"/>
    <w:rsid w:val="0030785D"/>
    <w:rsid w:val="0030792A"/>
    <w:rsid w:val="00307B5E"/>
    <w:rsid w:val="00307C87"/>
    <w:rsid w:val="003107FC"/>
    <w:rsid w:val="0031080A"/>
    <w:rsid w:val="00310ADB"/>
    <w:rsid w:val="00310BFD"/>
    <w:rsid w:val="00311072"/>
    <w:rsid w:val="00311238"/>
    <w:rsid w:val="00312169"/>
    <w:rsid w:val="003125B2"/>
    <w:rsid w:val="003127FB"/>
    <w:rsid w:val="00312AA7"/>
    <w:rsid w:val="00313BAE"/>
    <w:rsid w:val="00313BBD"/>
    <w:rsid w:val="00313C07"/>
    <w:rsid w:val="00313C60"/>
    <w:rsid w:val="00313EFA"/>
    <w:rsid w:val="00313FC1"/>
    <w:rsid w:val="0031481D"/>
    <w:rsid w:val="00315345"/>
    <w:rsid w:val="0031570A"/>
    <w:rsid w:val="00315E08"/>
    <w:rsid w:val="00315FF2"/>
    <w:rsid w:val="00317001"/>
    <w:rsid w:val="003179C3"/>
    <w:rsid w:val="00317DF4"/>
    <w:rsid w:val="0032025C"/>
    <w:rsid w:val="00320406"/>
    <w:rsid w:val="00320558"/>
    <w:rsid w:val="00320AF9"/>
    <w:rsid w:val="003218FE"/>
    <w:rsid w:val="00321BD4"/>
    <w:rsid w:val="00321EB6"/>
    <w:rsid w:val="003221EA"/>
    <w:rsid w:val="00322245"/>
    <w:rsid w:val="00322555"/>
    <w:rsid w:val="00322587"/>
    <w:rsid w:val="00322C39"/>
    <w:rsid w:val="00322F15"/>
    <w:rsid w:val="003231D4"/>
    <w:rsid w:val="003239B5"/>
    <w:rsid w:val="00323FFE"/>
    <w:rsid w:val="003240DE"/>
    <w:rsid w:val="0032449B"/>
    <w:rsid w:val="0032493C"/>
    <w:rsid w:val="003253A8"/>
    <w:rsid w:val="003257FA"/>
    <w:rsid w:val="00325B93"/>
    <w:rsid w:val="0032647B"/>
    <w:rsid w:val="0032654E"/>
    <w:rsid w:val="0032726A"/>
    <w:rsid w:val="0033028B"/>
    <w:rsid w:val="00330CC0"/>
    <w:rsid w:val="003315BB"/>
    <w:rsid w:val="003323CF"/>
    <w:rsid w:val="00332652"/>
    <w:rsid w:val="003328A1"/>
    <w:rsid w:val="00332B2D"/>
    <w:rsid w:val="00333188"/>
    <w:rsid w:val="00333242"/>
    <w:rsid w:val="00334478"/>
    <w:rsid w:val="003345A6"/>
    <w:rsid w:val="00334929"/>
    <w:rsid w:val="0033544E"/>
    <w:rsid w:val="00335615"/>
    <w:rsid w:val="00336360"/>
    <w:rsid w:val="00336AD8"/>
    <w:rsid w:val="00336CFF"/>
    <w:rsid w:val="0033760E"/>
    <w:rsid w:val="0033790B"/>
    <w:rsid w:val="00337B59"/>
    <w:rsid w:val="00340450"/>
    <w:rsid w:val="003406D5"/>
    <w:rsid w:val="00340762"/>
    <w:rsid w:val="003410FC"/>
    <w:rsid w:val="0034197F"/>
    <w:rsid w:val="003421F3"/>
    <w:rsid w:val="003428BB"/>
    <w:rsid w:val="00342993"/>
    <w:rsid w:val="00342C87"/>
    <w:rsid w:val="00342CA6"/>
    <w:rsid w:val="00342F4B"/>
    <w:rsid w:val="00343105"/>
    <w:rsid w:val="003433D8"/>
    <w:rsid w:val="00343582"/>
    <w:rsid w:val="0034421D"/>
    <w:rsid w:val="00345913"/>
    <w:rsid w:val="00346128"/>
    <w:rsid w:val="00346565"/>
    <w:rsid w:val="00346B13"/>
    <w:rsid w:val="003472F6"/>
    <w:rsid w:val="00347B11"/>
    <w:rsid w:val="00347D81"/>
    <w:rsid w:val="00350C24"/>
    <w:rsid w:val="00350F73"/>
    <w:rsid w:val="00351819"/>
    <w:rsid w:val="0035184F"/>
    <w:rsid w:val="00351AC3"/>
    <w:rsid w:val="00351B1C"/>
    <w:rsid w:val="00351BCC"/>
    <w:rsid w:val="00351E63"/>
    <w:rsid w:val="00351F0E"/>
    <w:rsid w:val="00352097"/>
    <w:rsid w:val="00352972"/>
    <w:rsid w:val="0035298E"/>
    <w:rsid w:val="00352A5B"/>
    <w:rsid w:val="00352BC9"/>
    <w:rsid w:val="003536F6"/>
    <w:rsid w:val="00353BEA"/>
    <w:rsid w:val="00353DCA"/>
    <w:rsid w:val="00354448"/>
    <w:rsid w:val="003548FA"/>
    <w:rsid w:val="0035496B"/>
    <w:rsid w:val="0035502E"/>
    <w:rsid w:val="003550DF"/>
    <w:rsid w:val="00355348"/>
    <w:rsid w:val="00356557"/>
    <w:rsid w:val="00356802"/>
    <w:rsid w:val="00356DDB"/>
    <w:rsid w:val="00357241"/>
    <w:rsid w:val="003572B4"/>
    <w:rsid w:val="0035766F"/>
    <w:rsid w:val="003577D3"/>
    <w:rsid w:val="00357A00"/>
    <w:rsid w:val="003602EE"/>
    <w:rsid w:val="00360456"/>
    <w:rsid w:val="003605B4"/>
    <w:rsid w:val="00360877"/>
    <w:rsid w:val="00360987"/>
    <w:rsid w:val="00361A15"/>
    <w:rsid w:val="00361D4E"/>
    <w:rsid w:val="00361F62"/>
    <w:rsid w:val="00362727"/>
    <w:rsid w:val="00362B01"/>
    <w:rsid w:val="00362CF8"/>
    <w:rsid w:val="00363606"/>
    <w:rsid w:val="00363BDC"/>
    <w:rsid w:val="0036444A"/>
    <w:rsid w:val="00365405"/>
    <w:rsid w:val="00365426"/>
    <w:rsid w:val="00365978"/>
    <w:rsid w:val="00365A32"/>
    <w:rsid w:val="0036712A"/>
    <w:rsid w:val="0036715B"/>
    <w:rsid w:val="003673D5"/>
    <w:rsid w:val="003674D8"/>
    <w:rsid w:val="0037132A"/>
    <w:rsid w:val="003719F6"/>
    <w:rsid w:val="00371A19"/>
    <w:rsid w:val="00371A1C"/>
    <w:rsid w:val="003723EC"/>
    <w:rsid w:val="0037274E"/>
    <w:rsid w:val="00372848"/>
    <w:rsid w:val="00373049"/>
    <w:rsid w:val="0037336B"/>
    <w:rsid w:val="00373891"/>
    <w:rsid w:val="0037486A"/>
    <w:rsid w:val="0037507A"/>
    <w:rsid w:val="00375D8E"/>
    <w:rsid w:val="00375FF9"/>
    <w:rsid w:val="00376CAD"/>
    <w:rsid w:val="0037706D"/>
    <w:rsid w:val="003773BC"/>
    <w:rsid w:val="00377F34"/>
    <w:rsid w:val="00380128"/>
    <w:rsid w:val="00380E14"/>
    <w:rsid w:val="003816AB"/>
    <w:rsid w:val="00381788"/>
    <w:rsid w:val="00381AC0"/>
    <w:rsid w:val="00381DEC"/>
    <w:rsid w:val="00381F9D"/>
    <w:rsid w:val="00382169"/>
    <w:rsid w:val="003821FE"/>
    <w:rsid w:val="0038263F"/>
    <w:rsid w:val="00382713"/>
    <w:rsid w:val="00382911"/>
    <w:rsid w:val="00382A74"/>
    <w:rsid w:val="00383275"/>
    <w:rsid w:val="003834FC"/>
    <w:rsid w:val="00383EE9"/>
    <w:rsid w:val="00384F76"/>
    <w:rsid w:val="00385024"/>
    <w:rsid w:val="0038503E"/>
    <w:rsid w:val="003850D0"/>
    <w:rsid w:val="00385251"/>
    <w:rsid w:val="00385D42"/>
    <w:rsid w:val="00385D53"/>
    <w:rsid w:val="00385E4B"/>
    <w:rsid w:val="003864D2"/>
    <w:rsid w:val="00386D54"/>
    <w:rsid w:val="00386EE0"/>
    <w:rsid w:val="00387141"/>
    <w:rsid w:val="0038762F"/>
    <w:rsid w:val="003878A4"/>
    <w:rsid w:val="00387981"/>
    <w:rsid w:val="00387DE0"/>
    <w:rsid w:val="003909AE"/>
    <w:rsid w:val="00390A4C"/>
    <w:rsid w:val="00390BB8"/>
    <w:rsid w:val="003916F1"/>
    <w:rsid w:val="003917A4"/>
    <w:rsid w:val="00391D02"/>
    <w:rsid w:val="00392A5C"/>
    <w:rsid w:val="003939AF"/>
    <w:rsid w:val="00394571"/>
    <w:rsid w:val="00394597"/>
    <w:rsid w:val="00395133"/>
    <w:rsid w:val="00395C27"/>
    <w:rsid w:val="00395E1D"/>
    <w:rsid w:val="00396023"/>
    <w:rsid w:val="003964F3"/>
    <w:rsid w:val="003968AE"/>
    <w:rsid w:val="00396EAF"/>
    <w:rsid w:val="00396FCE"/>
    <w:rsid w:val="0039749B"/>
    <w:rsid w:val="00397A90"/>
    <w:rsid w:val="003A0662"/>
    <w:rsid w:val="003A2644"/>
    <w:rsid w:val="003A26E3"/>
    <w:rsid w:val="003A3099"/>
    <w:rsid w:val="003A33CA"/>
    <w:rsid w:val="003A34A0"/>
    <w:rsid w:val="003A42F3"/>
    <w:rsid w:val="003A4847"/>
    <w:rsid w:val="003A4957"/>
    <w:rsid w:val="003A4B3A"/>
    <w:rsid w:val="003A4EA6"/>
    <w:rsid w:val="003A70D5"/>
    <w:rsid w:val="003A7407"/>
    <w:rsid w:val="003A7819"/>
    <w:rsid w:val="003A7F3C"/>
    <w:rsid w:val="003B01FF"/>
    <w:rsid w:val="003B0533"/>
    <w:rsid w:val="003B1185"/>
    <w:rsid w:val="003B1903"/>
    <w:rsid w:val="003B1CD9"/>
    <w:rsid w:val="003B2CE9"/>
    <w:rsid w:val="003B30B9"/>
    <w:rsid w:val="003B32C6"/>
    <w:rsid w:val="003B3713"/>
    <w:rsid w:val="003B38CA"/>
    <w:rsid w:val="003B3CB3"/>
    <w:rsid w:val="003B3E76"/>
    <w:rsid w:val="003B43F1"/>
    <w:rsid w:val="003B56EC"/>
    <w:rsid w:val="003B5726"/>
    <w:rsid w:val="003B60C7"/>
    <w:rsid w:val="003B639F"/>
    <w:rsid w:val="003B6970"/>
    <w:rsid w:val="003B7171"/>
    <w:rsid w:val="003B7404"/>
    <w:rsid w:val="003B751B"/>
    <w:rsid w:val="003B7912"/>
    <w:rsid w:val="003B7A6D"/>
    <w:rsid w:val="003B7C78"/>
    <w:rsid w:val="003C0249"/>
    <w:rsid w:val="003C03CA"/>
    <w:rsid w:val="003C05D3"/>
    <w:rsid w:val="003C0A57"/>
    <w:rsid w:val="003C135E"/>
    <w:rsid w:val="003C16B1"/>
    <w:rsid w:val="003C184A"/>
    <w:rsid w:val="003C211D"/>
    <w:rsid w:val="003C22FE"/>
    <w:rsid w:val="003C2A5E"/>
    <w:rsid w:val="003C2F31"/>
    <w:rsid w:val="003C43E2"/>
    <w:rsid w:val="003C442B"/>
    <w:rsid w:val="003C4A0A"/>
    <w:rsid w:val="003C5072"/>
    <w:rsid w:val="003C540D"/>
    <w:rsid w:val="003C5427"/>
    <w:rsid w:val="003C560F"/>
    <w:rsid w:val="003C5C22"/>
    <w:rsid w:val="003C5F5B"/>
    <w:rsid w:val="003C696B"/>
    <w:rsid w:val="003C69FE"/>
    <w:rsid w:val="003C6E08"/>
    <w:rsid w:val="003C7470"/>
    <w:rsid w:val="003C748C"/>
    <w:rsid w:val="003C797B"/>
    <w:rsid w:val="003C7B3C"/>
    <w:rsid w:val="003C7FC4"/>
    <w:rsid w:val="003D042E"/>
    <w:rsid w:val="003D0436"/>
    <w:rsid w:val="003D0809"/>
    <w:rsid w:val="003D10C0"/>
    <w:rsid w:val="003D1124"/>
    <w:rsid w:val="003D15C1"/>
    <w:rsid w:val="003D1A90"/>
    <w:rsid w:val="003D1C42"/>
    <w:rsid w:val="003D26D6"/>
    <w:rsid w:val="003D2CC0"/>
    <w:rsid w:val="003D3137"/>
    <w:rsid w:val="003D3243"/>
    <w:rsid w:val="003D34ED"/>
    <w:rsid w:val="003D38F9"/>
    <w:rsid w:val="003D3C6F"/>
    <w:rsid w:val="003D42DE"/>
    <w:rsid w:val="003D48BC"/>
    <w:rsid w:val="003D50FF"/>
    <w:rsid w:val="003D542E"/>
    <w:rsid w:val="003D5681"/>
    <w:rsid w:val="003D5EAD"/>
    <w:rsid w:val="003D5FB8"/>
    <w:rsid w:val="003D6860"/>
    <w:rsid w:val="003D69AF"/>
    <w:rsid w:val="003D6A1D"/>
    <w:rsid w:val="003D6CC7"/>
    <w:rsid w:val="003D706A"/>
    <w:rsid w:val="003D723B"/>
    <w:rsid w:val="003D725C"/>
    <w:rsid w:val="003D7272"/>
    <w:rsid w:val="003D76A7"/>
    <w:rsid w:val="003D795F"/>
    <w:rsid w:val="003D7C1C"/>
    <w:rsid w:val="003E043D"/>
    <w:rsid w:val="003E0719"/>
    <w:rsid w:val="003E08AB"/>
    <w:rsid w:val="003E0A68"/>
    <w:rsid w:val="003E0F7D"/>
    <w:rsid w:val="003E141A"/>
    <w:rsid w:val="003E17F3"/>
    <w:rsid w:val="003E19A9"/>
    <w:rsid w:val="003E22FF"/>
    <w:rsid w:val="003E24C2"/>
    <w:rsid w:val="003E2542"/>
    <w:rsid w:val="003E281A"/>
    <w:rsid w:val="003E282A"/>
    <w:rsid w:val="003E28EA"/>
    <w:rsid w:val="003E34E4"/>
    <w:rsid w:val="003E36A4"/>
    <w:rsid w:val="003E37E1"/>
    <w:rsid w:val="003E3BDA"/>
    <w:rsid w:val="003E3FA8"/>
    <w:rsid w:val="003E46E7"/>
    <w:rsid w:val="003E49AE"/>
    <w:rsid w:val="003E4F75"/>
    <w:rsid w:val="003E5356"/>
    <w:rsid w:val="003E543A"/>
    <w:rsid w:val="003E5766"/>
    <w:rsid w:val="003E6671"/>
    <w:rsid w:val="003E6689"/>
    <w:rsid w:val="003E680E"/>
    <w:rsid w:val="003E6B95"/>
    <w:rsid w:val="003E73D0"/>
    <w:rsid w:val="003E7F96"/>
    <w:rsid w:val="003F0211"/>
    <w:rsid w:val="003F05F7"/>
    <w:rsid w:val="003F0C86"/>
    <w:rsid w:val="003F0CB2"/>
    <w:rsid w:val="003F0E3F"/>
    <w:rsid w:val="003F14DF"/>
    <w:rsid w:val="003F1D80"/>
    <w:rsid w:val="003F2505"/>
    <w:rsid w:val="003F2FB1"/>
    <w:rsid w:val="003F3503"/>
    <w:rsid w:val="003F36F0"/>
    <w:rsid w:val="003F37D2"/>
    <w:rsid w:val="003F38CA"/>
    <w:rsid w:val="003F397B"/>
    <w:rsid w:val="003F3B35"/>
    <w:rsid w:val="003F3B8A"/>
    <w:rsid w:val="003F458E"/>
    <w:rsid w:val="003F4733"/>
    <w:rsid w:val="003F4B90"/>
    <w:rsid w:val="003F529A"/>
    <w:rsid w:val="003F5438"/>
    <w:rsid w:val="003F5587"/>
    <w:rsid w:val="003F5A4A"/>
    <w:rsid w:val="003F5BBE"/>
    <w:rsid w:val="003F6808"/>
    <w:rsid w:val="003F7481"/>
    <w:rsid w:val="003F782E"/>
    <w:rsid w:val="003F7DF9"/>
    <w:rsid w:val="004001A3"/>
    <w:rsid w:val="004001A6"/>
    <w:rsid w:val="00400801"/>
    <w:rsid w:val="0040083F"/>
    <w:rsid w:val="00400D1E"/>
    <w:rsid w:val="00401052"/>
    <w:rsid w:val="0040123D"/>
    <w:rsid w:val="004018D2"/>
    <w:rsid w:val="0040198E"/>
    <w:rsid w:val="004019EA"/>
    <w:rsid w:val="004026EA"/>
    <w:rsid w:val="004027C7"/>
    <w:rsid w:val="004037DC"/>
    <w:rsid w:val="00403912"/>
    <w:rsid w:val="00403F12"/>
    <w:rsid w:val="00404482"/>
    <w:rsid w:val="00404E4A"/>
    <w:rsid w:val="00404FC9"/>
    <w:rsid w:val="00405AFB"/>
    <w:rsid w:val="00405C91"/>
    <w:rsid w:val="004060ED"/>
    <w:rsid w:val="004061E1"/>
    <w:rsid w:val="004061F6"/>
    <w:rsid w:val="0040686F"/>
    <w:rsid w:val="00407CC2"/>
    <w:rsid w:val="00407FB6"/>
    <w:rsid w:val="004100B7"/>
    <w:rsid w:val="00411697"/>
    <w:rsid w:val="0041198D"/>
    <w:rsid w:val="00411A6C"/>
    <w:rsid w:val="004120B6"/>
    <w:rsid w:val="004120E1"/>
    <w:rsid w:val="00412B84"/>
    <w:rsid w:val="00412BDB"/>
    <w:rsid w:val="00412CA0"/>
    <w:rsid w:val="00412FCB"/>
    <w:rsid w:val="00413002"/>
    <w:rsid w:val="004133F2"/>
    <w:rsid w:val="004135B9"/>
    <w:rsid w:val="004135EF"/>
    <w:rsid w:val="00413646"/>
    <w:rsid w:val="004140C2"/>
    <w:rsid w:val="004143EB"/>
    <w:rsid w:val="004144CC"/>
    <w:rsid w:val="00414B05"/>
    <w:rsid w:val="00414B44"/>
    <w:rsid w:val="0041548F"/>
    <w:rsid w:val="004154A1"/>
    <w:rsid w:val="00415718"/>
    <w:rsid w:val="00415AA0"/>
    <w:rsid w:val="00415D6E"/>
    <w:rsid w:val="00416789"/>
    <w:rsid w:val="004168CA"/>
    <w:rsid w:val="004168EF"/>
    <w:rsid w:val="00416ACA"/>
    <w:rsid w:val="00416CB8"/>
    <w:rsid w:val="00417580"/>
    <w:rsid w:val="00417773"/>
    <w:rsid w:val="004200F5"/>
    <w:rsid w:val="00420125"/>
    <w:rsid w:val="0042092A"/>
    <w:rsid w:val="0042094C"/>
    <w:rsid w:val="0042096D"/>
    <w:rsid w:val="00420ABF"/>
    <w:rsid w:val="00421311"/>
    <w:rsid w:val="0042246C"/>
    <w:rsid w:val="004224EC"/>
    <w:rsid w:val="00422C25"/>
    <w:rsid w:val="00422D21"/>
    <w:rsid w:val="00422D63"/>
    <w:rsid w:val="00423789"/>
    <w:rsid w:val="004251F2"/>
    <w:rsid w:val="00425FE0"/>
    <w:rsid w:val="00426538"/>
    <w:rsid w:val="00426539"/>
    <w:rsid w:val="00426962"/>
    <w:rsid w:val="00426AAB"/>
    <w:rsid w:val="00426D75"/>
    <w:rsid w:val="00426E82"/>
    <w:rsid w:val="0042745D"/>
    <w:rsid w:val="00427BAA"/>
    <w:rsid w:val="0043001F"/>
    <w:rsid w:val="00430CCD"/>
    <w:rsid w:val="00431222"/>
    <w:rsid w:val="0043126C"/>
    <w:rsid w:val="00431853"/>
    <w:rsid w:val="00432207"/>
    <w:rsid w:val="0043248E"/>
    <w:rsid w:val="00433075"/>
    <w:rsid w:val="00433DAB"/>
    <w:rsid w:val="00434199"/>
    <w:rsid w:val="00434B4A"/>
    <w:rsid w:val="00434D7C"/>
    <w:rsid w:val="0043571E"/>
    <w:rsid w:val="00435996"/>
    <w:rsid w:val="004359C7"/>
    <w:rsid w:val="004361DA"/>
    <w:rsid w:val="00436652"/>
    <w:rsid w:val="00436705"/>
    <w:rsid w:val="004367A5"/>
    <w:rsid w:val="00436822"/>
    <w:rsid w:val="004368AC"/>
    <w:rsid w:val="00436A48"/>
    <w:rsid w:val="00437251"/>
    <w:rsid w:val="0043740B"/>
    <w:rsid w:val="00437416"/>
    <w:rsid w:val="004404A3"/>
    <w:rsid w:val="0044092E"/>
    <w:rsid w:val="00440BC6"/>
    <w:rsid w:val="004412A7"/>
    <w:rsid w:val="0044171C"/>
    <w:rsid w:val="004417C6"/>
    <w:rsid w:val="00441B19"/>
    <w:rsid w:val="004420D5"/>
    <w:rsid w:val="00442318"/>
    <w:rsid w:val="00442364"/>
    <w:rsid w:val="00442CF2"/>
    <w:rsid w:val="00443952"/>
    <w:rsid w:val="00443A44"/>
    <w:rsid w:val="00443ACE"/>
    <w:rsid w:val="00444307"/>
    <w:rsid w:val="0044440F"/>
    <w:rsid w:val="00444413"/>
    <w:rsid w:val="0044443C"/>
    <w:rsid w:val="00444799"/>
    <w:rsid w:val="00444933"/>
    <w:rsid w:val="00444941"/>
    <w:rsid w:val="00444FF1"/>
    <w:rsid w:val="0044531D"/>
    <w:rsid w:val="0044591C"/>
    <w:rsid w:val="00445CB8"/>
    <w:rsid w:val="004461B3"/>
    <w:rsid w:val="00446429"/>
    <w:rsid w:val="00446819"/>
    <w:rsid w:val="00447DFC"/>
    <w:rsid w:val="00447ECC"/>
    <w:rsid w:val="00450696"/>
    <w:rsid w:val="004508DB"/>
    <w:rsid w:val="004519ED"/>
    <w:rsid w:val="00451CA0"/>
    <w:rsid w:val="00451F3F"/>
    <w:rsid w:val="0045209B"/>
    <w:rsid w:val="00452D8A"/>
    <w:rsid w:val="00453373"/>
    <w:rsid w:val="00453684"/>
    <w:rsid w:val="004538A7"/>
    <w:rsid w:val="00454404"/>
    <w:rsid w:val="00454BC6"/>
    <w:rsid w:val="00454CD3"/>
    <w:rsid w:val="0045530C"/>
    <w:rsid w:val="00455C91"/>
    <w:rsid w:val="004560A1"/>
    <w:rsid w:val="004564F1"/>
    <w:rsid w:val="00456BF2"/>
    <w:rsid w:val="0045755A"/>
    <w:rsid w:val="00457D4E"/>
    <w:rsid w:val="0046045E"/>
    <w:rsid w:val="00460567"/>
    <w:rsid w:val="00460882"/>
    <w:rsid w:val="0046090B"/>
    <w:rsid w:val="00461739"/>
    <w:rsid w:val="0046192C"/>
    <w:rsid w:val="00461B19"/>
    <w:rsid w:val="00462084"/>
    <w:rsid w:val="00462149"/>
    <w:rsid w:val="0046227A"/>
    <w:rsid w:val="00462B5C"/>
    <w:rsid w:val="00462C41"/>
    <w:rsid w:val="00462C6F"/>
    <w:rsid w:val="00462FCD"/>
    <w:rsid w:val="00463155"/>
    <w:rsid w:val="0046383E"/>
    <w:rsid w:val="00463A90"/>
    <w:rsid w:val="00463EBD"/>
    <w:rsid w:val="00463FBB"/>
    <w:rsid w:val="00464118"/>
    <w:rsid w:val="00464AE6"/>
    <w:rsid w:val="004650C8"/>
    <w:rsid w:val="00466065"/>
    <w:rsid w:val="0046624C"/>
    <w:rsid w:val="0046647F"/>
    <w:rsid w:val="004668A6"/>
    <w:rsid w:val="00466D23"/>
    <w:rsid w:val="00466EA1"/>
    <w:rsid w:val="00467035"/>
    <w:rsid w:val="004670FD"/>
    <w:rsid w:val="004671C6"/>
    <w:rsid w:val="004675E4"/>
    <w:rsid w:val="004677F3"/>
    <w:rsid w:val="00467B2F"/>
    <w:rsid w:val="00470395"/>
    <w:rsid w:val="00470C42"/>
    <w:rsid w:val="004716DE"/>
    <w:rsid w:val="00471A6D"/>
    <w:rsid w:val="004723E9"/>
    <w:rsid w:val="00472907"/>
    <w:rsid w:val="0047299D"/>
    <w:rsid w:val="00472A7E"/>
    <w:rsid w:val="00472C47"/>
    <w:rsid w:val="00472DB7"/>
    <w:rsid w:val="00472E38"/>
    <w:rsid w:val="0047351F"/>
    <w:rsid w:val="00473D99"/>
    <w:rsid w:val="00474C48"/>
    <w:rsid w:val="00474F9F"/>
    <w:rsid w:val="004750DA"/>
    <w:rsid w:val="00475917"/>
    <w:rsid w:val="00475D0A"/>
    <w:rsid w:val="00476994"/>
    <w:rsid w:val="00476B58"/>
    <w:rsid w:val="00477468"/>
    <w:rsid w:val="004779C7"/>
    <w:rsid w:val="0048016B"/>
    <w:rsid w:val="00480486"/>
    <w:rsid w:val="00481027"/>
    <w:rsid w:val="00481A5F"/>
    <w:rsid w:val="0048287B"/>
    <w:rsid w:val="00482949"/>
    <w:rsid w:val="00482CB8"/>
    <w:rsid w:val="00483FFF"/>
    <w:rsid w:val="00484634"/>
    <w:rsid w:val="0048526C"/>
    <w:rsid w:val="004858CC"/>
    <w:rsid w:val="00485BDF"/>
    <w:rsid w:val="004863F4"/>
    <w:rsid w:val="00486985"/>
    <w:rsid w:val="00486C8E"/>
    <w:rsid w:val="00487C5D"/>
    <w:rsid w:val="00490D5C"/>
    <w:rsid w:val="004910C5"/>
    <w:rsid w:val="004911D6"/>
    <w:rsid w:val="004912FE"/>
    <w:rsid w:val="0049163A"/>
    <w:rsid w:val="00491740"/>
    <w:rsid w:val="00491DE8"/>
    <w:rsid w:val="004925B0"/>
    <w:rsid w:val="00492DAA"/>
    <w:rsid w:val="00493353"/>
    <w:rsid w:val="00493689"/>
    <w:rsid w:val="00494585"/>
    <w:rsid w:val="004946A7"/>
    <w:rsid w:val="004949DB"/>
    <w:rsid w:val="0049602F"/>
    <w:rsid w:val="0049643A"/>
    <w:rsid w:val="00496C0C"/>
    <w:rsid w:val="00497349"/>
    <w:rsid w:val="004978E8"/>
    <w:rsid w:val="00497AC7"/>
    <w:rsid w:val="004A0651"/>
    <w:rsid w:val="004A0A06"/>
    <w:rsid w:val="004A1C8A"/>
    <w:rsid w:val="004A1EA9"/>
    <w:rsid w:val="004A2186"/>
    <w:rsid w:val="004A24BB"/>
    <w:rsid w:val="004A34D6"/>
    <w:rsid w:val="004A34DD"/>
    <w:rsid w:val="004A3864"/>
    <w:rsid w:val="004A38AB"/>
    <w:rsid w:val="004A522A"/>
    <w:rsid w:val="004A58F5"/>
    <w:rsid w:val="004A6051"/>
    <w:rsid w:val="004A6BC5"/>
    <w:rsid w:val="004A6E53"/>
    <w:rsid w:val="004B0247"/>
    <w:rsid w:val="004B0CE9"/>
    <w:rsid w:val="004B1654"/>
    <w:rsid w:val="004B17FA"/>
    <w:rsid w:val="004B18E7"/>
    <w:rsid w:val="004B21E1"/>
    <w:rsid w:val="004B30BB"/>
    <w:rsid w:val="004B3771"/>
    <w:rsid w:val="004B3CC1"/>
    <w:rsid w:val="004B3FED"/>
    <w:rsid w:val="004B4764"/>
    <w:rsid w:val="004B4F24"/>
    <w:rsid w:val="004B5DD3"/>
    <w:rsid w:val="004B6351"/>
    <w:rsid w:val="004B6AC2"/>
    <w:rsid w:val="004B6EBF"/>
    <w:rsid w:val="004B6F36"/>
    <w:rsid w:val="004B796B"/>
    <w:rsid w:val="004B7B5D"/>
    <w:rsid w:val="004C06E3"/>
    <w:rsid w:val="004C0A83"/>
    <w:rsid w:val="004C13EB"/>
    <w:rsid w:val="004C1410"/>
    <w:rsid w:val="004C15D9"/>
    <w:rsid w:val="004C20D3"/>
    <w:rsid w:val="004C25E3"/>
    <w:rsid w:val="004C2676"/>
    <w:rsid w:val="004C3844"/>
    <w:rsid w:val="004C3D95"/>
    <w:rsid w:val="004C5523"/>
    <w:rsid w:val="004C56F1"/>
    <w:rsid w:val="004C5932"/>
    <w:rsid w:val="004C5FE9"/>
    <w:rsid w:val="004C60C0"/>
    <w:rsid w:val="004C78E0"/>
    <w:rsid w:val="004C7977"/>
    <w:rsid w:val="004C7BB6"/>
    <w:rsid w:val="004C7BE5"/>
    <w:rsid w:val="004D00CD"/>
    <w:rsid w:val="004D03D3"/>
    <w:rsid w:val="004D0706"/>
    <w:rsid w:val="004D11DF"/>
    <w:rsid w:val="004D13B4"/>
    <w:rsid w:val="004D24F2"/>
    <w:rsid w:val="004D2994"/>
    <w:rsid w:val="004D2E04"/>
    <w:rsid w:val="004D2FE4"/>
    <w:rsid w:val="004D316B"/>
    <w:rsid w:val="004D3BC2"/>
    <w:rsid w:val="004D3EB3"/>
    <w:rsid w:val="004D4DD3"/>
    <w:rsid w:val="004D4F68"/>
    <w:rsid w:val="004D6052"/>
    <w:rsid w:val="004D628A"/>
    <w:rsid w:val="004D6B60"/>
    <w:rsid w:val="004D74A9"/>
    <w:rsid w:val="004D7A7E"/>
    <w:rsid w:val="004D7C65"/>
    <w:rsid w:val="004E04FC"/>
    <w:rsid w:val="004E0C15"/>
    <w:rsid w:val="004E0D05"/>
    <w:rsid w:val="004E0FA0"/>
    <w:rsid w:val="004E10E1"/>
    <w:rsid w:val="004E138D"/>
    <w:rsid w:val="004E1C5A"/>
    <w:rsid w:val="004E1E36"/>
    <w:rsid w:val="004E201E"/>
    <w:rsid w:val="004E212E"/>
    <w:rsid w:val="004E2FA3"/>
    <w:rsid w:val="004E3130"/>
    <w:rsid w:val="004E3378"/>
    <w:rsid w:val="004E355F"/>
    <w:rsid w:val="004E3575"/>
    <w:rsid w:val="004E370F"/>
    <w:rsid w:val="004E452A"/>
    <w:rsid w:val="004E4E9E"/>
    <w:rsid w:val="004E57C4"/>
    <w:rsid w:val="004E5E21"/>
    <w:rsid w:val="004E646B"/>
    <w:rsid w:val="004E6488"/>
    <w:rsid w:val="004E649D"/>
    <w:rsid w:val="004E66F3"/>
    <w:rsid w:val="004E6DEC"/>
    <w:rsid w:val="004E741D"/>
    <w:rsid w:val="004E7753"/>
    <w:rsid w:val="004E7C00"/>
    <w:rsid w:val="004E7E0F"/>
    <w:rsid w:val="004E7FF2"/>
    <w:rsid w:val="004F0012"/>
    <w:rsid w:val="004F0AC6"/>
    <w:rsid w:val="004F1395"/>
    <w:rsid w:val="004F1462"/>
    <w:rsid w:val="004F1663"/>
    <w:rsid w:val="004F173F"/>
    <w:rsid w:val="004F1F6B"/>
    <w:rsid w:val="004F20D3"/>
    <w:rsid w:val="004F2395"/>
    <w:rsid w:val="004F3471"/>
    <w:rsid w:val="004F3A97"/>
    <w:rsid w:val="004F41BF"/>
    <w:rsid w:val="004F4BD9"/>
    <w:rsid w:val="004F53C4"/>
    <w:rsid w:val="004F5F48"/>
    <w:rsid w:val="004F66CA"/>
    <w:rsid w:val="004F684F"/>
    <w:rsid w:val="004F69DB"/>
    <w:rsid w:val="004F7211"/>
    <w:rsid w:val="004F73CD"/>
    <w:rsid w:val="004F7406"/>
    <w:rsid w:val="004F7A5D"/>
    <w:rsid w:val="004F7F5F"/>
    <w:rsid w:val="004F7F9E"/>
    <w:rsid w:val="00500038"/>
    <w:rsid w:val="00500F65"/>
    <w:rsid w:val="00501106"/>
    <w:rsid w:val="005013BD"/>
    <w:rsid w:val="00501AAB"/>
    <w:rsid w:val="0050286A"/>
    <w:rsid w:val="005028C5"/>
    <w:rsid w:val="00502994"/>
    <w:rsid w:val="00502C24"/>
    <w:rsid w:val="005038D5"/>
    <w:rsid w:val="00503EDD"/>
    <w:rsid w:val="00504232"/>
    <w:rsid w:val="00504621"/>
    <w:rsid w:val="00504A7B"/>
    <w:rsid w:val="00504E50"/>
    <w:rsid w:val="00504F8B"/>
    <w:rsid w:val="005057CC"/>
    <w:rsid w:val="0050608A"/>
    <w:rsid w:val="005060A5"/>
    <w:rsid w:val="00506A20"/>
    <w:rsid w:val="00507394"/>
    <w:rsid w:val="005074B3"/>
    <w:rsid w:val="00507864"/>
    <w:rsid w:val="00507AF5"/>
    <w:rsid w:val="0051033A"/>
    <w:rsid w:val="005115EA"/>
    <w:rsid w:val="00511D8B"/>
    <w:rsid w:val="00512534"/>
    <w:rsid w:val="0051253D"/>
    <w:rsid w:val="005131EE"/>
    <w:rsid w:val="00513F8D"/>
    <w:rsid w:val="0051481F"/>
    <w:rsid w:val="00515021"/>
    <w:rsid w:val="005151BB"/>
    <w:rsid w:val="005155D6"/>
    <w:rsid w:val="00515CAD"/>
    <w:rsid w:val="00516E85"/>
    <w:rsid w:val="00517225"/>
    <w:rsid w:val="0052005E"/>
    <w:rsid w:val="00520A26"/>
    <w:rsid w:val="00520E9A"/>
    <w:rsid w:val="005213D0"/>
    <w:rsid w:val="0052150B"/>
    <w:rsid w:val="005222DB"/>
    <w:rsid w:val="00523731"/>
    <w:rsid w:val="005238DB"/>
    <w:rsid w:val="00523E37"/>
    <w:rsid w:val="00524097"/>
    <w:rsid w:val="0052444E"/>
    <w:rsid w:val="00524498"/>
    <w:rsid w:val="0052455F"/>
    <w:rsid w:val="005250CB"/>
    <w:rsid w:val="00525962"/>
    <w:rsid w:val="0052658E"/>
    <w:rsid w:val="005268F0"/>
    <w:rsid w:val="00527210"/>
    <w:rsid w:val="0052725D"/>
    <w:rsid w:val="005272D7"/>
    <w:rsid w:val="00530157"/>
    <w:rsid w:val="0053075D"/>
    <w:rsid w:val="00530AD4"/>
    <w:rsid w:val="00530DF4"/>
    <w:rsid w:val="0053103C"/>
    <w:rsid w:val="00531217"/>
    <w:rsid w:val="00531488"/>
    <w:rsid w:val="00531F64"/>
    <w:rsid w:val="005320D6"/>
    <w:rsid w:val="005322E5"/>
    <w:rsid w:val="005323FD"/>
    <w:rsid w:val="005324C1"/>
    <w:rsid w:val="0053265F"/>
    <w:rsid w:val="005326D2"/>
    <w:rsid w:val="00533BB5"/>
    <w:rsid w:val="00533E70"/>
    <w:rsid w:val="00534B2C"/>
    <w:rsid w:val="00534E03"/>
    <w:rsid w:val="005350B5"/>
    <w:rsid w:val="00535828"/>
    <w:rsid w:val="0053610D"/>
    <w:rsid w:val="005362E4"/>
    <w:rsid w:val="0053651A"/>
    <w:rsid w:val="00537081"/>
    <w:rsid w:val="005372B5"/>
    <w:rsid w:val="00537661"/>
    <w:rsid w:val="00537C35"/>
    <w:rsid w:val="00540098"/>
    <w:rsid w:val="005409B4"/>
    <w:rsid w:val="00540F32"/>
    <w:rsid w:val="00541A70"/>
    <w:rsid w:val="0054210A"/>
    <w:rsid w:val="00542216"/>
    <w:rsid w:val="00542A42"/>
    <w:rsid w:val="00542ABC"/>
    <w:rsid w:val="00542D19"/>
    <w:rsid w:val="00542D34"/>
    <w:rsid w:val="00542FFF"/>
    <w:rsid w:val="0054315C"/>
    <w:rsid w:val="005435C0"/>
    <w:rsid w:val="00543EF4"/>
    <w:rsid w:val="00543F46"/>
    <w:rsid w:val="005441BC"/>
    <w:rsid w:val="005442D5"/>
    <w:rsid w:val="005443D4"/>
    <w:rsid w:val="00544BC3"/>
    <w:rsid w:val="00544D75"/>
    <w:rsid w:val="00544DB3"/>
    <w:rsid w:val="00545009"/>
    <w:rsid w:val="00545968"/>
    <w:rsid w:val="00545C8F"/>
    <w:rsid w:val="0054616B"/>
    <w:rsid w:val="005462E8"/>
    <w:rsid w:val="00547136"/>
    <w:rsid w:val="0054785D"/>
    <w:rsid w:val="00547E78"/>
    <w:rsid w:val="00550612"/>
    <w:rsid w:val="00550817"/>
    <w:rsid w:val="005511D7"/>
    <w:rsid w:val="00552068"/>
    <w:rsid w:val="005524C8"/>
    <w:rsid w:val="00552E3D"/>
    <w:rsid w:val="0055322A"/>
    <w:rsid w:val="00553622"/>
    <w:rsid w:val="00553F24"/>
    <w:rsid w:val="005545A9"/>
    <w:rsid w:val="005548E7"/>
    <w:rsid w:val="00554978"/>
    <w:rsid w:val="00554E28"/>
    <w:rsid w:val="00554EA5"/>
    <w:rsid w:val="005555D6"/>
    <w:rsid w:val="005555EA"/>
    <w:rsid w:val="005557FC"/>
    <w:rsid w:val="0055673D"/>
    <w:rsid w:val="00556881"/>
    <w:rsid w:val="00556BDE"/>
    <w:rsid w:val="00556D2E"/>
    <w:rsid w:val="0055718C"/>
    <w:rsid w:val="00557280"/>
    <w:rsid w:val="00557E21"/>
    <w:rsid w:val="00561037"/>
    <w:rsid w:val="00561497"/>
    <w:rsid w:val="00561686"/>
    <w:rsid w:val="00561D84"/>
    <w:rsid w:val="00562080"/>
    <w:rsid w:val="005620B0"/>
    <w:rsid w:val="00562E49"/>
    <w:rsid w:val="00562EA3"/>
    <w:rsid w:val="00563089"/>
    <w:rsid w:val="005631E4"/>
    <w:rsid w:val="005634C7"/>
    <w:rsid w:val="0056354F"/>
    <w:rsid w:val="00563589"/>
    <w:rsid w:val="005635BE"/>
    <w:rsid w:val="00564586"/>
    <w:rsid w:val="00564647"/>
    <w:rsid w:val="0056470D"/>
    <w:rsid w:val="00564AAD"/>
    <w:rsid w:val="00564B25"/>
    <w:rsid w:val="00565446"/>
    <w:rsid w:val="005658D9"/>
    <w:rsid w:val="00565A50"/>
    <w:rsid w:val="00565D31"/>
    <w:rsid w:val="00566261"/>
    <w:rsid w:val="005662C6"/>
    <w:rsid w:val="00567350"/>
    <w:rsid w:val="00567484"/>
    <w:rsid w:val="00567B5A"/>
    <w:rsid w:val="00567EF5"/>
    <w:rsid w:val="00570400"/>
    <w:rsid w:val="005708DC"/>
    <w:rsid w:val="00570E90"/>
    <w:rsid w:val="00570F1B"/>
    <w:rsid w:val="0057120F"/>
    <w:rsid w:val="0057172C"/>
    <w:rsid w:val="00571F7A"/>
    <w:rsid w:val="005722F9"/>
    <w:rsid w:val="00573035"/>
    <w:rsid w:val="0057338A"/>
    <w:rsid w:val="00573DF0"/>
    <w:rsid w:val="0057418D"/>
    <w:rsid w:val="005744EE"/>
    <w:rsid w:val="00574D56"/>
    <w:rsid w:val="00574E0A"/>
    <w:rsid w:val="00574EB6"/>
    <w:rsid w:val="00575A75"/>
    <w:rsid w:val="00576251"/>
    <w:rsid w:val="005764DF"/>
    <w:rsid w:val="005765E1"/>
    <w:rsid w:val="00576BB1"/>
    <w:rsid w:val="00577248"/>
    <w:rsid w:val="005772AC"/>
    <w:rsid w:val="005772E3"/>
    <w:rsid w:val="00577461"/>
    <w:rsid w:val="0058017E"/>
    <w:rsid w:val="00580519"/>
    <w:rsid w:val="0058096F"/>
    <w:rsid w:val="00580A05"/>
    <w:rsid w:val="00580C1C"/>
    <w:rsid w:val="00580FC7"/>
    <w:rsid w:val="005817F2"/>
    <w:rsid w:val="00581A6D"/>
    <w:rsid w:val="00581AB5"/>
    <w:rsid w:val="00582275"/>
    <w:rsid w:val="00582C4A"/>
    <w:rsid w:val="005839E4"/>
    <w:rsid w:val="00583AC6"/>
    <w:rsid w:val="005844CA"/>
    <w:rsid w:val="00584618"/>
    <w:rsid w:val="005848DF"/>
    <w:rsid w:val="00584AD9"/>
    <w:rsid w:val="00584BA5"/>
    <w:rsid w:val="00584F66"/>
    <w:rsid w:val="005850A7"/>
    <w:rsid w:val="0058599E"/>
    <w:rsid w:val="005859AC"/>
    <w:rsid w:val="00585ACB"/>
    <w:rsid w:val="00586428"/>
    <w:rsid w:val="00586E49"/>
    <w:rsid w:val="00586F3D"/>
    <w:rsid w:val="00587655"/>
    <w:rsid w:val="00587B9E"/>
    <w:rsid w:val="00587E9D"/>
    <w:rsid w:val="005901CF"/>
    <w:rsid w:val="0059022F"/>
    <w:rsid w:val="005903E5"/>
    <w:rsid w:val="00590909"/>
    <w:rsid w:val="00590953"/>
    <w:rsid w:val="00590B79"/>
    <w:rsid w:val="0059172E"/>
    <w:rsid w:val="00591873"/>
    <w:rsid w:val="00591A21"/>
    <w:rsid w:val="00591D22"/>
    <w:rsid w:val="00592351"/>
    <w:rsid w:val="0059270C"/>
    <w:rsid w:val="00592DC3"/>
    <w:rsid w:val="005935AA"/>
    <w:rsid w:val="00593962"/>
    <w:rsid w:val="00593CB4"/>
    <w:rsid w:val="0059411B"/>
    <w:rsid w:val="005944BE"/>
    <w:rsid w:val="005949C4"/>
    <w:rsid w:val="0059577D"/>
    <w:rsid w:val="00595934"/>
    <w:rsid w:val="00595AC9"/>
    <w:rsid w:val="00595D94"/>
    <w:rsid w:val="00596496"/>
    <w:rsid w:val="005966E5"/>
    <w:rsid w:val="00596734"/>
    <w:rsid w:val="005968AA"/>
    <w:rsid w:val="00596B1D"/>
    <w:rsid w:val="00596E3B"/>
    <w:rsid w:val="005979DE"/>
    <w:rsid w:val="005A100E"/>
    <w:rsid w:val="005A113E"/>
    <w:rsid w:val="005A15A8"/>
    <w:rsid w:val="005A1D38"/>
    <w:rsid w:val="005A2BE5"/>
    <w:rsid w:val="005A2C31"/>
    <w:rsid w:val="005A3524"/>
    <w:rsid w:val="005A35A2"/>
    <w:rsid w:val="005A45E5"/>
    <w:rsid w:val="005A4860"/>
    <w:rsid w:val="005A50AA"/>
    <w:rsid w:val="005A50FB"/>
    <w:rsid w:val="005A54DE"/>
    <w:rsid w:val="005A57FB"/>
    <w:rsid w:val="005A5BCC"/>
    <w:rsid w:val="005A5FC5"/>
    <w:rsid w:val="005B06F3"/>
    <w:rsid w:val="005B0D07"/>
    <w:rsid w:val="005B188D"/>
    <w:rsid w:val="005B1A8F"/>
    <w:rsid w:val="005B1C92"/>
    <w:rsid w:val="005B1D83"/>
    <w:rsid w:val="005B25CD"/>
    <w:rsid w:val="005B29B6"/>
    <w:rsid w:val="005B2D6B"/>
    <w:rsid w:val="005B2F56"/>
    <w:rsid w:val="005B3565"/>
    <w:rsid w:val="005B4234"/>
    <w:rsid w:val="005B4665"/>
    <w:rsid w:val="005B46C2"/>
    <w:rsid w:val="005B4765"/>
    <w:rsid w:val="005B54A1"/>
    <w:rsid w:val="005B5B14"/>
    <w:rsid w:val="005B5F8C"/>
    <w:rsid w:val="005B6049"/>
    <w:rsid w:val="005B636D"/>
    <w:rsid w:val="005B69B2"/>
    <w:rsid w:val="005B7081"/>
    <w:rsid w:val="005B7BCD"/>
    <w:rsid w:val="005C0BF6"/>
    <w:rsid w:val="005C0F89"/>
    <w:rsid w:val="005C1816"/>
    <w:rsid w:val="005C1A37"/>
    <w:rsid w:val="005C1CEF"/>
    <w:rsid w:val="005C2096"/>
    <w:rsid w:val="005C2268"/>
    <w:rsid w:val="005C2615"/>
    <w:rsid w:val="005C2819"/>
    <w:rsid w:val="005C35FE"/>
    <w:rsid w:val="005C3683"/>
    <w:rsid w:val="005C3AA0"/>
    <w:rsid w:val="005C3B80"/>
    <w:rsid w:val="005C4294"/>
    <w:rsid w:val="005C46FF"/>
    <w:rsid w:val="005C4D3A"/>
    <w:rsid w:val="005C54D0"/>
    <w:rsid w:val="005C5896"/>
    <w:rsid w:val="005C5D1A"/>
    <w:rsid w:val="005C5DDD"/>
    <w:rsid w:val="005C6625"/>
    <w:rsid w:val="005C68AC"/>
    <w:rsid w:val="005C6B7F"/>
    <w:rsid w:val="005C6C32"/>
    <w:rsid w:val="005C6F10"/>
    <w:rsid w:val="005C70E3"/>
    <w:rsid w:val="005C7461"/>
    <w:rsid w:val="005C7468"/>
    <w:rsid w:val="005C74F5"/>
    <w:rsid w:val="005C755C"/>
    <w:rsid w:val="005C770B"/>
    <w:rsid w:val="005D0694"/>
    <w:rsid w:val="005D16F9"/>
    <w:rsid w:val="005D1DC7"/>
    <w:rsid w:val="005D237B"/>
    <w:rsid w:val="005D3E61"/>
    <w:rsid w:val="005D41A2"/>
    <w:rsid w:val="005D43CE"/>
    <w:rsid w:val="005D46E9"/>
    <w:rsid w:val="005D4715"/>
    <w:rsid w:val="005D48A4"/>
    <w:rsid w:val="005D4CDB"/>
    <w:rsid w:val="005D5237"/>
    <w:rsid w:val="005D5579"/>
    <w:rsid w:val="005D5783"/>
    <w:rsid w:val="005D5821"/>
    <w:rsid w:val="005D58F0"/>
    <w:rsid w:val="005D5C0C"/>
    <w:rsid w:val="005D5D46"/>
    <w:rsid w:val="005D5E1F"/>
    <w:rsid w:val="005D5F74"/>
    <w:rsid w:val="005D6265"/>
    <w:rsid w:val="005D6343"/>
    <w:rsid w:val="005D67C6"/>
    <w:rsid w:val="005D7C85"/>
    <w:rsid w:val="005E0055"/>
    <w:rsid w:val="005E0200"/>
    <w:rsid w:val="005E031E"/>
    <w:rsid w:val="005E0BA0"/>
    <w:rsid w:val="005E0C16"/>
    <w:rsid w:val="005E1493"/>
    <w:rsid w:val="005E1C61"/>
    <w:rsid w:val="005E2233"/>
    <w:rsid w:val="005E2366"/>
    <w:rsid w:val="005E2540"/>
    <w:rsid w:val="005E2615"/>
    <w:rsid w:val="005E2A99"/>
    <w:rsid w:val="005E2DB5"/>
    <w:rsid w:val="005E2E0E"/>
    <w:rsid w:val="005E32B9"/>
    <w:rsid w:val="005E451D"/>
    <w:rsid w:val="005E487F"/>
    <w:rsid w:val="005E4C92"/>
    <w:rsid w:val="005E4D7B"/>
    <w:rsid w:val="005E54F0"/>
    <w:rsid w:val="005E5616"/>
    <w:rsid w:val="005E5C81"/>
    <w:rsid w:val="005E6BB6"/>
    <w:rsid w:val="005E7543"/>
    <w:rsid w:val="005E760E"/>
    <w:rsid w:val="005E79D7"/>
    <w:rsid w:val="005F0100"/>
    <w:rsid w:val="005F0765"/>
    <w:rsid w:val="005F0985"/>
    <w:rsid w:val="005F0A5D"/>
    <w:rsid w:val="005F1083"/>
    <w:rsid w:val="005F19C3"/>
    <w:rsid w:val="005F19F4"/>
    <w:rsid w:val="005F1AC8"/>
    <w:rsid w:val="005F1BCE"/>
    <w:rsid w:val="005F1BCF"/>
    <w:rsid w:val="005F1E2D"/>
    <w:rsid w:val="005F1F35"/>
    <w:rsid w:val="005F1FE5"/>
    <w:rsid w:val="005F253B"/>
    <w:rsid w:val="005F3051"/>
    <w:rsid w:val="005F3ABC"/>
    <w:rsid w:val="005F42AC"/>
    <w:rsid w:val="005F4F60"/>
    <w:rsid w:val="005F59E1"/>
    <w:rsid w:val="005F5CB9"/>
    <w:rsid w:val="005F6104"/>
    <w:rsid w:val="005F6157"/>
    <w:rsid w:val="005F61D8"/>
    <w:rsid w:val="005F6679"/>
    <w:rsid w:val="005F69AD"/>
    <w:rsid w:val="005F6E9A"/>
    <w:rsid w:val="005F73EF"/>
    <w:rsid w:val="005F7AF1"/>
    <w:rsid w:val="005F7E86"/>
    <w:rsid w:val="00600F29"/>
    <w:rsid w:val="006011DD"/>
    <w:rsid w:val="00601AA0"/>
    <w:rsid w:val="00602435"/>
    <w:rsid w:val="00602918"/>
    <w:rsid w:val="00602B94"/>
    <w:rsid w:val="0060392B"/>
    <w:rsid w:val="006046A0"/>
    <w:rsid w:val="006046C7"/>
    <w:rsid w:val="00604CAC"/>
    <w:rsid w:val="00604D9B"/>
    <w:rsid w:val="0060560E"/>
    <w:rsid w:val="0060572C"/>
    <w:rsid w:val="006063A9"/>
    <w:rsid w:val="006068C7"/>
    <w:rsid w:val="00606C81"/>
    <w:rsid w:val="0060759A"/>
    <w:rsid w:val="00607717"/>
    <w:rsid w:val="00607A90"/>
    <w:rsid w:val="00607B1A"/>
    <w:rsid w:val="00607BB2"/>
    <w:rsid w:val="006102C3"/>
    <w:rsid w:val="006108B8"/>
    <w:rsid w:val="00610BCB"/>
    <w:rsid w:val="006116DC"/>
    <w:rsid w:val="00611A44"/>
    <w:rsid w:val="00611CCA"/>
    <w:rsid w:val="00612C0D"/>
    <w:rsid w:val="00613287"/>
    <w:rsid w:val="00613357"/>
    <w:rsid w:val="006134EB"/>
    <w:rsid w:val="00614025"/>
    <w:rsid w:val="0061409B"/>
    <w:rsid w:val="006140B7"/>
    <w:rsid w:val="0061490B"/>
    <w:rsid w:val="00614EFE"/>
    <w:rsid w:val="0061674B"/>
    <w:rsid w:val="00617779"/>
    <w:rsid w:val="00617971"/>
    <w:rsid w:val="00617C84"/>
    <w:rsid w:val="00617E32"/>
    <w:rsid w:val="00621297"/>
    <w:rsid w:val="006218B7"/>
    <w:rsid w:val="00621ADF"/>
    <w:rsid w:val="00621E2D"/>
    <w:rsid w:val="0062261B"/>
    <w:rsid w:val="00622757"/>
    <w:rsid w:val="00622A96"/>
    <w:rsid w:val="00622CEA"/>
    <w:rsid w:val="006233FF"/>
    <w:rsid w:val="00623432"/>
    <w:rsid w:val="00623726"/>
    <w:rsid w:val="0062373C"/>
    <w:rsid w:val="00623B40"/>
    <w:rsid w:val="0062402D"/>
    <w:rsid w:val="00625174"/>
    <w:rsid w:val="00625203"/>
    <w:rsid w:val="00625501"/>
    <w:rsid w:val="00627601"/>
    <w:rsid w:val="006279A1"/>
    <w:rsid w:val="00630268"/>
    <w:rsid w:val="006307BB"/>
    <w:rsid w:val="00630DC5"/>
    <w:rsid w:val="00630F75"/>
    <w:rsid w:val="00631157"/>
    <w:rsid w:val="0063139E"/>
    <w:rsid w:val="00631C1E"/>
    <w:rsid w:val="0063271B"/>
    <w:rsid w:val="00633491"/>
    <w:rsid w:val="00633532"/>
    <w:rsid w:val="00633A61"/>
    <w:rsid w:val="0063422F"/>
    <w:rsid w:val="00634662"/>
    <w:rsid w:val="006351D8"/>
    <w:rsid w:val="0063530E"/>
    <w:rsid w:val="006357E0"/>
    <w:rsid w:val="00636089"/>
    <w:rsid w:val="006365AD"/>
    <w:rsid w:val="0063679D"/>
    <w:rsid w:val="00636C9A"/>
    <w:rsid w:val="00636EA3"/>
    <w:rsid w:val="00637027"/>
    <w:rsid w:val="006374E9"/>
    <w:rsid w:val="00637F6C"/>
    <w:rsid w:val="00640485"/>
    <w:rsid w:val="00640937"/>
    <w:rsid w:val="00640A53"/>
    <w:rsid w:val="00640E60"/>
    <w:rsid w:val="006410AB"/>
    <w:rsid w:val="00641816"/>
    <w:rsid w:val="00641C67"/>
    <w:rsid w:val="00641E80"/>
    <w:rsid w:val="006421DE"/>
    <w:rsid w:val="00642207"/>
    <w:rsid w:val="006425C4"/>
    <w:rsid w:val="006427C8"/>
    <w:rsid w:val="00643874"/>
    <w:rsid w:val="00643EEE"/>
    <w:rsid w:val="00645194"/>
    <w:rsid w:val="00645437"/>
    <w:rsid w:val="00645830"/>
    <w:rsid w:val="00645B06"/>
    <w:rsid w:val="00645BF3"/>
    <w:rsid w:val="00645E0D"/>
    <w:rsid w:val="00646F1A"/>
    <w:rsid w:val="0064700D"/>
    <w:rsid w:val="0064772F"/>
    <w:rsid w:val="00647810"/>
    <w:rsid w:val="006479EE"/>
    <w:rsid w:val="00647E38"/>
    <w:rsid w:val="00650170"/>
    <w:rsid w:val="00650216"/>
    <w:rsid w:val="006502C7"/>
    <w:rsid w:val="00650824"/>
    <w:rsid w:val="00650AAF"/>
    <w:rsid w:val="00650F44"/>
    <w:rsid w:val="00650FD4"/>
    <w:rsid w:val="006517A1"/>
    <w:rsid w:val="006520BB"/>
    <w:rsid w:val="006525DE"/>
    <w:rsid w:val="00652686"/>
    <w:rsid w:val="0065320B"/>
    <w:rsid w:val="00654040"/>
    <w:rsid w:val="0065428C"/>
    <w:rsid w:val="006545CC"/>
    <w:rsid w:val="00654D57"/>
    <w:rsid w:val="00654F3A"/>
    <w:rsid w:val="00655388"/>
    <w:rsid w:val="00656C6C"/>
    <w:rsid w:val="00657228"/>
    <w:rsid w:val="0065761A"/>
    <w:rsid w:val="0065761C"/>
    <w:rsid w:val="006602F3"/>
    <w:rsid w:val="006606DE"/>
    <w:rsid w:val="00660951"/>
    <w:rsid w:val="00660A56"/>
    <w:rsid w:val="00660FD0"/>
    <w:rsid w:val="006611B9"/>
    <w:rsid w:val="006617DA"/>
    <w:rsid w:val="00661F29"/>
    <w:rsid w:val="00661F63"/>
    <w:rsid w:val="006627F6"/>
    <w:rsid w:val="00662A39"/>
    <w:rsid w:val="00662C21"/>
    <w:rsid w:val="0066309B"/>
    <w:rsid w:val="006632C3"/>
    <w:rsid w:val="00663467"/>
    <w:rsid w:val="00663523"/>
    <w:rsid w:val="00663C7F"/>
    <w:rsid w:val="00663DAA"/>
    <w:rsid w:val="0066426F"/>
    <w:rsid w:val="00664353"/>
    <w:rsid w:val="00664417"/>
    <w:rsid w:val="00664815"/>
    <w:rsid w:val="00664A94"/>
    <w:rsid w:val="006655D2"/>
    <w:rsid w:val="00665B85"/>
    <w:rsid w:val="00666B52"/>
    <w:rsid w:val="00666C39"/>
    <w:rsid w:val="00666D67"/>
    <w:rsid w:val="0066704B"/>
    <w:rsid w:val="00670AA9"/>
    <w:rsid w:val="00670FA5"/>
    <w:rsid w:val="006715EE"/>
    <w:rsid w:val="00671783"/>
    <w:rsid w:val="006718B3"/>
    <w:rsid w:val="00671C24"/>
    <w:rsid w:val="00671EC2"/>
    <w:rsid w:val="00672927"/>
    <w:rsid w:val="0067376B"/>
    <w:rsid w:val="0067386D"/>
    <w:rsid w:val="00673BFF"/>
    <w:rsid w:val="00673EFF"/>
    <w:rsid w:val="00673F57"/>
    <w:rsid w:val="00674326"/>
    <w:rsid w:val="0067433B"/>
    <w:rsid w:val="00674BD4"/>
    <w:rsid w:val="006750B8"/>
    <w:rsid w:val="006765E5"/>
    <w:rsid w:val="006778FC"/>
    <w:rsid w:val="00677CCE"/>
    <w:rsid w:val="006816C5"/>
    <w:rsid w:val="00681B2A"/>
    <w:rsid w:val="006825F2"/>
    <w:rsid w:val="006828C8"/>
    <w:rsid w:val="0068296E"/>
    <w:rsid w:val="00683188"/>
    <w:rsid w:val="006836FB"/>
    <w:rsid w:val="0068381D"/>
    <w:rsid w:val="00684990"/>
    <w:rsid w:val="00685136"/>
    <w:rsid w:val="00685685"/>
    <w:rsid w:val="00685B11"/>
    <w:rsid w:val="00686202"/>
    <w:rsid w:val="006862B8"/>
    <w:rsid w:val="00686761"/>
    <w:rsid w:val="00686AB5"/>
    <w:rsid w:val="00686BD6"/>
    <w:rsid w:val="00686DAB"/>
    <w:rsid w:val="00687375"/>
    <w:rsid w:val="00690423"/>
    <w:rsid w:val="006904F0"/>
    <w:rsid w:val="0069090A"/>
    <w:rsid w:val="00691D3C"/>
    <w:rsid w:val="00691DE2"/>
    <w:rsid w:val="006924CD"/>
    <w:rsid w:val="00692516"/>
    <w:rsid w:val="0069364E"/>
    <w:rsid w:val="006936E8"/>
    <w:rsid w:val="00693CED"/>
    <w:rsid w:val="00694906"/>
    <w:rsid w:val="00694EDB"/>
    <w:rsid w:val="006955C9"/>
    <w:rsid w:val="00696D2F"/>
    <w:rsid w:val="006970A3"/>
    <w:rsid w:val="00697350"/>
    <w:rsid w:val="006973D8"/>
    <w:rsid w:val="00697722"/>
    <w:rsid w:val="00697A1C"/>
    <w:rsid w:val="00697BCD"/>
    <w:rsid w:val="00697BE5"/>
    <w:rsid w:val="006A035A"/>
    <w:rsid w:val="006A05EC"/>
    <w:rsid w:val="006A0741"/>
    <w:rsid w:val="006A0999"/>
    <w:rsid w:val="006A0A5F"/>
    <w:rsid w:val="006A0E77"/>
    <w:rsid w:val="006A0F4F"/>
    <w:rsid w:val="006A0FCE"/>
    <w:rsid w:val="006A115E"/>
    <w:rsid w:val="006A1552"/>
    <w:rsid w:val="006A2789"/>
    <w:rsid w:val="006A2BEF"/>
    <w:rsid w:val="006A2E34"/>
    <w:rsid w:val="006A347F"/>
    <w:rsid w:val="006A3485"/>
    <w:rsid w:val="006A370B"/>
    <w:rsid w:val="006A3DDA"/>
    <w:rsid w:val="006A47B4"/>
    <w:rsid w:val="006A4EC5"/>
    <w:rsid w:val="006A5065"/>
    <w:rsid w:val="006A5131"/>
    <w:rsid w:val="006A550E"/>
    <w:rsid w:val="006A5BEE"/>
    <w:rsid w:val="006A6B93"/>
    <w:rsid w:val="006A6BD1"/>
    <w:rsid w:val="006A7489"/>
    <w:rsid w:val="006A77E6"/>
    <w:rsid w:val="006A7871"/>
    <w:rsid w:val="006A7907"/>
    <w:rsid w:val="006A7B8D"/>
    <w:rsid w:val="006A7D5D"/>
    <w:rsid w:val="006B0141"/>
    <w:rsid w:val="006B03B8"/>
    <w:rsid w:val="006B0912"/>
    <w:rsid w:val="006B1451"/>
    <w:rsid w:val="006B1778"/>
    <w:rsid w:val="006B1836"/>
    <w:rsid w:val="006B256E"/>
    <w:rsid w:val="006B2A2A"/>
    <w:rsid w:val="006B331C"/>
    <w:rsid w:val="006B38C8"/>
    <w:rsid w:val="006B3977"/>
    <w:rsid w:val="006B3A8E"/>
    <w:rsid w:val="006B414E"/>
    <w:rsid w:val="006B4A71"/>
    <w:rsid w:val="006B4CB8"/>
    <w:rsid w:val="006B55D3"/>
    <w:rsid w:val="006B56B5"/>
    <w:rsid w:val="006B6183"/>
    <w:rsid w:val="006B626F"/>
    <w:rsid w:val="006B6ACC"/>
    <w:rsid w:val="006B6D21"/>
    <w:rsid w:val="006B7204"/>
    <w:rsid w:val="006B7339"/>
    <w:rsid w:val="006C010A"/>
    <w:rsid w:val="006C0B48"/>
    <w:rsid w:val="006C0EC8"/>
    <w:rsid w:val="006C165E"/>
    <w:rsid w:val="006C1677"/>
    <w:rsid w:val="006C2270"/>
    <w:rsid w:val="006C2458"/>
    <w:rsid w:val="006C2C78"/>
    <w:rsid w:val="006C2C92"/>
    <w:rsid w:val="006C2F17"/>
    <w:rsid w:val="006C312A"/>
    <w:rsid w:val="006C39D5"/>
    <w:rsid w:val="006C3CC9"/>
    <w:rsid w:val="006C45C6"/>
    <w:rsid w:val="006C55CA"/>
    <w:rsid w:val="006C56EB"/>
    <w:rsid w:val="006C5BE4"/>
    <w:rsid w:val="006C68B2"/>
    <w:rsid w:val="006C6AFF"/>
    <w:rsid w:val="006C72DA"/>
    <w:rsid w:val="006C77CC"/>
    <w:rsid w:val="006D01B7"/>
    <w:rsid w:val="006D1876"/>
    <w:rsid w:val="006D1CEB"/>
    <w:rsid w:val="006D32C7"/>
    <w:rsid w:val="006D3419"/>
    <w:rsid w:val="006D3924"/>
    <w:rsid w:val="006D3942"/>
    <w:rsid w:val="006D3B0C"/>
    <w:rsid w:val="006D3C06"/>
    <w:rsid w:val="006D4406"/>
    <w:rsid w:val="006D4425"/>
    <w:rsid w:val="006D4CEF"/>
    <w:rsid w:val="006D50B1"/>
    <w:rsid w:val="006D5185"/>
    <w:rsid w:val="006D569D"/>
    <w:rsid w:val="006D5725"/>
    <w:rsid w:val="006D5BA0"/>
    <w:rsid w:val="006D6812"/>
    <w:rsid w:val="006D69CC"/>
    <w:rsid w:val="006D6DCB"/>
    <w:rsid w:val="006D76B1"/>
    <w:rsid w:val="006D7A56"/>
    <w:rsid w:val="006D7BAF"/>
    <w:rsid w:val="006D7BF4"/>
    <w:rsid w:val="006E005A"/>
    <w:rsid w:val="006E021E"/>
    <w:rsid w:val="006E0354"/>
    <w:rsid w:val="006E09AB"/>
    <w:rsid w:val="006E0A3E"/>
    <w:rsid w:val="006E0CFE"/>
    <w:rsid w:val="006E1A23"/>
    <w:rsid w:val="006E1B68"/>
    <w:rsid w:val="006E2000"/>
    <w:rsid w:val="006E212B"/>
    <w:rsid w:val="006E32C2"/>
    <w:rsid w:val="006E32E9"/>
    <w:rsid w:val="006E35B8"/>
    <w:rsid w:val="006E3E0C"/>
    <w:rsid w:val="006E449C"/>
    <w:rsid w:val="006E4BD0"/>
    <w:rsid w:val="006E52AB"/>
    <w:rsid w:val="006E6823"/>
    <w:rsid w:val="006E72F9"/>
    <w:rsid w:val="006E7671"/>
    <w:rsid w:val="006E7979"/>
    <w:rsid w:val="006E7A9E"/>
    <w:rsid w:val="006E7F4E"/>
    <w:rsid w:val="006E7FD2"/>
    <w:rsid w:val="006F01FB"/>
    <w:rsid w:val="006F02AF"/>
    <w:rsid w:val="006F03A8"/>
    <w:rsid w:val="006F03F6"/>
    <w:rsid w:val="006F0769"/>
    <w:rsid w:val="006F13DC"/>
    <w:rsid w:val="006F1757"/>
    <w:rsid w:val="006F2198"/>
    <w:rsid w:val="006F257A"/>
    <w:rsid w:val="006F2DDD"/>
    <w:rsid w:val="006F2F44"/>
    <w:rsid w:val="006F3054"/>
    <w:rsid w:val="006F34CD"/>
    <w:rsid w:val="006F3F52"/>
    <w:rsid w:val="006F41FD"/>
    <w:rsid w:val="006F4C3D"/>
    <w:rsid w:val="006F4DC6"/>
    <w:rsid w:val="006F61BB"/>
    <w:rsid w:val="006F62AD"/>
    <w:rsid w:val="006F6518"/>
    <w:rsid w:val="006F7DD3"/>
    <w:rsid w:val="00700873"/>
    <w:rsid w:val="00700F7B"/>
    <w:rsid w:val="0070151B"/>
    <w:rsid w:val="0070224D"/>
    <w:rsid w:val="00702623"/>
    <w:rsid w:val="00703C5B"/>
    <w:rsid w:val="00703CA9"/>
    <w:rsid w:val="00703F5F"/>
    <w:rsid w:val="00703FB0"/>
    <w:rsid w:val="00704109"/>
    <w:rsid w:val="0070429D"/>
    <w:rsid w:val="007047DB"/>
    <w:rsid w:val="00704813"/>
    <w:rsid w:val="0070494F"/>
    <w:rsid w:val="00704B60"/>
    <w:rsid w:val="00705263"/>
    <w:rsid w:val="00705AC0"/>
    <w:rsid w:val="0070617E"/>
    <w:rsid w:val="007066F6"/>
    <w:rsid w:val="00706DF2"/>
    <w:rsid w:val="00707162"/>
    <w:rsid w:val="007075CF"/>
    <w:rsid w:val="00707720"/>
    <w:rsid w:val="00707CA0"/>
    <w:rsid w:val="00711108"/>
    <w:rsid w:val="00711B3D"/>
    <w:rsid w:val="0071205F"/>
    <w:rsid w:val="007120B1"/>
    <w:rsid w:val="007121B9"/>
    <w:rsid w:val="00712D16"/>
    <w:rsid w:val="00712DD9"/>
    <w:rsid w:val="00712F4F"/>
    <w:rsid w:val="00713016"/>
    <w:rsid w:val="007143E5"/>
    <w:rsid w:val="0071481E"/>
    <w:rsid w:val="00714865"/>
    <w:rsid w:val="00714C08"/>
    <w:rsid w:val="00714F06"/>
    <w:rsid w:val="007154D9"/>
    <w:rsid w:val="0071675B"/>
    <w:rsid w:val="00716AE1"/>
    <w:rsid w:val="00716CA6"/>
    <w:rsid w:val="00717155"/>
    <w:rsid w:val="007172F3"/>
    <w:rsid w:val="007173AC"/>
    <w:rsid w:val="00717804"/>
    <w:rsid w:val="00720140"/>
    <w:rsid w:val="00720210"/>
    <w:rsid w:val="00720615"/>
    <w:rsid w:val="007206AF"/>
    <w:rsid w:val="007208F0"/>
    <w:rsid w:val="00720B95"/>
    <w:rsid w:val="007210A7"/>
    <w:rsid w:val="007211D4"/>
    <w:rsid w:val="00721FE4"/>
    <w:rsid w:val="007220C3"/>
    <w:rsid w:val="00722CFA"/>
    <w:rsid w:val="00722F01"/>
    <w:rsid w:val="00722F37"/>
    <w:rsid w:val="00722F3B"/>
    <w:rsid w:val="00723344"/>
    <w:rsid w:val="0072343B"/>
    <w:rsid w:val="00723451"/>
    <w:rsid w:val="00723BF4"/>
    <w:rsid w:val="00723D38"/>
    <w:rsid w:val="007244E1"/>
    <w:rsid w:val="00725123"/>
    <w:rsid w:val="0072539D"/>
    <w:rsid w:val="0072684C"/>
    <w:rsid w:val="00726FA5"/>
    <w:rsid w:val="007279ED"/>
    <w:rsid w:val="00727A5F"/>
    <w:rsid w:val="00727D3F"/>
    <w:rsid w:val="0073004C"/>
    <w:rsid w:val="00730BD6"/>
    <w:rsid w:val="00730EC5"/>
    <w:rsid w:val="00730ECF"/>
    <w:rsid w:val="00731392"/>
    <w:rsid w:val="00731494"/>
    <w:rsid w:val="0073204E"/>
    <w:rsid w:val="0073219A"/>
    <w:rsid w:val="00732488"/>
    <w:rsid w:val="00732896"/>
    <w:rsid w:val="00733003"/>
    <w:rsid w:val="00733690"/>
    <w:rsid w:val="0073389F"/>
    <w:rsid w:val="00733C1C"/>
    <w:rsid w:val="007341E7"/>
    <w:rsid w:val="00734307"/>
    <w:rsid w:val="007343C8"/>
    <w:rsid w:val="0073442A"/>
    <w:rsid w:val="007344C7"/>
    <w:rsid w:val="00734A9C"/>
    <w:rsid w:val="00734CFB"/>
    <w:rsid w:val="007357E9"/>
    <w:rsid w:val="0073588B"/>
    <w:rsid w:val="0073597B"/>
    <w:rsid w:val="00737290"/>
    <w:rsid w:val="00737653"/>
    <w:rsid w:val="007378AE"/>
    <w:rsid w:val="00737ACE"/>
    <w:rsid w:val="00737CE7"/>
    <w:rsid w:val="00737E34"/>
    <w:rsid w:val="00737EE3"/>
    <w:rsid w:val="00740302"/>
    <w:rsid w:val="007403F5"/>
    <w:rsid w:val="007407A6"/>
    <w:rsid w:val="007408D5"/>
    <w:rsid w:val="00740B4F"/>
    <w:rsid w:val="00740C02"/>
    <w:rsid w:val="00740D6D"/>
    <w:rsid w:val="007412AD"/>
    <w:rsid w:val="007418E6"/>
    <w:rsid w:val="00741D3F"/>
    <w:rsid w:val="00742ADB"/>
    <w:rsid w:val="00742C82"/>
    <w:rsid w:val="00743007"/>
    <w:rsid w:val="007431F3"/>
    <w:rsid w:val="007432F9"/>
    <w:rsid w:val="00743A05"/>
    <w:rsid w:val="00743A90"/>
    <w:rsid w:val="007442A7"/>
    <w:rsid w:val="00744431"/>
    <w:rsid w:val="00744795"/>
    <w:rsid w:val="007448AB"/>
    <w:rsid w:val="00744A99"/>
    <w:rsid w:val="00745180"/>
    <w:rsid w:val="0074559F"/>
    <w:rsid w:val="00745928"/>
    <w:rsid w:val="00745BED"/>
    <w:rsid w:val="00746519"/>
    <w:rsid w:val="00746764"/>
    <w:rsid w:val="007469DA"/>
    <w:rsid w:val="00746D76"/>
    <w:rsid w:val="007472FA"/>
    <w:rsid w:val="00747872"/>
    <w:rsid w:val="00747E24"/>
    <w:rsid w:val="00750655"/>
    <w:rsid w:val="00750676"/>
    <w:rsid w:val="00750D90"/>
    <w:rsid w:val="00751086"/>
    <w:rsid w:val="007517C5"/>
    <w:rsid w:val="00751BF7"/>
    <w:rsid w:val="007520A5"/>
    <w:rsid w:val="007527B2"/>
    <w:rsid w:val="007528B4"/>
    <w:rsid w:val="00752B0D"/>
    <w:rsid w:val="00753398"/>
    <w:rsid w:val="00753AA9"/>
    <w:rsid w:val="00753C58"/>
    <w:rsid w:val="00754156"/>
    <w:rsid w:val="00754346"/>
    <w:rsid w:val="00754A64"/>
    <w:rsid w:val="00754BDF"/>
    <w:rsid w:val="00754D4B"/>
    <w:rsid w:val="007559C0"/>
    <w:rsid w:val="00755BBB"/>
    <w:rsid w:val="0075665B"/>
    <w:rsid w:val="007569DE"/>
    <w:rsid w:val="00756C2C"/>
    <w:rsid w:val="00756E12"/>
    <w:rsid w:val="00756F36"/>
    <w:rsid w:val="0075772C"/>
    <w:rsid w:val="007577CE"/>
    <w:rsid w:val="00757903"/>
    <w:rsid w:val="00757C99"/>
    <w:rsid w:val="007608CC"/>
    <w:rsid w:val="007608E7"/>
    <w:rsid w:val="00760E64"/>
    <w:rsid w:val="0076121E"/>
    <w:rsid w:val="00761AE9"/>
    <w:rsid w:val="00762C97"/>
    <w:rsid w:val="00762D64"/>
    <w:rsid w:val="00762EA1"/>
    <w:rsid w:val="00763BE2"/>
    <w:rsid w:val="00763F44"/>
    <w:rsid w:val="00764E3E"/>
    <w:rsid w:val="00764F5B"/>
    <w:rsid w:val="007652DE"/>
    <w:rsid w:val="00765421"/>
    <w:rsid w:val="00765E64"/>
    <w:rsid w:val="0076647A"/>
    <w:rsid w:val="0076680A"/>
    <w:rsid w:val="00766B16"/>
    <w:rsid w:val="0076718B"/>
    <w:rsid w:val="007672E1"/>
    <w:rsid w:val="00767592"/>
    <w:rsid w:val="0076791E"/>
    <w:rsid w:val="00767A7D"/>
    <w:rsid w:val="00767AA4"/>
    <w:rsid w:val="00770186"/>
    <w:rsid w:val="00770507"/>
    <w:rsid w:val="00770CE7"/>
    <w:rsid w:val="007717A7"/>
    <w:rsid w:val="007717AE"/>
    <w:rsid w:val="007729D6"/>
    <w:rsid w:val="0077309B"/>
    <w:rsid w:val="00773202"/>
    <w:rsid w:val="00773A13"/>
    <w:rsid w:val="007740B2"/>
    <w:rsid w:val="00774F6A"/>
    <w:rsid w:val="00775286"/>
    <w:rsid w:val="007758F0"/>
    <w:rsid w:val="007759B5"/>
    <w:rsid w:val="00775BC5"/>
    <w:rsid w:val="00776167"/>
    <w:rsid w:val="007763E2"/>
    <w:rsid w:val="00776F01"/>
    <w:rsid w:val="00777132"/>
    <w:rsid w:val="007779DA"/>
    <w:rsid w:val="00777D13"/>
    <w:rsid w:val="00777FFE"/>
    <w:rsid w:val="00780005"/>
    <w:rsid w:val="00780088"/>
    <w:rsid w:val="00780561"/>
    <w:rsid w:val="00781309"/>
    <w:rsid w:val="0078187A"/>
    <w:rsid w:val="00781E57"/>
    <w:rsid w:val="0078202E"/>
    <w:rsid w:val="0078237A"/>
    <w:rsid w:val="0078255A"/>
    <w:rsid w:val="007827A8"/>
    <w:rsid w:val="00782A5E"/>
    <w:rsid w:val="00782A75"/>
    <w:rsid w:val="00782DB7"/>
    <w:rsid w:val="007831C5"/>
    <w:rsid w:val="00783476"/>
    <w:rsid w:val="00783497"/>
    <w:rsid w:val="00784078"/>
    <w:rsid w:val="00784A07"/>
    <w:rsid w:val="00785FA6"/>
    <w:rsid w:val="00786A40"/>
    <w:rsid w:val="00787937"/>
    <w:rsid w:val="00787D25"/>
    <w:rsid w:val="00787E23"/>
    <w:rsid w:val="00790819"/>
    <w:rsid w:val="007909C4"/>
    <w:rsid w:val="00791B55"/>
    <w:rsid w:val="00792625"/>
    <w:rsid w:val="00792720"/>
    <w:rsid w:val="0079310C"/>
    <w:rsid w:val="00793113"/>
    <w:rsid w:val="0079338E"/>
    <w:rsid w:val="007933F0"/>
    <w:rsid w:val="00793830"/>
    <w:rsid w:val="00793894"/>
    <w:rsid w:val="0079432C"/>
    <w:rsid w:val="0079491A"/>
    <w:rsid w:val="0079589E"/>
    <w:rsid w:val="00795A7B"/>
    <w:rsid w:val="00795B29"/>
    <w:rsid w:val="00795BBF"/>
    <w:rsid w:val="00795EB9"/>
    <w:rsid w:val="007963F7"/>
    <w:rsid w:val="007966A3"/>
    <w:rsid w:val="00797B66"/>
    <w:rsid w:val="007A00CB"/>
    <w:rsid w:val="007A0758"/>
    <w:rsid w:val="007A087B"/>
    <w:rsid w:val="007A0EAE"/>
    <w:rsid w:val="007A3455"/>
    <w:rsid w:val="007A3A4D"/>
    <w:rsid w:val="007A3E39"/>
    <w:rsid w:val="007A40F5"/>
    <w:rsid w:val="007A4305"/>
    <w:rsid w:val="007A4429"/>
    <w:rsid w:val="007A5174"/>
    <w:rsid w:val="007A522F"/>
    <w:rsid w:val="007A58C3"/>
    <w:rsid w:val="007A5C37"/>
    <w:rsid w:val="007A6036"/>
    <w:rsid w:val="007A690D"/>
    <w:rsid w:val="007A7AD2"/>
    <w:rsid w:val="007A7D00"/>
    <w:rsid w:val="007B0542"/>
    <w:rsid w:val="007B07BC"/>
    <w:rsid w:val="007B12FE"/>
    <w:rsid w:val="007B145D"/>
    <w:rsid w:val="007B1580"/>
    <w:rsid w:val="007B17D8"/>
    <w:rsid w:val="007B2035"/>
    <w:rsid w:val="007B25FC"/>
    <w:rsid w:val="007B2623"/>
    <w:rsid w:val="007B274E"/>
    <w:rsid w:val="007B2EF0"/>
    <w:rsid w:val="007B3577"/>
    <w:rsid w:val="007B36B4"/>
    <w:rsid w:val="007B3A17"/>
    <w:rsid w:val="007B3A68"/>
    <w:rsid w:val="007B4296"/>
    <w:rsid w:val="007B4649"/>
    <w:rsid w:val="007B56D4"/>
    <w:rsid w:val="007B57B4"/>
    <w:rsid w:val="007B67A4"/>
    <w:rsid w:val="007B6FF4"/>
    <w:rsid w:val="007B759F"/>
    <w:rsid w:val="007B7974"/>
    <w:rsid w:val="007C0378"/>
    <w:rsid w:val="007C0DD0"/>
    <w:rsid w:val="007C1BB4"/>
    <w:rsid w:val="007C1FFA"/>
    <w:rsid w:val="007C32A4"/>
    <w:rsid w:val="007C32C6"/>
    <w:rsid w:val="007C33BB"/>
    <w:rsid w:val="007C39E7"/>
    <w:rsid w:val="007C3FEB"/>
    <w:rsid w:val="007C4E20"/>
    <w:rsid w:val="007C4E47"/>
    <w:rsid w:val="007C5584"/>
    <w:rsid w:val="007C5727"/>
    <w:rsid w:val="007C57C1"/>
    <w:rsid w:val="007C57D9"/>
    <w:rsid w:val="007C5A8B"/>
    <w:rsid w:val="007C6025"/>
    <w:rsid w:val="007C6307"/>
    <w:rsid w:val="007C6785"/>
    <w:rsid w:val="007C6F91"/>
    <w:rsid w:val="007C79F2"/>
    <w:rsid w:val="007C7F53"/>
    <w:rsid w:val="007D02D1"/>
    <w:rsid w:val="007D13A1"/>
    <w:rsid w:val="007D1C05"/>
    <w:rsid w:val="007D20E4"/>
    <w:rsid w:val="007D26DC"/>
    <w:rsid w:val="007D2EDA"/>
    <w:rsid w:val="007D3154"/>
    <w:rsid w:val="007D32D0"/>
    <w:rsid w:val="007D37D4"/>
    <w:rsid w:val="007D4136"/>
    <w:rsid w:val="007D425D"/>
    <w:rsid w:val="007D5415"/>
    <w:rsid w:val="007D6117"/>
    <w:rsid w:val="007D6213"/>
    <w:rsid w:val="007D661F"/>
    <w:rsid w:val="007D6DB9"/>
    <w:rsid w:val="007D6FFE"/>
    <w:rsid w:val="007D708E"/>
    <w:rsid w:val="007D7460"/>
    <w:rsid w:val="007D7791"/>
    <w:rsid w:val="007D78BF"/>
    <w:rsid w:val="007D79FE"/>
    <w:rsid w:val="007D7FFA"/>
    <w:rsid w:val="007E0A41"/>
    <w:rsid w:val="007E12A3"/>
    <w:rsid w:val="007E1B1B"/>
    <w:rsid w:val="007E2271"/>
    <w:rsid w:val="007E257D"/>
    <w:rsid w:val="007E2726"/>
    <w:rsid w:val="007E34E8"/>
    <w:rsid w:val="007E373A"/>
    <w:rsid w:val="007E3981"/>
    <w:rsid w:val="007E3DCA"/>
    <w:rsid w:val="007E40E8"/>
    <w:rsid w:val="007E42F3"/>
    <w:rsid w:val="007E4B2E"/>
    <w:rsid w:val="007E4DA0"/>
    <w:rsid w:val="007E4FCB"/>
    <w:rsid w:val="007E518A"/>
    <w:rsid w:val="007E55A1"/>
    <w:rsid w:val="007E56FB"/>
    <w:rsid w:val="007E5ADC"/>
    <w:rsid w:val="007E62A9"/>
    <w:rsid w:val="007E66B8"/>
    <w:rsid w:val="007E6FD6"/>
    <w:rsid w:val="007E78B0"/>
    <w:rsid w:val="007E795D"/>
    <w:rsid w:val="007E7B4C"/>
    <w:rsid w:val="007F028A"/>
    <w:rsid w:val="007F08D7"/>
    <w:rsid w:val="007F097D"/>
    <w:rsid w:val="007F09CA"/>
    <w:rsid w:val="007F219F"/>
    <w:rsid w:val="007F2BB6"/>
    <w:rsid w:val="007F2E99"/>
    <w:rsid w:val="007F3123"/>
    <w:rsid w:val="007F32AB"/>
    <w:rsid w:val="007F358A"/>
    <w:rsid w:val="007F3AFB"/>
    <w:rsid w:val="007F3BFE"/>
    <w:rsid w:val="007F41C0"/>
    <w:rsid w:val="007F42BD"/>
    <w:rsid w:val="007F42DD"/>
    <w:rsid w:val="007F4982"/>
    <w:rsid w:val="007F4A8C"/>
    <w:rsid w:val="007F4F79"/>
    <w:rsid w:val="007F5682"/>
    <w:rsid w:val="007F5D5E"/>
    <w:rsid w:val="007F63B2"/>
    <w:rsid w:val="007F6851"/>
    <w:rsid w:val="007F76FF"/>
    <w:rsid w:val="00800EC6"/>
    <w:rsid w:val="00800F80"/>
    <w:rsid w:val="00801358"/>
    <w:rsid w:val="0080165E"/>
    <w:rsid w:val="0080168D"/>
    <w:rsid w:val="00801E36"/>
    <w:rsid w:val="00802029"/>
    <w:rsid w:val="00802084"/>
    <w:rsid w:val="008022B5"/>
    <w:rsid w:val="00802BD3"/>
    <w:rsid w:val="008033EB"/>
    <w:rsid w:val="00803C52"/>
    <w:rsid w:val="00803EF5"/>
    <w:rsid w:val="008040F9"/>
    <w:rsid w:val="008044F4"/>
    <w:rsid w:val="00804681"/>
    <w:rsid w:val="00804F2D"/>
    <w:rsid w:val="00804FBF"/>
    <w:rsid w:val="00805088"/>
    <w:rsid w:val="00805646"/>
    <w:rsid w:val="00806055"/>
    <w:rsid w:val="00806AD0"/>
    <w:rsid w:val="00806C72"/>
    <w:rsid w:val="00806F79"/>
    <w:rsid w:val="00806FA5"/>
    <w:rsid w:val="00807007"/>
    <w:rsid w:val="008072C7"/>
    <w:rsid w:val="008075B8"/>
    <w:rsid w:val="00807973"/>
    <w:rsid w:val="00807D57"/>
    <w:rsid w:val="00807DBC"/>
    <w:rsid w:val="00810243"/>
    <w:rsid w:val="0081036E"/>
    <w:rsid w:val="008108A2"/>
    <w:rsid w:val="008108A6"/>
    <w:rsid w:val="00810AF8"/>
    <w:rsid w:val="00811816"/>
    <w:rsid w:val="00811C7B"/>
    <w:rsid w:val="00811D1D"/>
    <w:rsid w:val="0081201E"/>
    <w:rsid w:val="0081209E"/>
    <w:rsid w:val="0081211A"/>
    <w:rsid w:val="0081269C"/>
    <w:rsid w:val="00812E07"/>
    <w:rsid w:val="008133DE"/>
    <w:rsid w:val="0081343E"/>
    <w:rsid w:val="00813843"/>
    <w:rsid w:val="0081490D"/>
    <w:rsid w:val="00814B7D"/>
    <w:rsid w:val="00815153"/>
    <w:rsid w:val="00815271"/>
    <w:rsid w:val="00815C53"/>
    <w:rsid w:val="008164F4"/>
    <w:rsid w:val="00817418"/>
    <w:rsid w:val="008175D9"/>
    <w:rsid w:val="00817D94"/>
    <w:rsid w:val="00820182"/>
    <w:rsid w:val="00820192"/>
    <w:rsid w:val="0082068D"/>
    <w:rsid w:val="008207E0"/>
    <w:rsid w:val="00820DCA"/>
    <w:rsid w:val="00820EDD"/>
    <w:rsid w:val="00821C77"/>
    <w:rsid w:val="00821CA4"/>
    <w:rsid w:val="0082224F"/>
    <w:rsid w:val="0082243D"/>
    <w:rsid w:val="00822ADD"/>
    <w:rsid w:val="00822FEE"/>
    <w:rsid w:val="008233CE"/>
    <w:rsid w:val="0082365C"/>
    <w:rsid w:val="008236BC"/>
    <w:rsid w:val="00823A96"/>
    <w:rsid w:val="00823F17"/>
    <w:rsid w:val="00824C2E"/>
    <w:rsid w:val="00824EA0"/>
    <w:rsid w:val="008250DD"/>
    <w:rsid w:val="00825365"/>
    <w:rsid w:val="00825836"/>
    <w:rsid w:val="00825968"/>
    <w:rsid w:val="00825BCE"/>
    <w:rsid w:val="00825BF7"/>
    <w:rsid w:val="008267B2"/>
    <w:rsid w:val="008272FF"/>
    <w:rsid w:val="00827677"/>
    <w:rsid w:val="00827835"/>
    <w:rsid w:val="008301DD"/>
    <w:rsid w:val="008309CE"/>
    <w:rsid w:val="00830E9F"/>
    <w:rsid w:val="00831040"/>
    <w:rsid w:val="00831083"/>
    <w:rsid w:val="00831172"/>
    <w:rsid w:val="0083122C"/>
    <w:rsid w:val="008319E4"/>
    <w:rsid w:val="008324A7"/>
    <w:rsid w:val="00832621"/>
    <w:rsid w:val="00832BB4"/>
    <w:rsid w:val="00832E87"/>
    <w:rsid w:val="00833644"/>
    <w:rsid w:val="00833DAA"/>
    <w:rsid w:val="00834236"/>
    <w:rsid w:val="008359C1"/>
    <w:rsid w:val="00835A10"/>
    <w:rsid w:val="008363B0"/>
    <w:rsid w:val="00836567"/>
    <w:rsid w:val="008365C7"/>
    <w:rsid w:val="008369A1"/>
    <w:rsid w:val="00836AAC"/>
    <w:rsid w:val="00836DA9"/>
    <w:rsid w:val="0083734B"/>
    <w:rsid w:val="0084005E"/>
    <w:rsid w:val="00840338"/>
    <w:rsid w:val="00840C74"/>
    <w:rsid w:val="00840E42"/>
    <w:rsid w:val="0084175B"/>
    <w:rsid w:val="00841A0B"/>
    <w:rsid w:val="00842BB3"/>
    <w:rsid w:val="00842E5C"/>
    <w:rsid w:val="00842E7A"/>
    <w:rsid w:val="008433D3"/>
    <w:rsid w:val="008434EB"/>
    <w:rsid w:val="00843D5D"/>
    <w:rsid w:val="00844690"/>
    <w:rsid w:val="008449A6"/>
    <w:rsid w:val="008458F1"/>
    <w:rsid w:val="00845B2D"/>
    <w:rsid w:val="008460A7"/>
    <w:rsid w:val="00846409"/>
    <w:rsid w:val="0084676F"/>
    <w:rsid w:val="00846C36"/>
    <w:rsid w:val="00846D5C"/>
    <w:rsid w:val="00846EE0"/>
    <w:rsid w:val="0084745B"/>
    <w:rsid w:val="00847944"/>
    <w:rsid w:val="00850423"/>
    <w:rsid w:val="00850BBB"/>
    <w:rsid w:val="008514D4"/>
    <w:rsid w:val="00851864"/>
    <w:rsid w:val="00851975"/>
    <w:rsid w:val="00851A70"/>
    <w:rsid w:val="00851B58"/>
    <w:rsid w:val="0085248C"/>
    <w:rsid w:val="008528E5"/>
    <w:rsid w:val="008531BC"/>
    <w:rsid w:val="0085386F"/>
    <w:rsid w:val="008538F2"/>
    <w:rsid w:val="00853DD8"/>
    <w:rsid w:val="008541CB"/>
    <w:rsid w:val="00854461"/>
    <w:rsid w:val="0085485E"/>
    <w:rsid w:val="0085496E"/>
    <w:rsid w:val="00854B2A"/>
    <w:rsid w:val="00855A94"/>
    <w:rsid w:val="00855F7F"/>
    <w:rsid w:val="0085652B"/>
    <w:rsid w:val="0085660F"/>
    <w:rsid w:val="008566EE"/>
    <w:rsid w:val="0085677D"/>
    <w:rsid w:val="008569DE"/>
    <w:rsid w:val="00856D84"/>
    <w:rsid w:val="0085715C"/>
    <w:rsid w:val="008572C3"/>
    <w:rsid w:val="00860993"/>
    <w:rsid w:val="00860E4A"/>
    <w:rsid w:val="00860F16"/>
    <w:rsid w:val="00860F4B"/>
    <w:rsid w:val="0086103C"/>
    <w:rsid w:val="00861104"/>
    <w:rsid w:val="00861227"/>
    <w:rsid w:val="00861633"/>
    <w:rsid w:val="00861AFF"/>
    <w:rsid w:val="00861BC9"/>
    <w:rsid w:val="00861C93"/>
    <w:rsid w:val="00862E3E"/>
    <w:rsid w:val="008637C1"/>
    <w:rsid w:val="00863A47"/>
    <w:rsid w:val="00863C87"/>
    <w:rsid w:val="008642AF"/>
    <w:rsid w:val="008651D8"/>
    <w:rsid w:val="00865BCB"/>
    <w:rsid w:val="00866AF5"/>
    <w:rsid w:val="00866CB3"/>
    <w:rsid w:val="00867B0A"/>
    <w:rsid w:val="008706EE"/>
    <w:rsid w:val="00870760"/>
    <w:rsid w:val="00870BE0"/>
    <w:rsid w:val="00871445"/>
    <w:rsid w:val="00871CD4"/>
    <w:rsid w:val="00871DDE"/>
    <w:rsid w:val="0087259C"/>
    <w:rsid w:val="00872644"/>
    <w:rsid w:val="00872EDA"/>
    <w:rsid w:val="0087356A"/>
    <w:rsid w:val="00873BFC"/>
    <w:rsid w:val="00874089"/>
    <w:rsid w:val="008741E9"/>
    <w:rsid w:val="00874357"/>
    <w:rsid w:val="00874523"/>
    <w:rsid w:val="00874608"/>
    <w:rsid w:val="00874EE3"/>
    <w:rsid w:val="00876090"/>
    <w:rsid w:val="00876A0D"/>
    <w:rsid w:val="008802B3"/>
    <w:rsid w:val="0088058C"/>
    <w:rsid w:val="00880CFE"/>
    <w:rsid w:val="0088115B"/>
    <w:rsid w:val="008818A3"/>
    <w:rsid w:val="00881C73"/>
    <w:rsid w:val="00881E24"/>
    <w:rsid w:val="008820F0"/>
    <w:rsid w:val="00882139"/>
    <w:rsid w:val="00882B9D"/>
    <w:rsid w:val="00883076"/>
    <w:rsid w:val="008830AA"/>
    <w:rsid w:val="0088320E"/>
    <w:rsid w:val="00883DD1"/>
    <w:rsid w:val="008841C1"/>
    <w:rsid w:val="0088428B"/>
    <w:rsid w:val="00884B71"/>
    <w:rsid w:val="00884CA1"/>
    <w:rsid w:val="00885AFA"/>
    <w:rsid w:val="00885C4A"/>
    <w:rsid w:val="0088665D"/>
    <w:rsid w:val="00887204"/>
    <w:rsid w:val="0088735A"/>
    <w:rsid w:val="008874C3"/>
    <w:rsid w:val="008874F8"/>
    <w:rsid w:val="00887B20"/>
    <w:rsid w:val="00890131"/>
    <w:rsid w:val="0089077A"/>
    <w:rsid w:val="00890816"/>
    <w:rsid w:val="00890BA0"/>
    <w:rsid w:val="008912E7"/>
    <w:rsid w:val="0089136B"/>
    <w:rsid w:val="008913E4"/>
    <w:rsid w:val="00891411"/>
    <w:rsid w:val="00891542"/>
    <w:rsid w:val="00891820"/>
    <w:rsid w:val="00891B3A"/>
    <w:rsid w:val="00892E4E"/>
    <w:rsid w:val="00892F80"/>
    <w:rsid w:val="00893046"/>
    <w:rsid w:val="008934B2"/>
    <w:rsid w:val="008939C3"/>
    <w:rsid w:val="008939FF"/>
    <w:rsid w:val="00893ACD"/>
    <w:rsid w:val="00893D3C"/>
    <w:rsid w:val="00893FAA"/>
    <w:rsid w:val="008940A3"/>
    <w:rsid w:val="008944BA"/>
    <w:rsid w:val="008944EC"/>
    <w:rsid w:val="00894828"/>
    <w:rsid w:val="00895350"/>
    <w:rsid w:val="00895856"/>
    <w:rsid w:val="00895A40"/>
    <w:rsid w:val="008960EA"/>
    <w:rsid w:val="008976F3"/>
    <w:rsid w:val="008A08EF"/>
    <w:rsid w:val="008A0BDB"/>
    <w:rsid w:val="008A0EA3"/>
    <w:rsid w:val="008A1BAE"/>
    <w:rsid w:val="008A1CB4"/>
    <w:rsid w:val="008A219F"/>
    <w:rsid w:val="008A22D1"/>
    <w:rsid w:val="008A270D"/>
    <w:rsid w:val="008A2952"/>
    <w:rsid w:val="008A30E2"/>
    <w:rsid w:val="008A38E8"/>
    <w:rsid w:val="008A39A1"/>
    <w:rsid w:val="008A3E45"/>
    <w:rsid w:val="008A4ABD"/>
    <w:rsid w:val="008A528F"/>
    <w:rsid w:val="008A5E00"/>
    <w:rsid w:val="008A6179"/>
    <w:rsid w:val="008A6349"/>
    <w:rsid w:val="008A6904"/>
    <w:rsid w:val="008A71DE"/>
    <w:rsid w:val="008A72CC"/>
    <w:rsid w:val="008A7E5B"/>
    <w:rsid w:val="008A7E69"/>
    <w:rsid w:val="008B013F"/>
    <w:rsid w:val="008B0438"/>
    <w:rsid w:val="008B058C"/>
    <w:rsid w:val="008B13D8"/>
    <w:rsid w:val="008B21DF"/>
    <w:rsid w:val="008B243A"/>
    <w:rsid w:val="008B263C"/>
    <w:rsid w:val="008B2655"/>
    <w:rsid w:val="008B2731"/>
    <w:rsid w:val="008B27D3"/>
    <w:rsid w:val="008B2D3B"/>
    <w:rsid w:val="008B2F21"/>
    <w:rsid w:val="008B3003"/>
    <w:rsid w:val="008B3D3E"/>
    <w:rsid w:val="008B3D65"/>
    <w:rsid w:val="008B3FB5"/>
    <w:rsid w:val="008B4E77"/>
    <w:rsid w:val="008B579D"/>
    <w:rsid w:val="008B57DA"/>
    <w:rsid w:val="008B67A1"/>
    <w:rsid w:val="008B6B2B"/>
    <w:rsid w:val="008B6E5E"/>
    <w:rsid w:val="008B6EF7"/>
    <w:rsid w:val="008B7948"/>
    <w:rsid w:val="008B7C09"/>
    <w:rsid w:val="008B7CD2"/>
    <w:rsid w:val="008B7D70"/>
    <w:rsid w:val="008B7FC9"/>
    <w:rsid w:val="008C0E99"/>
    <w:rsid w:val="008C17BE"/>
    <w:rsid w:val="008C199A"/>
    <w:rsid w:val="008C1DAA"/>
    <w:rsid w:val="008C1EF8"/>
    <w:rsid w:val="008C2065"/>
    <w:rsid w:val="008C2705"/>
    <w:rsid w:val="008C28D1"/>
    <w:rsid w:val="008C2B1B"/>
    <w:rsid w:val="008C2F1F"/>
    <w:rsid w:val="008C3232"/>
    <w:rsid w:val="008C32CF"/>
    <w:rsid w:val="008C3575"/>
    <w:rsid w:val="008C3BB5"/>
    <w:rsid w:val="008C3E26"/>
    <w:rsid w:val="008C4084"/>
    <w:rsid w:val="008C4208"/>
    <w:rsid w:val="008C460E"/>
    <w:rsid w:val="008C476B"/>
    <w:rsid w:val="008C47E9"/>
    <w:rsid w:val="008C508C"/>
    <w:rsid w:val="008C51C4"/>
    <w:rsid w:val="008C5776"/>
    <w:rsid w:val="008C57D5"/>
    <w:rsid w:val="008C5BD5"/>
    <w:rsid w:val="008C5D94"/>
    <w:rsid w:val="008C5DC1"/>
    <w:rsid w:val="008C5F47"/>
    <w:rsid w:val="008C60AE"/>
    <w:rsid w:val="008C61D1"/>
    <w:rsid w:val="008C6540"/>
    <w:rsid w:val="008C6674"/>
    <w:rsid w:val="008C694A"/>
    <w:rsid w:val="008C6A0B"/>
    <w:rsid w:val="008C6C47"/>
    <w:rsid w:val="008C73ED"/>
    <w:rsid w:val="008C7491"/>
    <w:rsid w:val="008C77A2"/>
    <w:rsid w:val="008C7CF6"/>
    <w:rsid w:val="008C7F0C"/>
    <w:rsid w:val="008D0089"/>
    <w:rsid w:val="008D106A"/>
    <w:rsid w:val="008D1425"/>
    <w:rsid w:val="008D1985"/>
    <w:rsid w:val="008D199A"/>
    <w:rsid w:val="008D2471"/>
    <w:rsid w:val="008D281C"/>
    <w:rsid w:val="008D36A3"/>
    <w:rsid w:val="008D3AED"/>
    <w:rsid w:val="008D3AF8"/>
    <w:rsid w:val="008D437B"/>
    <w:rsid w:val="008D5040"/>
    <w:rsid w:val="008D5C24"/>
    <w:rsid w:val="008D5CC2"/>
    <w:rsid w:val="008D5DE9"/>
    <w:rsid w:val="008D6353"/>
    <w:rsid w:val="008D6A1B"/>
    <w:rsid w:val="008D6E15"/>
    <w:rsid w:val="008D7066"/>
    <w:rsid w:val="008D728E"/>
    <w:rsid w:val="008D7EA4"/>
    <w:rsid w:val="008D7EB8"/>
    <w:rsid w:val="008E00D9"/>
    <w:rsid w:val="008E0CB0"/>
    <w:rsid w:val="008E0FA7"/>
    <w:rsid w:val="008E121E"/>
    <w:rsid w:val="008E1296"/>
    <w:rsid w:val="008E14CE"/>
    <w:rsid w:val="008E19E0"/>
    <w:rsid w:val="008E2389"/>
    <w:rsid w:val="008E30B6"/>
    <w:rsid w:val="008E4BD8"/>
    <w:rsid w:val="008E4C5B"/>
    <w:rsid w:val="008E4C9E"/>
    <w:rsid w:val="008E5753"/>
    <w:rsid w:val="008E5A8F"/>
    <w:rsid w:val="008E5ABF"/>
    <w:rsid w:val="008E5C18"/>
    <w:rsid w:val="008E5EC7"/>
    <w:rsid w:val="008E5ECB"/>
    <w:rsid w:val="008E6C10"/>
    <w:rsid w:val="008E6C81"/>
    <w:rsid w:val="008E6EF4"/>
    <w:rsid w:val="008E7920"/>
    <w:rsid w:val="008E7D02"/>
    <w:rsid w:val="008E7F77"/>
    <w:rsid w:val="008F0503"/>
    <w:rsid w:val="008F08D5"/>
    <w:rsid w:val="008F0F7C"/>
    <w:rsid w:val="008F0FA2"/>
    <w:rsid w:val="008F2D9A"/>
    <w:rsid w:val="008F35A2"/>
    <w:rsid w:val="008F3841"/>
    <w:rsid w:val="008F384A"/>
    <w:rsid w:val="008F4161"/>
    <w:rsid w:val="008F43DB"/>
    <w:rsid w:val="008F4931"/>
    <w:rsid w:val="008F4A07"/>
    <w:rsid w:val="008F4FCB"/>
    <w:rsid w:val="008F5CFE"/>
    <w:rsid w:val="008F65AC"/>
    <w:rsid w:val="008F6C9C"/>
    <w:rsid w:val="008F6DD2"/>
    <w:rsid w:val="008F7120"/>
    <w:rsid w:val="008F74E1"/>
    <w:rsid w:val="008F7730"/>
    <w:rsid w:val="00900609"/>
    <w:rsid w:val="00900951"/>
    <w:rsid w:val="00900BA6"/>
    <w:rsid w:val="00900BB4"/>
    <w:rsid w:val="00901AC2"/>
    <w:rsid w:val="00901AD4"/>
    <w:rsid w:val="00901B8B"/>
    <w:rsid w:val="00902142"/>
    <w:rsid w:val="0090233D"/>
    <w:rsid w:val="009025DE"/>
    <w:rsid w:val="00902DC2"/>
    <w:rsid w:val="0090308E"/>
    <w:rsid w:val="00903A4D"/>
    <w:rsid w:val="0090437C"/>
    <w:rsid w:val="009043F3"/>
    <w:rsid w:val="00904683"/>
    <w:rsid w:val="0090480F"/>
    <w:rsid w:val="0090629C"/>
    <w:rsid w:val="00906310"/>
    <w:rsid w:val="00907C73"/>
    <w:rsid w:val="00907CBD"/>
    <w:rsid w:val="00907D6C"/>
    <w:rsid w:val="00910340"/>
    <w:rsid w:val="0091044F"/>
    <w:rsid w:val="009115A0"/>
    <w:rsid w:val="0091171B"/>
    <w:rsid w:val="00911A7C"/>
    <w:rsid w:val="00911AD9"/>
    <w:rsid w:val="00911B41"/>
    <w:rsid w:val="00912711"/>
    <w:rsid w:val="00912979"/>
    <w:rsid w:val="00912F46"/>
    <w:rsid w:val="00913390"/>
    <w:rsid w:val="00913479"/>
    <w:rsid w:val="00913637"/>
    <w:rsid w:val="009136B4"/>
    <w:rsid w:val="0091386E"/>
    <w:rsid w:val="00913A99"/>
    <w:rsid w:val="00913BBD"/>
    <w:rsid w:val="009141CA"/>
    <w:rsid w:val="00914D38"/>
    <w:rsid w:val="00914E79"/>
    <w:rsid w:val="009152BE"/>
    <w:rsid w:val="009152CC"/>
    <w:rsid w:val="009156AA"/>
    <w:rsid w:val="00915FD1"/>
    <w:rsid w:val="00916824"/>
    <w:rsid w:val="00917147"/>
    <w:rsid w:val="009176A9"/>
    <w:rsid w:val="009202DD"/>
    <w:rsid w:val="009203AA"/>
    <w:rsid w:val="00920425"/>
    <w:rsid w:val="00920469"/>
    <w:rsid w:val="00920A11"/>
    <w:rsid w:val="00920D87"/>
    <w:rsid w:val="0092160B"/>
    <w:rsid w:val="0092187B"/>
    <w:rsid w:val="00921B4F"/>
    <w:rsid w:val="00921D09"/>
    <w:rsid w:val="00922484"/>
    <w:rsid w:val="009227DD"/>
    <w:rsid w:val="0092311E"/>
    <w:rsid w:val="0092322C"/>
    <w:rsid w:val="00923788"/>
    <w:rsid w:val="009240A2"/>
    <w:rsid w:val="00924598"/>
    <w:rsid w:val="00924BE9"/>
    <w:rsid w:val="00924CEF"/>
    <w:rsid w:val="00924E0D"/>
    <w:rsid w:val="00925347"/>
    <w:rsid w:val="009255D4"/>
    <w:rsid w:val="009256AD"/>
    <w:rsid w:val="00925940"/>
    <w:rsid w:val="00925A6C"/>
    <w:rsid w:val="00925B98"/>
    <w:rsid w:val="009265CB"/>
    <w:rsid w:val="00926C5F"/>
    <w:rsid w:val="00927163"/>
    <w:rsid w:val="00927D24"/>
    <w:rsid w:val="00927DBF"/>
    <w:rsid w:val="009301DD"/>
    <w:rsid w:val="00930C4A"/>
    <w:rsid w:val="00930FDE"/>
    <w:rsid w:val="009315EE"/>
    <w:rsid w:val="00931639"/>
    <w:rsid w:val="009317E0"/>
    <w:rsid w:val="00931921"/>
    <w:rsid w:val="00931B5D"/>
    <w:rsid w:val="00931CB6"/>
    <w:rsid w:val="009323FA"/>
    <w:rsid w:val="0093339B"/>
    <w:rsid w:val="00933771"/>
    <w:rsid w:val="0093391A"/>
    <w:rsid w:val="00933DD5"/>
    <w:rsid w:val="00934009"/>
    <w:rsid w:val="009340A7"/>
    <w:rsid w:val="00934105"/>
    <w:rsid w:val="009345B3"/>
    <w:rsid w:val="00935BEA"/>
    <w:rsid w:val="00935D4A"/>
    <w:rsid w:val="00936554"/>
    <w:rsid w:val="0093660C"/>
    <w:rsid w:val="00936648"/>
    <w:rsid w:val="00936962"/>
    <w:rsid w:val="00936D03"/>
    <w:rsid w:val="0093707B"/>
    <w:rsid w:val="0093763D"/>
    <w:rsid w:val="0094029C"/>
    <w:rsid w:val="00940318"/>
    <w:rsid w:val="00940C2D"/>
    <w:rsid w:val="00940EA6"/>
    <w:rsid w:val="009418D0"/>
    <w:rsid w:val="009418D8"/>
    <w:rsid w:val="00942033"/>
    <w:rsid w:val="00942825"/>
    <w:rsid w:val="0094299C"/>
    <w:rsid w:val="009429EC"/>
    <w:rsid w:val="009431E6"/>
    <w:rsid w:val="009432EE"/>
    <w:rsid w:val="00943E86"/>
    <w:rsid w:val="0094463A"/>
    <w:rsid w:val="009447C0"/>
    <w:rsid w:val="00944E07"/>
    <w:rsid w:val="00944EC6"/>
    <w:rsid w:val="009464F3"/>
    <w:rsid w:val="00947166"/>
    <w:rsid w:val="00947D4F"/>
    <w:rsid w:val="00950110"/>
    <w:rsid w:val="00950366"/>
    <w:rsid w:val="0095054C"/>
    <w:rsid w:val="00950856"/>
    <w:rsid w:val="00951EFF"/>
    <w:rsid w:val="009521BD"/>
    <w:rsid w:val="009523CD"/>
    <w:rsid w:val="009528D3"/>
    <w:rsid w:val="00952970"/>
    <w:rsid w:val="00952CFD"/>
    <w:rsid w:val="00953174"/>
    <w:rsid w:val="00953477"/>
    <w:rsid w:val="00953FC4"/>
    <w:rsid w:val="0095445C"/>
    <w:rsid w:val="00954D89"/>
    <w:rsid w:val="009551C2"/>
    <w:rsid w:val="0095525E"/>
    <w:rsid w:val="009552B1"/>
    <w:rsid w:val="009553F8"/>
    <w:rsid w:val="00955469"/>
    <w:rsid w:val="00955B22"/>
    <w:rsid w:val="00956BD4"/>
    <w:rsid w:val="0095713D"/>
    <w:rsid w:val="00957804"/>
    <w:rsid w:val="00957AAE"/>
    <w:rsid w:val="009601A5"/>
    <w:rsid w:val="009602B9"/>
    <w:rsid w:val="00960326"/>
    <w:rsid w:val="00960939"/>
    <w:rsid w:val="00960A70"/>
    <w:rsid w:val="00960CC3"/>
    <w:rsid w:val="00960D1F"/>
    <w:rsid w:val="00962048"/>
    <w:rsid w:val="009620B3"/>
    <w:rsid w:val="009620F6"/>
    <w:rsid w:val="0096288D"/>
    <w:rsid w:val="00962E46"/>
    <w:rsid w:val="009632AA"/>
    <w:rsid w:val="00963609"/>
    <w:rsid w:val="00963D34"/>
    <w:rsid w:val="009644F9"/>
    <w:rsid w:val="00964900"/>
    <w:rsid w:val="00964AB7"/>
    <w:rsid w:val="00964F39"/>
    <w:rsid w:val="00965527"/>
    <w:rsid w:val="00965624"/>
    <w:rsid w:val="00965D6F"/>
    <w:rsid w:val="00965FE5"/>
    <w:rsid w:val="00966D13"/>
    <w:rsid w:val="00967647"/>
    <w:rsid w:val="00967842"/>
    <w:rsid w:val="00967C09"/>
    <w:rsid w:val="009703ED"/>
    <w:rsid w:val="0097179E"/>
    <w:rsid w:val="00971ADA"/>
    <w:rsid w:val="00971DC4"/>
    <w:rsid w:val="009722D1"/>
    <w:rsid w:val="009728BD"/>
    <w:rsid w:val="00972FBF"/>
    <w:rsid w:val="00973168"/>
    <w:rsid w:val="009734E5"/>
    <w:rsid w:val="009740F0"/>
    <w:rsid w:val="0097493A"/>
    <w:rsid w:val="00974990"/>
    <w:rsid w:val="00974DF9"/>
    <w:rsid w:val="00975128"/>
    <w:rsid w:val="009751EF"/>
    <w:rsid w:val="00975942"/>
    <w:rsid w:val="00975E7F"/>
    <w:rsid w:val="00975FA6"/>
    <w:rsid w:val="00977173"/>
    <w:rsid w:val="009775EB"/>
    <w:rsid w:val="00977757"/>
    <w:rsid w:val="00977D3A"/>
    <w:rsid w:val="00980434"/>
    <w:rsid w:val="009808C3"/>
    <w:rsid w:val="0098178A"/>
    <w:rsid w:val="00981A7E"/>
    <w:rsid w:val="00982700"/>
    <w:rsid w:val="00982C31"/>
    <w:rsid w:val="00982C9F"/>
    <w:rsid w:val="0098330C"/>
    <w:rsid w:val="00983D25"/>
    <w:rsid w:val="00983F19"/>
    <w:rsid w:val="00984309"/>
    <w:rsid w:val="009846B4"/>
    <w:rsid w:val="00984F62"/>
    <w:rsid w:val="00985752"/>
    <w:rsid w:val="00985B05"/>
    <w:rsid w:val="00986217"/>
    <w:rsid w:val="00986406"/>
    <w:rsid w:val="00986531"/>
    <w:rsid w:val="00987120"/>
    <w:rsid w:val="009879B9"/>
    <w:rsid w:val="009912AA"/>
    <w:rsid w:val="00991C6D"/>
    <w:rsid w:val="00991E1C"/>
    <w:rsid w:val="009923EC"/>
    <w:rsid w:val="009927DA"/>
    <w:rsid w:val="00992CFB"/>
    <w:rsid w:val="00993089"/>
    <w:rsid w:val="009938C8"/>
    <w:rsid w:val="00993BFF"/>
    <w:rsid w:val="00993E68"/>
    <w:rsid w:val="009941A8"/>
    <w:rsid w:val="00994CAE"/>
    <w:rsid w:val="009950D9"/>
    <w:rsid w:val="00995C63"/>
    <w:rsid w:val="009962D5"/>
    <w:rsid w:val="00996CE7"/>
    <w:rsid w:val="00996EBC"/>
    <w:rsid w:val="00996EF8"/>
    <w:rsid w:val="0099734F"/>
    <w:rsid w:val="009976FB"/>
    <w:rsid w:val="00997763"/>
    <w:rsid w:val="009979DC"/>
    <w:rsid w:val="00997D23"/>
    <w:rsid w:val="009A01E4"/>
    <w:rsid w:val="009A05F8"/>
    <w:rsid w:val="009A0C6B"/>
    <w:rsid w:val="009A1486"/>
    <w:rsid w:val="009A1898"/>
    <w:rsid w:val="009A1EB6"/>
    <w:rsid w:val="009A21FA"/>
    <w:rsid w:val="009A253B"/>
    <w:rsid w:val="009A2E43"/>
    <w:rsid w:val="009A3453"/>
    <w:rsid w:val="009A38B6"/>
    <w:rsid w:val="009A3C09"/>
    <w:rsid w:val="009A3F45"/>
    <w:rsid w:val="009A4055"/>
    <w:rsid w:val="009A462A"/>
    <w:rsid w:val="009A48F6"/>
    <w:rsid w:val="009A4DAB"/>
    <w:rsid w:val="009A5027"/>
    <w:rsid w:val="009A5202"/>
    <w:rsid w:val="009A5F16"/>
    <w:rsid w:val="009A6268"/>
    <w:rsid w:val="009A6741"/>
    <w:rsid w:val="009A7109"/>
    <w:rsid w:val="009A74EF"/>
    <w:rsid w:val="009A77A9"/>
    <w:rsid w:val="009A79F5"/>
    <w:rsid w:val="009A7DB3"/>
    <w:rsid w:val="009A7F22"/>
    <w:rsid w:val="009B0939"/>
    <w:rsid w:val="009B1408"/>
    <w:rsid w:val="009B1E6B"/>
    <w:rsid w:val="009B2007"/>
    <w:rsid w:val="009B2566"/>
    <w:rsid w:val="009B2956"/>
    <w:rsid w:val="009B2C4F"/>
    <w:rsid w:val="009B3CE0"/>
    <w:rsid w:val="009B3CF0"/>
    <w:rsid w:val="009B4B27"/>
    <w:rsid w:val="009B4D68"/>
    <w:rsid w:val="009B4DC2"/>
    <w:rsid w:val="009B54FD"/>
    <w:rsid w:val="009B5795"/>
    <w:rsid w:val="009B58D2"/>
    <w:rsid w:val="009B5F3F"/>
    <w:rsid w:val="009B6268"/>
    <w:rsid w:val="009B6352"/>
    <w:rsid w:val="009B6496"/>
    <w:rsid w:val="009B6525"/>
    <w:rsid w:val="009B6CC8"/>
    <w:rsid w:val="009C012A"/>
    <w:rsid w:val="009C02D9"/>
    <w:rsid w:val="009C21CD"/>
    <w:rsid w:val="009C295F"/>
    <w:rsid w:val="009C2D33"/>
    <w:rsid w:val="009C329D"/>
    <w:rsid w:val="009C3334"/>
    <w:rsid w:val="009C3AD4"/>
    <w:rsid w:val="009C424E"/>
    <w:rsid w:val="009C4817"/>
    <w:rsid w:val="009C4A11"/>
    <w:rsid w:val="009C5350"/>
    <w:rsid w:val="009C59DA"/>
    <w:rsid w:val="009C5CC0"/>
    <w:rsid w:val="009C63DF"/>
    <w:rsid w:val="009C65D4"/>
    <w:rsid w:val="009C6AD8"/>
    <w:rsid w:val="009C768F"/>
    <w:rsid w:val="009C7D0B"/>
    <w:rsid w:val="009C7EE8"/>
    <w:rsid w:val="009D0398"/>
    <w:rsid w:val="009D0835"/>
    <w:rsid w:val="009D0ACF"/>
    <w:rsid w:val="009D1769"/>
    <w:rsid w:val="009D180C"/>
    <w:rsid w:val="009D20CC"/>
    <w:rsid w:val="009D24AF"/>
    <w:rsid w:val="009D2A52"/>
    <w:rsid w:val="009D4950"/>
    <w:rsid w:val="009D4A78"/>
    <w:rsid w:val="009D50D1"/>
    <w:rsid w:val="009D5BB7"/>
    <w:rsid w:val="009D60DE"/>
    <w:rsid w:val="009D6488"/>
    <w:rsid w:val="009D683C"/>
    <w:rsid w:val="009D68EF"/>
    <w:rsid w:val="009D6D2C"/>
    <w:rsid w:val="009D7371"/>
    <w:rsid w:val="009D73A2"/>
    <w:rsid w:val="009D73CA"/>
    <w:rsid w:val="009E00E0"/>
    <w:rsid w:val="009E01A9"/>
    <w:rsid w:val="009E02C3"/>
    <w:rsid w:val="009E044A"/>
    <w:rsid w:val="009E099A"/>
    <w:rsid w:val="009E0C1E"/>
    <w:rsid w:val="009E0E8F"/>
    <w:rsid w:val="009E0FD8"/>
    <w:rsid w:val="009E1371"/>
    <w:rsid w:val="009E167A"/>
    <w:rsid w:val="009E1A46"/>
    <w:rsid w:val="009E1E73"/>
    <w:rsid w:val="009E1EC7"/>
    <w:rsid w:val="009E1F2D"/>
    <w:rsid w:val="009E2C0A"/>
    <w:rsid w:val="009E2CAC"/>
    <w:rsid w:val="009E32D8"/>
    <w:rsid w:val="009E3463"/>
    <w:rsid w:val="009E3D05"/>
    <w:rsid w:val="009E3D92"/>
    <w:rsid w:val="009E41EE"/>
    <w:rsid w:val="009E4476"/>
    <w:rsid w:val="009E48E8"/>
    <w:rsid w:val="009E567F"/>
    <w:rsid w:val="009E6158"/>
    <w:rsid w:val="009E6191"/>
    <w:rsid w:val="009E6419"/>
    <w:rsid w:val="009E6A9D"/>
    <w:rsid w:val="009E7A79"/>
    <w:rsid w:val="009E7B22"/>
    <w:rsid w:val="009E7E96"/>
    <w:rsid w:val="009E7F6B"/>
    <w:rsid w:val="009F0652"/>
    <w:rsid w:val="009F0669"/>
    <w:rsid w:val="009F06DC"/>
    <w:rsid w:val="009F08FB"/>
    <w:rsid w:val="009F0DC4"/>
    <w:rsid w:val="009F0E8E"/>
    <w:rsid w:val="009F1C27"/>
    <w:rsid w:val="009F2455"/>
    <w:rsid w:val="009F258F"/>
    <w:rsid w:val="009F3666"/>
    <w:rsid w:val="009F36B6"/>
    <w:rsid w:val="009F3CFF"/>
    <w:rsid w:val="009F4317"/>
    <w:rsid w:val="009F4D2B"/>
    <w:rsid w:val="009F4FBE"/>
    <w:rsid w:val="009F55CE"/>
    <w:rsid w:val="009F5C11"/>
    <w:rsid w:val="009F5E36"/>
    <w:rsid w:val="009F5E9C"/>
    <w:rsid w:val="009F6711"/>
    <w:rsid w:val="009F6F75"/>
    <w:rsid w:val="009F76B6"/>
    <w:rsid w:val="009F7A17"/>
    <w:rsid w:val="009F7A6A"/>
    <w:rsid w:val="00A005CF"/>
    <w:rsid w:val="00A00EC9"/>
    <w:rsid w:val="00A0110C"/>
    <w:rsid w:val="00A018F0"/>
    <w:rsid w:val="00A01AB6"/>
    <w:rsid w:val="00A0223F"/>
    <w:rsid w:val="00A02F97"/>
    <w:rsid w:val="00A036D5"/>
    <w:rsid w:val="00A043DF"/>
    <w:rsid w:val="00A045E0"/>
    <w:rsid w:val="00A046A6"/>
    <w:rsid w:val="00A04ABA"/>
    <w:rsid w:val="00A050A7"/>
    <w:rsid w:val="00A05E33"/>
    <w:rsid w:val="00A05FCA"/>
    <w:rsid w:val="00A0642F"/>
    <w:rsid w:val="00A06BC8"/>
    <w:rsid w:val="00A07043"/>
    <w:rsid w:val="00A071B9"/>
    <w:rsid w:val="00A075F1"/>
    <w:rsid w:val="00A07768"/>
    <w:rsid w:val="00A100F9"/>
    <w:rsid w:val="00A1022C"/>
    <w:rsid w:val="00A10623"/>
    <w:rsid w:val="00A10C06"/>
    <w:rsid w:val="00A10CC4"/>
    <w:rsid w:val="00A1142F"/>
    <w:rsid w:val="00A11C6D"/>
    <w:rsid w:val="00A13155"/>
    <w:rsid w:val="00A13222"/>
    <w:rsid w:val="00A1338E"/>
    <w:rsid w:val="00A13961"/>
    <w:rsid w:val="00A13EFC"/>
    <w:rsid w:val="00A13FF1"/>
    <w:rsid w:val="00A14186"/>
    <w:rsid w:val="00A14529"/>
    <w:rsid w:val="00A147EE"/>
    <w:rsid w:val="00A14B7E"/>
    <w:rsid w:val="00A14CF6"/>
    <w:rsid w:val="00A14EC6"/>
    <w:rsid w:val="00A14F36"/>
    <w:rsid w:val="00A1580D"/>
    <w:rsid w:val="00A15ECD"/>
    <w:rsid w:val="00A15F77"/>
    <w:rsid w:val="00A163B0"/>
    <w:rsid w:val="00A16606"/>
    <w:rsid w:val="00A166E7"/>
    <w:rsid w:val="00A16AED"/>
    <w:rsid w:val="00A16FD8"/>
    <w:rsid w:val="00A171AA"/>
    <w:rsid w:val="00A1740A"/>
    <w:rsid w:val="00A174A2"/>
    <w:rsid w:val="00A1758D"/>
    <w:rsid w:val="00A17890"/>
    <w:rsid w:val="00A20818"/>
    <w:rsid w:val="00A212F6"/>
    <w:rsid w:val="00A21773"/>
    <w:rsid w:val="00A21D85"/>
    <w:rsid w:val="00A21F2C"/>
    <w:rsid w:val="00A221BE"/>
    <w:rsid w:val="00A228FE"/>
    <w:rsid w:val="00A22946"/>
    <w:rsid w:val="00A22952"/>
    <w:rsid w:val="00A22AA1"/>
    <w:rsid w:val="00A23597"/>
    <w:rsid w:val="00A24057"/>
    <w:rsid w:val="00A2421F"/>
    <w:rsid w:val="00A24729"/>
    <w:rsid w:val="00A24A31"/>
    <w:rsid w:val="00A24AC5"/>
    <w:rsid w:val="00A24B48"/>
    <w:rsid w:val="00A256A0"/>
    <w:rsid w:val="00A25ACE"/>
    <w:rsid w:val="00A25F9B"/>
    <w:rsid w:val="00A267EB"/>
    <w:rsid w:val="00A26808"/>
    <w:rsid w:val="00A26DAF"/>
    <w:rsid w:val="00A27A84"/>
    <w:rsid w:val="00A27E80"/>
    <w:rsid w:val="00A3001F"/>
    <w:rsid w:val="00A31123"/>
    <w:rsid w:val="00A325F6"/>
    <w:rsid w:val="00A332CD"/>
    <w:rsid w:val="00A33990"/>
    <w:rsid w:val="00A3441C"/>
    <w:rsid w:val="00A34877"/>
    <w:rsid w:val="00A34A0F"/>
    <w:rsid w:val="00A34A3A"/>
    <w:rsid w:val="00A34AC4"/>
    <w:rsid w:val="00A350BB"/>
    <w:rsid w:val="00A3512F"/>
    <w:rsid w:val="00A35641"/>
    <w:rsid w:val="00A3588C"/>
    <w:rsid w:val="00A35FBA"/>
    <w:rsid w:val="00A3673F"/>
    <w:rsid w:val="00A367F2"/>
    <w:rsid w:val="00A368AE"/>
    <w:rsid w:val="00A368B5"/>
    <w:rsid w:val="00A376B0"/>
    <w:rsid w:val="00A37862"/>
    <w:rsid w:val="00A4044A"/>
    <w:rsid w:val="00A40524"/>
    <w:rsid w:val="00A40806"/>
    <w:rsid w:val="00A42F27"/>
    <w:rsid w:val="00A435D8"/>
    <w:rsid w:val="00A43936"/>
    <w:rsid w:val="00A43983"/>
    <w:rsid w:val="00A43D3D"/>
    <w:rsid w:val="00A43F42"/>
    <w:rsid w:val="00A4412D"/>
    <w:rsid w:val="00A451BD"/>
    <w:rsid w:val="00A451D1"/>
    <w:rsid w:val="00A4570A"/>
    <w:rsid w:val="00A45810"/>
    <w:rsid w:val="00A4637B"/>
    <w:rsid w:val="00A46391"/>
    <w:rsid w:val="00A464DC"/>
    <w:rsid w:val="00A46B39"/>
    <w:rsid w:val="00A47330"/>
    <w:rsid w:val="00A47783"/>
    <w:rsid w:val="00A47787"/>
    <w:rsid w:val="00A47B38"/>
    <w:rsid w:val="00A50F34"/>
    <w:rsid w:val="00A50FBB"/>
    <w:rsid w:val="00A51034"/>
    <w:rsid w:val="00A51FFA"/>
    <w:rsid w:val="00A52F1E"/>
    <w:rsid w:val="00A532CC"/>
    <w:rsid w:val="00A532DA"/>
    <w:rsid w:val="00A53454"/>
    <w:rsid w:val="00A5386A"/>
    <w:rsid w:val="00A5474D"/>
    <w:rsid w:val="00A54980"/>
    <w:rsid w:val="00A5739C"/>
    <w:rsid w:val="00A579DA"/>
    <w:rsid w:val="00A60414"/>
    <w:rsid w:val="00A60A61"/>
    <w:rsid w:val="00A61219"/>
    <w:rsid w:val="00A614FF"/>
    <w:rsid w:val="00A615E4"/>
    <w:rsid w:val="00A6165D"/>
    <w:rsid w:val="00A61FAA"/>
    <w:rsid w:val="00A6208D"/>
    <w:rsid w:val="00A62246"/>
    <w:rsid w:val="00A62303"/>
    <w:rsid w:val="00A62318"/>
    <w:rsid w:val="00A6272D"/>
    <w:rsid w:val="00A62870"/>
    <w:rsid w:val="00A62D20"/>
    <w:rsid w:val="00A62ED8"/>
    <w:rsid w:val="00A630C8"/>
    <w:rsid w:val="00A63120"/>
    <w:rsid w:val="00A63170"/>
    <w:rsid w:val="00A63489"/>
    <w:rsid w:val="00A63853"/>
    <w:rsid w:val="00A64049"/>
    <w:rsid w:val="00A6421A"/>
    <w:rsid w:val="00A64920"/>
    <w:rsid w:val="00A64DE1"/>
    <w:rsid w:val="00A657DB"/>
    <w:rsid w:val="00A66DAE"/>
    <w:rsid w:val="00A66F79"/>
    <w:rsid w:val="00A6710B"/>
    <w:rsid w:val="00A67455"/>
    <w:rsid w:val="00A67AD3"/>
    <w:rsid w:val="00A70EB5"/>
    <w:rsid w:val="00A721C4"/>
    <w:rsid w:val="00A727E4"/>
    <w:rsid w:val="00A72921"/>
    <w:rsid w:val="00A72C4A"/>
    <w:rsid w:val="00A72D0A"/>
    <w:rsid w:val="00A730CE"/>
    <w:rsid w:val="00A73B66"/>
    <w:rsid w:val="00A756D7"/>
    <w:rsid w:val="00A75F12"/>
    <w:rsid w:val="00A76D3D"/>
    <w:rsid w:val="00A77749"/>
    <w:rsid w:val="00A77FFC"/>
    <w:rsid w:val="00A8095F"/>
    <w:rsid w:val="00A80C7A"/>
    <w:rsid w:val="00A80E3F"/>
    <w:rsid w:val="00A819CC"/>
    <w:rsid w:val="00A81D92"/>
    <w:rsid w:val="00A82087"/>
    <w:rsid w:val="00A827D2"/>
    <w:rsid w:val="00A83302"/>
    <w:rsid w:val="00A83557"/>
    <w:rsid w:val="00A83753"/>
    <w:rsid w:val="00A83C2D"/>
    <w:rsid w:val="00A84D25"/>
    <w:rsid w:val="00A84DE8"/>
    <w:rsid w:val="00A8536E"/>
    <w:rsid w:val="00A853BD"/>
    <w:rsid w:val="00A85F1E"/>
    <w:rsid w:val="00A85F3C"/>
    <w:rsid w:val="00A85F66"/>
    <w:rsid w:val="00A8600C"/>
    <w:rsid w:val="00A87246"/>
    <w:rsid w:val="00A87321"/>
    <w:rsid w:val="00A874B1"/>
    <w:rsid w:val="00A87854"/>
    <w:rsid w:val="00A9030D"/>
    <w:rsid w:val="00A90466"/>
    <w:rsid w:val="00A90AE0"/>
    <w:rsid w:val="00A90F2F"/>
    <w:rsid w:val="00A91397"/>
    <w:rsid w:val="00A91870"/>
    <w:rsid w:val="00A918B3"/>
    <w:rsid w:val="00A91D75"/>
    <w:rsid w:val="00A91F8B"/>
    <w:rsid w:val="00A92110"/>
    <w:rsid w:val="00A930AA"/>
    <w:rsid w:val="00A93424"/>
    <w:rsid w:val="00A93559"/>
    <w:rsid w:val="00A9367D"/>
    <w:rsid w:val="00A945E0"/>
    <w:rsid w:val="00A94633"/>
    <w:rsid w:val="00A949D5"/>
    <w:rsid w:val="00A94DBD"/>
    <w:rsid w:val="00A953EF"/>
    <w:rsid w:val="00A95A2E"/>
    <w:rsid w:val="00A95AC0"/>
    <w:rsid w:val="00A96169"/>
    <w:rsid w:val="00A96C2A"/>
    <w:rsid w:val="00A96CD4"/>
    <w:rsid w:val="00A9702D"/>
    <w:rsid w:val="00A9773C"/>
    <w:rsid w:val="00A97774"/>
    <w:rsid w:val="00A97ED6"/>
    <w:rsid w:val="00A97FE4"/>
    <w:rsid w:val="00AA0833"/>
    <w:rsid w:val="00AA087B"/>
    <w:rsid w:val="00AA0AE8"/>
    <w:rsid w:val="00AA120E"/>
    <w:rsid w:val="00AA19B1"/>
    <w:rsid w:val="00AA3C20"/>
    <w:rsid w:val="00AA43DB"/>
    <w:rsid w:val="00AA442C"/>
    <w:rsid w:val="00AA4582"/>
    <w:rsid w:val="00AA46A1"/>
    <w:rsid w:val="00AA477C"/>
    <w:rsid w:val="00AA4D98"/>
    <w:rsid w:val="00AA5348"/>
    <w:rsid w:val="00AA53EB"/>
    <w:rsid w:val="00AA5405"/>
    <w:rsid w:val="00AA58ED"/>
    <w:rsid w:val="00AA5E6A"/>
    <w:rsid w:val="00AA5F89"/>
    <w:rsid w:val="00AA6B85"/>
    <w:rsid w:val="00AA7800"/>
    <w:rsid w:val="00AA7A72"/>
    <w:rsid w:val="00AB0620"/>
    <w:rsid w:val="00AB1EA3"/>
    <w:rsid w:val="00AB259E"/>
    <w:rsid w:val="00AB2CCF"/>
    <w:rsid w:val="00AB2DBE"/>
    <w:rsid w:val="00AB344C"/>
    <w:rsid w:val="00AB3A31"/>
    <w:rsid w:val="00AB3B86"/>
    <w:rsid w:val="00AB3DE3"/>
    <w:rsid w:val="00AB4163"/>
    <w:rsid w:val="00AB43B4"/>
    <w:rsid w:val="00AB4A8E"/>
    <w:rsid w:val="00AB5C60"/>
    <w:rsid w:val="00AB6087"/>
    <w:rsid w:val="00AB6106"/>
    <w:rsid w:val="00AB6114"/>
    <w:rsid w:val="00AB645A"/>
    <w:rsid w:val="00AB7528"/>
    <w:rsid w:val="00AB7A26"/>
    <w:rsid w:val="00AC07D1"/>
    <w:rsid w:val="00AC0DF7"/>
    <w:rsid w:val="00AC1091"/>
    <w:rsid w:val="00AC124F"/>
    <w:rsid w:val="00AC1691"/>
    <w:rsid w:val="00AC19C6"/>
    <w:rsid w:val="00AC338D"/>
    <w:rsid w:val="00AC38A3"/>
    <w:rsid w:val="00AC38EB"/>
    <w:rsid w:val="00AC4434"/>
    <w:rsid w:val="00AC4D10"/>
    <w:rsid w:val="00AC507B"/>
    <w:rsid w:val="00AC5150"/>
    <w:rsid w:val="00AC5728"/>
    <w:rsid w:val="00AC5F85"/>
    <w:rsid w:val="00AC60ED"/>
    <w:rsid w:val="00AC6477"/>
    <w:rsid w:val="00AC651A"/>
    <w:rsid w:val="00AC6860"/>
    <w:rsid w:val="00AC760B"/>
    <w:rsid w:val="00AC76C5"/>
    <w:rsid w:val="00AC7B68"/>
    <w:rsid w:val="00AD0237"/>
    <w:rsid w:val="00AD02BD"/>
    <w:rsid w:val="00AD0AE1"/>
    <w:rsid w:val="00AD1AB5"/>
    <w:rsid w:val="00AD27BF"/>
    <w:rsid w:val="00AD2ADE"/>
    <w:rsid w:val="00AD2D94"/>
    <w:rsid w:val="00AD2DC1"/>
    <w:rsid w:val="00AD30EF"/>
    <w:rsid w:val="00AD3568"/>
    <w:rsid w:val="00AD4FC5"/>
    <w:rsid w:val="00AD5687"/>
    <w:rsid w:val="00AD5916"/>
    <w:rsid w:val="00AD5AA0"/>
    <w:rsid w:val="00AD5BC5"/>
    <w:rsid w:val="00AD61FB"/>
    <w:rsid w:val="00AD6604"/>
    <w:rsid w:val="00AD6A27"/>
    <w:rsid w:val="00AD6C5F"/>
    <w:rsid w:val="00AD72B5"/>
    <w:rsid w:val="00AD7B73"/>
    <w:rsid w:val="00AD7C96"/>
    <w:rsid w:val="00AD7CD4"/>
    <w:rsid w:val="00AE00B4"/>
    <w:rsid w:val="00AE014D"/>
    <w:rsid w:val="00AE0B18"/>
    <w:rsid w:val="00AE0EED"/>
    <w:rsid w:val="00AE0FEA"/>
    <w:rsid w:val="00AE1496"/>
    <w:rsid w:val="00AE17E2"/>
    <w:rsid w:val="00AE1822"/>
    <w:rsid w:val="00AE23CD"/>
    <w:rsid w:val="00AE251E"/>
    <w:rsid w:val="00AE31CF"/>
    <w:rsid w:val="00AE35D2"/>
    <w:rsid w:val="00AE3AD2"/>
    <w:rsid w:val="00AE3B05"/>
    <w:rsid w:val="00AE3CE7"/>
    <w:rsid w:val="00AE3CFF"/>
    <w:rsid w:val="00AE48A9"/>
    <w:rsid w:val="00AE4D9F"/>
    <w:rsid w:val="00AE5C37"/>
    <w:rsid w:val="00AE70A0"/>
    <w:rsid w:val="00AE792C"/>
    <w:rsid w:val="00AE7C5C"/>
    <w:rsid w:val="00AF0660"/>
    <w:rsid w:val="00AF181C"/>
    <w:rsid w:val="00AF1BD4"/>
    <w:rsid w:val="00AF2677"/>
    <w:rsid w:val="00AF270D"/>
    <w:rsid w:val="00AF3176"/>
    <w:rsid w:val="00AF37B5"/>
    <w:rsid w:val="00AF3807"/>
    <w:rsid w:val="00AF4375"/>
    <w:rsid w:val="00AF4842"/>
    <w:rsid w:val="00AF4A7E"/>
    <w:rsid w:val="00AF4D75"/>
    <w:rsid w:val="00AF4E70"/>
    <w:rsid w:val="00AF4F01"/>
    <w:rsid w:val="00AF5112"/>
    <w:rsid w:val="00AF6C4F"/>
    <w:rsid w:val="00AF6E6E"/>
    <w:rsid w:val="00AF7A17"/>
    <w:rsid w:val="00B0009A"/>
    <w:rsid w:val="00B00644"/>
    <w:rsid w:val="00B00C70"/>
    <w:rsid w:val="00B00D02"/>
    <w:rsid w:val="00B0144B"/>
    <w:rsid w:val="00B014CA"/>
    <w:rsid w:val="00B01E6D"/>
    <w:rsid w:val="00B01FF4"/>
    <w:rsid w:val="00B0231A"/>
    <w:rsid w:val="00B02BBF"/>
    <w:rsid w:val="00B02F70"/>
    <w:rsid w:val="00B035F8"/>
    <w:rsid w:val="00B04641"/>
    <w:rsid w:val="00B04672"/>
    <w:rsid w:val="00B047C1"/>
    <w:rsid w:val="00B05B65"/>
    <w:rsid w:val="00B05F55"/>
    <w:rsid w:val="00B06308"/>
    <w:rsid w:val="00B06958"/>
    <w:rsid w:val="00B0725D"/>
    <w:rsid w:val="00B07B38"/>
    <w:rsid w:val="00B07DE9"/>
    <w:rsid w:val="00B105A6"/>
    <w:rsid w:val="00B1112D"/>
    <w:rsid w:val="00B11156"/>
    <w:rsid w:val="00B113B6"/>
    <w:rsid w:val="00B122C6"/>
    <w:rsid w:val="00B12599"/>
    <w:rsid w:val="00B13121"/>
    <w:rsid w:val="00B135FA"/>
    <w:rsid w:val="00B13736"/>
    <w:rsid w:val="00B13EDF"/>
    <w:rsid w:val="00B13EF2"/>
    <w:rsid w:val="00B144A7"/>
    <w:rsid w:val="00B14DE0"/>
    <w:rsid w:val="00B15191"/>
    <w:rsid w:val="00B15357"/>
    <w:rsid w:val="00B15525"/>
    <w:rsid w:val="00B15F7E"/>
    <w:rsid w:val="00B16A94"/>
    <w:rsid w:val="00B16C35"/>
    <w:rsid w:val="00B16C48"/>
    <w:rsid w:val="00B17C77"/>
    <w:rsid w:val="00B204CE"/>
    <w:rsid w:val="00B20F7E"/>
    <w:rsid w:val="00B2162E"/>
    <w:rsid w:val="00B216D8"/>
    <w:rsid w:val="00B21A9F"/>
    <w:rsid w:val="00B21B76"/>
    <w:rsid w:val="00B21C00"/>
    <w:rsid w:val="00B21FD7"/>
    <w:rsid w:val="00B22AD7"/>
    <w:rsid w:val="00B22F97"/>
    <w:rsid w:val="00B23146"/>
    <w:rsid w:val="00B2314C"/>
    <w:rsid w:val="00B2388C"/>
    <w:rsid w:val="00B24744"/>
    <w:rsid w:val="00B24D1A"/>
    <w:rsid w:val="00B25167"/>
    <w:rsid w:val="00B2576E"/>
    <w:rsid w:val="00B257EE"/>
    <w:rsid w:val="00B25C40"/>
    <w:rsid w:val="00B2646B"/>
    <w:rsid w:val="00B267CC"/>
    <w:rsid w:val="00B26A86"/>
    <w:rsid w:val="00B26C4A"/>
    <w:rsid w:val="00B27230"/>
    <w:rsid w:val="00B27689"/>
    <w:rsid w:val="00B306AD"/>
    <w:rsid w:val="00B30762"/>
    <w:rsid w:val="00B312EC"/>
    <w:rsid w:val="00B313D2"/>
    <w:rsid w:val="00B316C8"/>
    <w:rsid w:val="00B31A09"/>
    <w:rsid w:val="00B329FD"/>
    <w:rsid w:val="00B32A2B"/>
    <w:rsid w:val="00B32C77"/>
    <w:rsid w:val="00B32F3D"/>
    <w:rsid w:val="00B330FA"/>
    <w:rsid w:val="00B33C6F"/>
    <w:rsid w:val="00B34120"/>
    <w:rsid w:val="00B342B6"/>
    <w:rsid w:val="00B34517"/>
    <w:rsid w:val="00B34799"/>
    <w:rsid w:val="00B3517B"/>
    <w:rsid w:val="00B35428"/>
    <w:rsid w:val="00B3546A"/>
    <w:rsid w:val="00B3551C"/>
    <w:rsid w:val="00B35540"/>
    <w:rsid w:val="00B35D27"/>
    <w:rsid w:val="00B3610B"/>
    <w:rsid w:val="00B36962"/>
    <w:rsid w:val="00B37843"/>
    <w:rsid w:val="00B4047B"/>
    <w:rsid w:val="00B40B58"/>
    <w:rsid w:val="00B40DDA"/>
    <w:rsid w:val="00B414C2"/>
    <w:rsid w:val="00B41577"/>
    <w:rsid w:val="00B415E6"/>
    <w:rsid w:val="00B41604"/>
    <w:rsid w:val="00B42B0D"/>
    <w:rsid w:val="00B430C7"/>
    <w:rsid w:val="00B430FB"/>
    <w:rsid w:val="00B43339"/>
    <w:rsid w:val="00B43636"/>
    <w:rsid w:val="00B43B3A"/>
    <w:rsid w:val="00B44C5A"/>
    <w:rsid w:val="00B46573"/>
    <w:rsid w:val="00B466DC"/>
    <w:rsid w:val="00B46BD2"/>
    <w:rsid w:val="00B470D7"/>
    <w:rsid w:val="00B47400"/>
    <w:rsid w:val="00B477F3"/>
    <w:rsid w:val="00B47F89"/>
    <w:rsid w:val="00B500C2"/>
    <w:rsid w:val="00B50C40"/>
    <w:rsid w:val="00B50FBC"/>
    <w:rsid w:val="00B51086"/>
    <w:rsid w:val="00B513C9"/>
    <w:rsid w:val="00B51A3F"/>
    <w:rsid w:val="00B51ACB"/>
    <w:rsid w:val="00B51D0F"/>
    <w:rsid w:val="00B52156"/>
    <w:rsid w:val="00B52DCD"/>
    <w:rsid w:val="00B537B3"/>
    <w:rsid w:val="00B53F17"/>
    <w:rsid w:val="00B54033"/>
    <w:rsid w:val="00B54579"/>
    <w:rsid w:val="00B54FFC"/>
    <w:rsid w:val="00B550F8"/>
    <w:rsid w:val="00B55996"/>
    <w:rsid w:val="00B568FB"/>
    <w:rsid w:val="00B56AE8"/>
    <w:rsid w:val="00B57432"/>
    <w:rsid w:val="00B600FE"/>
    <w:rsid w:val="00B60492"/>
    <w:rsid w:val="00B609BE"/>
    <w:rsid w:val="00B60D48"/>
    <w:rsid w:val="00B6125B"/>
    <w:rsid w:val="00B61486"/>
    <w:rsid w:val="00B6157E"/>
    <w:rsid w:val="00B61E64"/>
    <w:rsid w:val="00B629FD"/>
    <w:rsid w:val="00B63DC2"/>
    <w:rsid w:val="00B64033"/>
    <w:rsid w:val="00B64176"/>
    <w:rsid w:val="00B64467"/>
    <w:rsid w:val="00B64F81"/>
    <w:rsid w:val="00B659AB"/>
    <w:rsid w:val="00B6656F"/>
    <w:rsid w:val="00B66EC4"/>
    <w:rsid w:val="00B67840"/>
    <w:rsid w:val="00B70E96"/>
    <w:rsid w:val="00B712E2"/>
    <w:rsid w:val="00B7165E"/>
    <w:rsid w:val="00B7187B"/>
    <w:rsid w:val="00B719A5"/>
    <w:rsid w:val="00B71CD8"/>
    <w:rsid w:val="00B720AD"/>
    <w:rsid w:val="00B72480"/>
    <w:rsid w:val="00B7257F"/>
    <w:rsid w:val="00B726A1"/>
    <w:rsid w:val="00B72724"/>
    <w:rsid w:val="00B72BE1"/>
    <w:rsid w:val="00B73439"/>
    <w:rsid w:val="00B7350C"/>
    <w:rsid w:val="00B73CCF"/>
    <w:rsid w:val="00B73D46"/>
    <w:rsid w:val="00B73F47"/>
    <w:rsid w:val="00B74148"/>
    <w:rsid w:val="00B74BF2"/>
    <w:rsid w:val="00B74FCB"/>
    <w:rsid w:val="00B7503C"/>
    <w:rsid w:val="00B753EC"/>
    <w:rsid w:val="00B75456"/>
    <w:rsid w:val="00B75489"/>
    <w:rsid w:val="00B75499"/>
    <w:rsid w:val="00B75812"/>
    <w:rsid w:val="00B7658C"/>
    <w:rsid w:val="00B766AF"/>
    <w:rsid w:val="00B76D04"/>
    <w:rsid w:val="00B76DB9"/>
    <w:rsid w:val="00B773AC"/>
    <w:rsid w:val="00B77685"/>
    <w:rsid w:val="00B77807"/>
    <w:rsid w:val="00B77D86"/>
    <w:rsid w:val="00B80914"/>
    <w:rsid w:val="00B80E4E"/>
    <w:rsid w:val="00B8127A"/>
    <w:rsid w:val="00B81516"/>
    <w:rsid w:val="00B81836"/>
    <w:rsid w:val="00B81FEE"/>
    <w:rsid w:val="00B822A5"/>
    <w:rsid w:val="00B82BD5"/>
    <w:rsid w:val="00B82D80"/>
    <w:rsid w:val="00B8331C"/>
    <w:rsid w:val="00B83969"/>
    <w:rsid w:val="00B83A8C"/>
    <w:rsid w:val="00B84422"/>
    <w:rsid w:val="00B8491E"/>
    <w:rsid w:val="00B84D95"/>
    <w:rsid w:val="00B84F1D"/>
    <w:rsid w:val="00B85433"/>
    <w:rsid w:val="00B8591A"/>
    <w:rsid w:val="00B86592"/>
    <w:rsid w:val="00B86B62"/>
    <w:rsid w:val="00B86C6E"/>
    <w:rsid w:val="00B86D5A"/>
    <w:rsid w:val="00B86F15"/>
    <w:rsid w:val="00B871B6"/>
    <w:rsid w:val="00B87C12"/>
    <w:rsid w:val="00B90473"/>
    <w:rsid w:val="00B90665"/>
    <w:rsid w:val="00B906FE"/>
    <w:rsid w:val="00B9080F"/>
    <w:rsid w:val="00B90978"/>
    <w:rsid w:val="00B913F5"/>
    <w:rsid w:val="00B9178A"/>
    <w:rsid w:val="00B91A28"/>
    <w:rsid w:val="00B91B1C"/>
    <w:rsid w:val="00B92190"/>
    <w:rsid w:val="00B921F7"/>
    <w:rsid w:val="00B92FAE"/>
    <w:rsid w:val="00B93C9A"/>
    <w:rsid w:val="00B93FF0"/>
    <w:rsid w:val="00B94392"/>
    <w:rsid w:val="00B9454F"/>
    <w:rsid w:val="00B95ACF"/>
    <w:rsid w:val="00B95B86"/>
    <w:rsid w:val="00B9640B"/>
    <w:rsid w:val="00B97B9E"/>
    <w:rsid w:val="00B97EC4"/>
    <w:rsid w:val="00BA00C0"/>
    <w:rsid w:val="00BA03D6"/>
    <w:rsid w:val="00BA05C1"/>
    <w:rsid w:val="00BA0799"/>
    <w:rsid w:val="00BA0A83"/>
    <w:rsid w:val="00BA0BA8"/>
    <w:rsid w:val="00BA140C"/>
    <w:rsid w:val="00BA1710"/>
    <w:rsid w:val="00BA2021"/>
    <w:rsid w:val="00BA2C53"/>
    <w:rsid w:val="00BA33D1"/>
    <w:rsid w:val="00BA3F7D"/>
    <w:rsid w:val="00BA4567"/>
    <w:rsid w:val="00BA469D"/>
    <w:rsid w:val="00BA48C5"/>
    <w:rsid w:val="00BA498F"/>
    <w:rsid w:val="00BA4B71"/>
    <w:rsid w:val="00BA4DB7"/>
    <w:rsid w:val="00BA4ED9"/>
    <w:rsid w:val="00BA5067"/>
    <w:rsid w:val="00BA5DBC"/>
    <w:rsid w:val="00BA6C71"/>
    <w:rsid w:val="00BA7138"/>
    <w:rsid w:val="00BA7E93"/>
    <w:rsid w:val="00BB03D4"/>
    <w:rsid w:val="00BB081B"/>
    <w:rsid w:val="00BB08E8"/>
    <w:rsid w:val="00BB139C"/>
    <w:rsid w:val="00BB217E"/>
    <w:rsid w:val="00BB3050"/>
    <w:rsid w:val="00BB36B1"/>
    <w:rsid w:val="00BB39A9"/>
    <w:rsid w:val="00BB3B4C"/>
    <w:rsid w:val="00BB4AD5"/>
    <w:rsid w:val="00BB5386"/>
    <w:rsid w:val="00BB547A"/>
    <w:rsid w:val="00BB6D07"/>
    <w:rsid w:val="00BB7160"/>
    <w:rsid w:val="00BB7732"/>
    <w:rsid w:val="00BC02F3"/>
    <w:rsid w:val="00BC07ED"/>
    <w:rsid w:val="00BC1348"/>
    <w:rsid w:val="00BC284C"/>
    <w:rsid w:val="00BC29B7"/>
    <w:rsid w:val="00BC2B96"/>
    <w:rsid w:val="00BC2F47"/>
    <w:rsid w:val="00BC3D18"/>
    <w:rsid w:val="00BC46B1"/>
    <w:rsid w:val="00BC48F0"/>
    <w:rsid w:val="00BC4B8F"/>
    <w:rsid w:val="00BC5147"/>
    <w:rsid w:val="00BC5F1F"/>
    <w:rsid w:val="00BC6200"/>
    <w:rsid w:val="00BC6A87"/>
    <w:rsid w:val="00BC6D35"/>
    <w:rsid w:val="00BC7405"/>
    <w:rsid w:val="00BC78D1"/>
    <w:rsid w:val="00BC7BB3"/>
    <w:rsid w:val="00BC7DE2"/>
    <w:rsid w:val="00BD0C90"/>
    <w:rsid w:val="00BD12D6"/>
    <w:rsid w:val="00BD1956"/>
    <w:rsid w:val="00BD1A9A"/>
    <w:rsid w:val="00BD201C"/>
    <w:rsid w:val="00BD310A"/>
    <w:rsid w:val="00BD3313"/>
    <w:rsid w:val="00BD39CD"/>
    <w:rsid w:val="00BD4786"/>
    <w:rsid w:val="00BD4E4E"/>
    <w:rsid w:val="00BD4FEC"/>
    <w:rsid w:val="00BD51D8"/>
    <w:rsid w:val="00BD5534"/>
    <w:rsid w:val="00BD5814"/>
    <w:rsid w:val="00BD59CE"/>
    <w:rsid w:val="00BD5D0A"/>
    <w:rsid w:val="00BD5FC9"/>
    <w:rsid w:val="00BD62C0"/>
    <w:rsid w:val="00BD6FB8"/>
    <w:rsid w:val="00BD73D8"/>
    <w:rsid w:val="00BD775A"/>
    <w:rsid w:val="00BD7C5E"/>
    <w:rsid w:val="00BE0235"/>
    <w:rsid w:val="00BE070A"/>
    <w:rsid w:val="00BE0849"/>
    <w:rsid w:val="00BE0A01"/>
    <w:rsid w:val="00BE0C42"/>
    <w:rsid w:val="00BE1230"/>
    <w:rsid w:val="00BE174C"/>
    <w:rsid w:val="00BE2648"/>
    <w:rsid w:val="00BE2F92"/>
    <w:rsid w:val="00BE3245"/>
    <w:rsid w:val="00BE344C"/>
    <w:rsid w:val="00BE3859"/>
    <w:rsid w:val="00BE3959"/>
    <w:rsid w:val="00BE3D76"/>
    <w:rsid w:val="00BE3EC4"/>
    <w:rsid w:val="00BE410A"/>
    <w:rsid w:val="00BE4577"/>
    <w:rsid w:val="00BE4B0E"/>
    <w:rsid w:val="00BE4CC7"/>
    <w:rsid w:val="00BE539C"/>
    <w:rsid w:val="00BE57E9"/>
    <w:rsid w:val="00BE5D09"/>
    <w:rsid w:val="00BE5F68"/>
    <w:rsid w:val="00BE5F85"/>
    <w:rsid w:val="00BE5FEB"/>
    <w:rsid w:val="00BE62AA"/>
    <w:rsid w:val="00BE6585"/>
    <w:rsid w:val="00BE66F8"/>
    <w:rsid w:val="00BE7BC6"/>
    <w:rsid w:val="00BE7D1C"/>
    <w:rsid w:val="00BF080B"/>
    <w:rsid w:val="00BF0E65"/>
    <w:rsid w:val="00BF224D"/>
    <w:rsid w:val="00BF23FC"/>
    <w:rsid w:val="00BF2923"/>
    <w:rsid w:val="00BF2A1F"/>
    <w:rsid w:val="00BF2AFF"/>
    <w:rsid w:val="00BF3018"/>
    <w:rsid w:val="00BF34AD"/>
    <w:rsid w:val="00BF38F8"/>
    <w:rsid w:val="00BF43F4"/>
    <w:rsid w:val="00BF47E6"/>
    <w:rsid w:val="00BF4B89"/>
    <w:rsid w:val="00BF56B8"/>
    <w:rsid w:val="00BF6050"/>
    <w:rsid w:val="00BF66E0"/>
    <w:rsid w:val="00BF66E8"/>
    <w:rsid w:val="00BF6A31"/>
    <w:rsid w:val="00BF6B9F"/>
    <w:rsid w:val="00BF6BCD"/>
    <w:rsid w:val="00BF752F"/>
    <w:rsid w:val="00BF7697"/>
    <w:rsid w:val="00C0041F"/>
    <w:rsid w:val="00C00607"/>
    <w:rsid w:val="00C00C5D"/>
    <w:rsid w:val="00C01057"/>
    <w:rsid w:val="00C01385"/>
    <w:rsid w:val="00C015B7"/>
    <w:rsid w:val="00C01713"/>
    <w:rsid w:val="00C0198D"/>
    <w:rsid w:val="00C01B72"/>
    <w:rsid w:val="00C01DF1"/>
    <w:rsid w:val="00C021CE"/>
    <w:rsid w:val="00C021D6"/>
    <w:rsid w:val="00C025FD"/>
    <w:rsid w:val="00C02FA3"/>
    <w:rsid w:val="00C030AC"/>
    <w:rsid w:val="00C0343F"/>
    <w:rsid w:val="00C034A2"/>
    <w:rsid w:val="00C040BA"/>
    <w:rsid w:val="00C04288"/>
    <w:rsid w:val="00C04816"/>
    <w:rsid w:val="00C049EF"/>
    <w:rsid w:val="00C04F05"/>
    <w:rsid w:val="00C051AB"/>
    <w:rsid w:val="00C05305"/>
    <w:rsid w:val="00C05387"/>
    <w:rsid w:val="00C05529"/>
    <w:rsid w:val="00C0599B"/>
    <w:rsid w:val="00C05B5F"/>
    <w:rsid w:val="00C069B0"/>
    <w:rsid w:val="00C06C4C"/>
    <w:rsid w:val="00C06E82"/>
    <w:rsid w:val="00C07133"/>
    <w:rsid w:val="00C0729C"/>
    <w:rsid w:val="00C072F0"/>
    <w:rsid w:val="00C10986"/>
    <w:rsid w:val="00C11C16"/>
    <w:rsid w:val="00C11EB3"/>
    <w:rsid w:val="00C13941"/>
    <w:rsid w:val="00C13A19"/>
    <w:rsid w:val="00C13CE8"/>
    <w:rsid w:val="00C13DE0"/>
    <w:rsid w:val="00C14440"/>
    <w:rsid w:val="00C14552"/>
    <w:rsid w:val="00C1495E"/>
    <w:rsid w:val="00C14E0A"/>
    <w:rsid w:val="00C14F8D"/>
    <w:rsid w:val="00C15EBF"/>
    <w:rsid w:val="00C16657"/>
    <w:rsid w:val="00C16BC5"/>
    <w:rsid w:val="00C16E5A"/>
    <w:rsid w:val="00C179A6"/>
    <w:rsid w:val="00C17B2F"/>
    <w:rsid w:val="00C17E09"/>
    <w:rsid w:val="00C20A87"/>
    <w:rsid w:val="00C20EDD"/>
    <w:rsid w:val="00C20FB2"/>
    <w:rsid w:val="00C21BED"/>
    <w:rsid w:val="00C229A6"/>
    <w:rsid w:val="00C22B5A"/>
    <w:rsid w:val="00C237D0"/>
    <w:rsid w:val="00C23AF8"/>
    <w:rsid w:val="00C2479C"/>
    <w:rsid w:val="00C24802"/>
    <w:rsid w:val="00C24BC2"/>
    <w:rsid w:val="00C25A39"/>
    <w:rsid w:val="00C260A6"/>
    <w:rsid w:val="00C26547"/>
    <w:rsid w:val="00C27723"/>
    <w:rsid w:val="00C3058E"/>
    <w:rsid w:val="00C3062D"/>
    <w:rsid w:val="00C306B2"/>
    <w:rsid w:val="00C30BD1"/>
    <w:rsid w:val="00C30C67"/>
    <w:rsid w:val="00C30C9B"/>
    <w:rsid w:val="00C30FA5"/>
    <w:rsid w:val="00C31D64"/>
    <w:rsid w:val="00C32229"/>
    <w:rsid w:val="00C328B9"/>
    <w:rsid w:val="00C3374C"/>
    <w:rsid w:val="00C3391C"/>
    <w:rsid w:val="00C33C59"/>
    <w:rsid w:val="00C34045"/>
    <w:rsid w:val="00C34F56"/>
    <w:rsid w:val="00C3540E"/>
    <w:rsid w:val="00C35E79"/>
    <w:rsid w:val="00C367CF"/>
    <w:rsid w:val="00C36D49"/>
    <w:rsid w:val="00C37A88"/>
    <w:rsid w:val="00C37A95"/>
    <w:rsid w:val="00C37DDA"/>
    <w:rsid w:val="00C40243"/>
    <w:rsid w:val="00C40331"/>
    <w:rsid w:val="00C404D9"/>
    <w:rsid w:val="00C40717"/>
    <w:rsid w:val="00C40733"/>
    <w:rsid w:val="00C40957"/>
    <w:rsid w:val="00C40968"/>
    <w:rsid w:val="00C40F8C"/>
    <w:rsid w:val="00C412F3"/>
    <w:rsid w:val="00C41D3D"/>
    <w:rsid w:val="00C41DC2"/>
    <w:rsid w:val="00C4206F"/>
    <w:rsid w:val="00C4241F"/>
    <w:rsid w:val="00C42F5A"/>
    <w:rsid w:val="00C436C5"/>
    <w:rsid w:val="00C43F68"/>
    <w:rsid w:val="00C4473E"/>
    <w:rsid w:val="00C4482E"/>
    <w:rsid w:val="00C44865"/>
    <w:rsid w:val="00C449F8"/>
    <w:rsid w:val="00C44A4A"/>
    <w:rsid w:val="00C4515F"/>
    <w:rsid w:val="00C452B8"/>
    <w:rsid w:val="00C457C2"/>
    <w:rsid w:val="00C465D3"/>
    <w:rsid w:val="00C4671B"/>
    <w:rsid w:val="00C47528"/>
    <w:rsid w:val="00C4768E"/>
    <w:rsid w:val="00C47D66"/>
    <w:rsid w:val="00C47EC7"/>
    <w:rsid w:val="00C503D5"/>
    <w:rsid w:val="00C50A0C"/>
    <w:rsid w:val="00C5108A"/>
    <w:rsid w:val="00C5109A"/>
    <w:rsid w:val="00C51667"/>
    <w:rsid w:val="00C524D2"/>
    <w:rsid w:val="00C52C50"/>
    <w:rsid w:val="00C52F92"/>
    <w:rsid w:val="00C53A57"/>
    <w:rsid w:val="00C53B00"/>
    <w:rsid w:val="00C53F19"/>
    <w:rsid w:val="00C54029"/>
    <w:rsid w:val="00C54927"/>
    <w:rsid w:val="00C54E1D"/>
    <w:rsid w:val="00C55354"/>
    <w:rsid w:val="00C555C6"/>
    <w:rsid w:val="00C55BB1"/>
    <w:rsid w:val="00C55BBF"/>
    <w:rsid w:val="00C55E59"/>
    <w:rsid w:val="00C56354"/>
    <w:rsid w:val="00C5640B"/>
    <w:rsid w:val="00C564D4"/>
    <w:rsid w:val="00C56CD7"/>
    <w:rsid w:val="00C571FA"/>
    <w:rsid w:val="00C57649"/>
    <w:rsid w:val="00C576D2"/>
    <w:rsid w:val="00C57773"/>
    <w:rsid w:val="00C6051D"/>
    <w:rsid w:val="00C60671"/>
    <w:rsid w:val="00C60B4C"/>
    <w:rsid w:val="00C614FB"/>
    <w:rsid w:val="00C6154D"/>
    <w:rsid w:val="00C615F2"/>
    <w:rsid w:val="00C62D50"/>
    <w:rsid w:val="00C63711"/>
    <w:rsid w:val="00C63B23"/>
    <w:rsid w:val="00C64C64"/>
    <w:rsid w:val="00C64D8C"/>
    <w:rsid w:val="00C653B5"/>
    <w:rsid w:val="00C65A36"/>
    <w:rsid w:val="00C65B1C"/>
    <w:rsid w:val="00C66091"/>
    <w:rsid w:val="00C66C52"/>
    <w:rsid w:val="00C66C9A"/>
    <w:rsid w:val="00C66DDB"/>
    <w:rsid w:val="00C66EF6"/>
    <w:rsid w:val="00C67022"/>
    <w:rsid w:val="00C702FC"/>
    <w:rsid w:val="00C70521"/>
    <w:rsid w:val="00C70D9A"/>
    <w:rsid w:val="00C70EEA"/>
    <w:rsid w:val="00C71B55"/>
    <w:rsid w:val="00C71D65"/>
    <w:rsid w:val="00C7276B"/>
    <w:rsid w:val="00C72819"/>
    <w:rsid w:val="00C730A3"/>
    <w:rsid w:val="00C73EF0"/>
    <w:rsid w:val="00C7459C"/>
    <w:rsid w:val="00C746DE"/>
    <w:rsid w:val="00C74818"/>
    <w:rsid w:val="00C748D1"/>
    <w:rsid w:val="00C74EF6"/>
    <w:rsid w:val="00C74FDC"/>
    <w:rsid w:val="00C75068"/>
    <w:rsid w:val="00C75B13"/>
    <w:rsid w:val="00C75BB9"/>
    <w:rsid w:val="00C75C01"/>
    <w:rsid w:val="00C75EBC"/>
    <w:rsid w:val="00C76038"/>
    <w:rsid w:val="00C76275"/>
    <w:rsid w:val="00C770E1"/>
    <w:rsid w:val="00C7711A"/>
    <w:rsid w:val="00C77834"/>
    <w:rsid w:val="00C80060"/>
    <w:rsid w:val="00C8051C"/>
    <w:rsid w:val="00C81986"/>
    <w:rsid w:val="00C81C74"/>
    <w:rsid w:val="00C81FB0"/>
    <w:rsid w:val="00C8254E"/>
    <w:rsid w:val="00C827C1"/>
    <w:rsid w:val="00C8309A"/>
    <w:rsid w:val="00C83511"/>
    <w:rsid w:val="00C83956"/>
    <w:rsid w:val="00C83A54"/>
    <w:rsid w:val="00C83E0E"/>
    <w:rsid w:val="00C84018"/>
    <w:rsid w:val="00C84118"/>
    <w:rsid w:val="00C84164"/>
    <w:rsid w:val="00C84FFF"/>
    <w:rsid w:val="00C856B4"/>
    <w:rsid w:val="00C85CEA"/>
    <w:rsid w:val="00C863BB"/>
    <w:rsid w:val="00C86482"/>
    <w:rsid w:val="00C868F5"/>
    <w:rsid w:val="00C86E41"/>
    <w:rsid w:val="00C8708C"/>
    <w:rsid w:val="00C87381"/>
    <w:rsid w:val="00C874C7"/>
    <w:rsid w:val="00C8790A"/>
    <w:rsid w:val="00C87A97"/>
    <w:rsid w:val="00C87FBF"/>
    <w:rsid w:val="00C90158"/>
    <w:rsid w:val="00C918C3"/>
    <w:rsid w:val="00C91B4F"/>
    <w:rsid w:val="00C923CE"/>
    <w:rsid w:val="00C92987"/>
    <w:rsid w:val="00C92AA7"/>
    <w:rsid w:val="00C92C55"/>
    <w:rsid w:val="00C9357D"/>
    <w:rsid w:val="00C939F5"/>
    <w:rsid w:val="00C941F2"/>
    <w:rsid w:val="00C953EE"/>
    <w:rsid w:val="00C9543A"/>
    <w:rsid w:val="00C958F8"/>
    <w:rsid w:val="00C95C1E"/>
    <w:rsid w:val="00C95F48"/>
    <w:rsid w:val="00C96449"/>
    <w:rsid w:val="00C96556"/>
    <w:rsid w:val="00C96579"/>
    <w:rsid w:val="00C966D5"/>
    <w:rsid w:val="00C970B8"/>
    <w:rsid w:val="00C9736A"/>
    <w:rsid w:val="00C97552"/>
    <w:rsid w:val="00C97902"/>
    <w:rsid w:val="00C97AD6"/>
    <w:rsid w:val="00C97BC1"/>
    <w:rsid w:val="00CA0225"/>
    <w:rsid w:val="00CA0EBF"/>
    <w:rsid w:val="00CA15E9"/>
    <w:rsid w:val="00CA17F9"/>
    <w:rsid w:val="00CA1C76"/>
    <w:rsid w:val="00CA1C7B"/>
    <w:rsid w:val="00CA1D69"/>
    <w:rsid w:val="00CA1F3A"/>
    <w:rsid w:val="00CA215A"/>
    <w:rsid w:val="00CA3732"/>
    <w:rsid w:val="00CA37AC"/>
    <w:rsid w:val="00CA4814"/>
    <w:rsid w:val="00CA4C6D"/>
    <w:rsid w:val="00CA592C"/>
    <w:rsid w:val="00CA59A5"/>
    <w:rsid w:val="00CA5FA2"/>
    <w:rsid w:val="00CA680E"/>
    <w:rsid w:val="00CA6B3A"/>
    <w:rsid w:val="00CA6B43"/>
    <w:rsid w:val="00CA765D"/>
    <w:rsid w:val="00CA7954"/>
    <w:rsid w:val="00CA7F44"/>
    <w:rsid w:val="00CB036D"/>
    <w:rsid w:val="00CB0913"/>
    <w:rsid w:val="00CB1287"/>
    <w:rsid w:val="00CB1305"/>
    <w:rsid w:val="00CB145C"/>
    <w:rsid w:val="00CB14FF"/>
    <w:rsid w:val="00CB1A49"/>
    <w:rsid w:val="00CB1C62"/>
    <w:rsid w:val="00CB1E1A"/>
    <w:rsid w:val="00CB22A5"/>
    <w:rsid w:val="00CB24C3"/>
    <w:rsid w:val="00CB2D6E"/>
    <w:rsid w:val="00CB3534"/>
    <w:rsid w:val="00CB355E"/>
    <w:rsid w:val="00CB3967"/>
    <w:rsid w:val="00CB4060"/>
    <w:rsid w:val="00CB4B73"/>
    <w:rsid w:val="00CB4EF7"/>
    <w:rsid w:val="00CB556C"/>
    <w:rsid w:val="00CB571F"/>
    <w:rsid w:val="00CB5FF9"/>
    <w:rsid w:val="00CB6290"/>
    <w:rsid w:val="00CB6EE7"/>
    <w:rsid w:val="00CB70F4"/>
    <w:rsid w:val="00CB71C1"/>
    <w:rsid w:val="00CB7A01"/>
    <w:rsid w:val="00CC0102"/>
    <w:rsid w:val="00CC06CC"/>
    <w:rsid w:val="00CC0FA8"/>
    <w:rsid w:val="00CC101A"/>
    <w:rsid w:val="00CC231A"/>
    <w:rsid w:val="00CC2396"/>
    <w:rsid w:val="00CC26B4"/>
    <w:rsid w:val="00CC2B5F"/>
    <w:rsid w:val="00CC3098"/>
    <w:rsid w:val="00CC322C"/>
    <w:rsid w:val="00CC32FC"/>
    <w:rsid w:val="00CC3733"/>
    <w:rsid w:val="00CC3913"/>
    <w:rsid w:val="00CC3F29"/>
    <w:rsid w:val="00CC42A1"/>
    <w:rsid w:val="00CC495C"/>
    <w:rsid w:val="00CC568A"/>
    <w:rsid w:val="00CC59F4"/>
    <w:rsid w:val="00CC5A43"/>
    <w:rsid w:val="00CC5BBF"/>
    <w:rsid w:val="00CC6B76"/>
    <w:rsid w:val="00CC70CB"/>
    <w:rsid w:val="00CC783B"/>
    <w:rsid w:val="00CC7FA0"/>
    <w:rsid w:val="00CD04F6"/>
    <w:rsid w:val="00CD08BF"/>
    <w:rsid w:val="00CD0C7C"/>
    <w:rsid w:val="00CD0F28"/>
    <w:rsid w:val="00CD11AC"/>
    <w:rsid w:val="00CD15D9"/>
    <w:rsid w:val="00CD171D"/>
    <w:rsid w:val="00CD1C11"/>
    <w:rsid w:val="00CD1C26"/>
    <w:rsid w:val="00CD231B"/>
    <w:rsid w:val="00CD278D"/>
    <w:rsid w:val="00CD3822"/>
    <w:rsid w:val="00CD394D"/>
    <w:rsid w:val="00CD3AF8"/>
    <w:rsid w:val="00CD3E21"/>
    <w:rsid w:val="00CD3E73"/>
    <w:rsid w:val="00CD4E9A"/>
    <w:rsid w:val="00CD54F3"/>
    <w:rsid w:val="00CD578C"/>
    <w:rsid w:val="00CD644C"/>
    <w:rsid w:val="00CD6623"/>
    <w:rsid w:val="00CD6BDA"/>
    <w:rsid w:val="00CD758F"/>
    <w:rsid w:val="00CD7BAD"/>
    <w:rsid w:val="00CE041B"/>
    <w:rsid w:val="00CE09B1"/>
    <w:rsid w:val="00CE1071"/>
    <w:rsid w:val="00CE151D"/>
    <w:rsid w:val="00CE197D"/>
    <w:rsid w:val="00CE1CA1"/>
    <w:rsid w:val="00CE21B2"/>
    <w:rsid w:val="00CE25A0"/>
    <w:rsid w:val="00CE32B6"/>
    <w:rsid w:val="00CE358D"/>
    <w:rsid w:val="00CE42C2"/>
    <w:rsid w:val="00CE51A3"/>
    <w:rsid w:val="00CE5A6E"/>
    <w:rsid w:val="00CE5C14"/>
    <w:rsid w:val="00CE62F7"/>
    <w:rsid w:val="00CE634A"/>
    <w:rsid w:val="00CE66CE"/>
    <w:rsid w:val="00CE6C67"/>
    <w:rsid w:val="00CE6DCF"/>
    <w:rsid w:val="00CE768E"/>
    <w:rsid w:val="00CE769C"/>
    <w:rsid w:val="00CE794D"/>
    <w:rsid w:val="00CE7F0A"/>
    <w:rsid w:val="00CF00F9"/>
    <w:rsid w:val="00CF00FB"/>
    <w:rsid w:val="00CF04EE"/>
    <w:rsid w:val="00CF0D24"/>
    <w:rsid w:val="00CF10F8"/>
    <w:rsid w:val="00CF1A55"/>
    <w:rsid w:val="00CF1D36"/>
    <w:rsid w:val="00CF22D7"/>
    <w:rsid w:val="00CF2320"/>
    <w:rsid w:val="00CF2471"/>
    <w:rsid w:val="00CF2B37"/>
    <w:rsid w:val="00CF2BE2"/>
    <w:rsid w:val="00CF2C54"/>
    <w:rsid w:val="00CF2D06"/>
    <w:rsid w:val="00CF35C9"/>
    <w:rsid w:val="00CF3E34"/>
    <w:rsid w:val="00CF45DC"/>
    <w:rsid w:val="00CF4716"/>
    <w:rsid w:val="00CF4741"/>
    <w:rsid w:val="00CF4AFA"/>
    <w:rsid w:val="00CF5159"/>
    <w:rsid w:val="00CF5C9B"/>
    <w:rsid w:val="00CF5E94"/>
    <w:rsid w:val="00CF61AD"/>
    <w:rsid w:val="00CF6B8C"/>
    <w:rsid w:val="00CF6BF0"/>
    <w:rsid w:val="00CF7534"/>
    <w:rsid w:val="00CF7AC9"/>
    <w:rsid w:val="00D000FC"/>
    <w:rsid w:val="00D00591"/>
    <w:rsid w:val="00D0062E"/>
    <w:rsid w:val="00D01ACE"/>
    <w:rsid w:val="00D0248D"/>
    <w:rsid w:val="00D03046"/>
    <w:rsid w:val="00D03DFB"/>
    <w:rsid w:val="00D03E51"/>
    <w:rsid w:val="00D040AF"/>
    <w:rsid w:val="00D0414D"/>
    <w:rsid w:val="00D041B1"/>
    <w:rsid w:val="00D04B5A"/>
    <w:rsid w:val="00D0505C"/>
    <w:rsid w:val="00D0535E"/>
    <w:rsid w:val="00D05A8E"/>
    <w:rsid w:val="00D0640D"/>
    <w:rsid w:val="00D067D1"/>
    <w:rsid w:val="00D06DA0"/>
    <w:rsid w:val="00D07F0A"/>
    <w:rsid w:val="00D10133"/>
    <w:rsid w:val="00D1017B"/>
    <w:rsid w:val="00D102F5"/>
    <w:rsid w:val="00D103C2"/>
    <w:rsid w:val="00D1047D"/>
    <w:rsid w:val="00D1070B"/>
    <w:rsid w:val="00D1098A"/>
    <w:rsid w:val="00D10C81"/>
    <w:rsid w:val="00D11697"/>
    <w:rsid w:val="00D12421"/>
    <w:rsid w:val="00D12623"/>
    <w:rsid w:val="00D127C3"/>
    <w:rsid w:val="00D13256"/>
    <w:rsid w:val="00D1339E"/>
    <w:rsid w:val="00D1379F"/>
    <w:rsid w:val="00D13894"/>
    <w:rsid w:val="00D13895"/>
    <w:rsid w:val="00D13DE4"/>
    <w:rsid w:val="00D14609"/>
    <w:rsid w:val="00D15896"/>
    <w:rsid w:val="00D15CB4"/>
    <w:rsid w:val="00D16C98"/>
    <w:rsid w:val="00D17E13"/>
    <w:rsid w:val="00D17E91"/>
    <w:rsid w:val="00D20114"/>
    <w:rsid w:val="00D208A3"/>
    <w:rsid w:val="00D21B99"/>
    <w:rsid w:val="00D21C01"/>
    <w:rsid w:val="00D21D08"/>
    <w:rsid w:val="00D21FF9"/>
    <w:rsid w:val="00D221F6"/>
    <w:rsid w:val="00D223D0"/>
    <w:rsid w:val="00D2252E"/>
    <w:rsid w:val="00D2276C"/>
    <w:rsid w:val="00D2285C"/>
    <w:rsid w:val="00D236D0"/>
    <w:rsid w:val="00D23930"/>
    <w:rsid w:val="00D23ABF"/>
    <w:rsid w:val="00D23C35"/>
    <w:rsid w:val="00D23C72"/>
    <w:rsid w:val="00D23D10"/>
    <w:rsid w:val="00D245B9"/>
    <w:rsid w:val="00D24793"/>
    <w:rsid w:val="00D24E0B"/>
    <w:rsid w:val="00D252C4"/>
    <w:rsid w:val="00D2546D"/>
    <w:rsid w:val="00D254D4"/>
    <w:rsid w:val="00D25CDC"/>
    <w:rsid w:val="00D25DAC"/>
    <w:rsid w:val="00D262BA"/>
    <w:rsid w:val="00D267A6"/>
    <w:rsid w:val="00D26FDC"/>
    <w:rsid w:val="00D2704D"/>
    <w:rsid w:val="00D27082"/>
    <w:rsid w:val="00D27350"/>
    <w:rsid w:val="00D2771D"/>
    <w:rsid w:val="00D278D6"/>
    <w:rsid w:val="00D279E6"/>
    <w:rsid w:val="00D27CE0"/>
    <w:rsid w:val="00D3049D"/>
    <w:rsid w:val="00D3097D"/>
    <w:rsid w:val="00D313D0"/>
    <w:rsid w:val="00D315B1"/>
    <w:rsid w:val="00D31E59"/>
    <w:rsid w:val="00D31E8D"/>
    <w:rsid w:val="00D32245"/>
    <w:rsid w:val="00D32A1C"/>
    <w:rsid w:val="00D32BC1"/>
    <w:rsid w:val="00D33535"/>
    <w:rsid w:val="00D335AB"/>
    <w:rsid w:val="00D34523"/>
    <w:rsid w:val="00D34BDA"/>
    <w:rsid w:val="00D34BE1"/>
    <w:rsid w:val="00D354D1"/>
    <w:rsid w:val="00D361FD"/>
    <w:rsid w:val="00D37738"/>
    <w:rsid w:val="00D37A4E"/>
    <w:rsid w:val="00D37E71"/>
    <w:rsid w:val="00D4025A"/>
    <w:rsid w:val="00D402C6"/>
    <w:rsid w:val="00D40410"/>
    <w:rsid w:val="00D40517"/>
    <w:rsid w:val="00D40F8A"/>
    <w:rsid w:val="00D4110D"/>
    <w:rsid w:val="00D42347"/>
    <w:rsid w:val="00D425F7"/>
    <w:rsid w:val="00D42668"/>
    <w:rsid w:val="00D43042"/>
    <w:rsid w:val="00D43786"/>
    <w:rsid w:val="00D43A18"/>
    <w:rsid w:val="00D44287"/>
    <w:rsid w:val="00D458D4"/>
    <w:rsid w:val="00D45FC1"/>
    <w:rsid w:val="00D460A2"/>
    <w:rsid w:val="00D46637"/>
    <w:rsid w:val="00D46843"/>
    <w:rsid w:val="00D46866"/>
    <w:rsid w:val="00D468AA"/>
    <w:rsid w:val="00D468B8"/>
    <w:rsid w:val="00D46C87"/>
    <w:rsid w:val="00D46CE2"/>
    <w:rsid w:val="00D46E1B"/>
    <w:rsid w:val="00D46ECF"/>
    <w:rsid w:val="00D47A43"/>
    <w:rsid w:val="00D47F0C"/>
    <w:rsid w:val="00D47FB2"/>
    <w:rsid w:val="00D50B99"/>
    <w:rsid w:val="00D50D06"/>
    <w:rsid w:val="00D50D3F"/>
    <w:rsid w:val="00D50E4C"/>
    <w:rsid w:val="00D51533"/>
    <w:rsid w:val="00D536E8"/>
    <w:rsid w:val="00D5393D"/>
    <w:rsid w:val="00D53F10"/>
    <w:rsid w:val="00D540DC"/>
    <w:rsid w:val="00D54341"/>
    <w:rsid w:val="00D54DBB"/>
    <w:rsid w:val="00D54F1F"/>
    <w:rsid w:val="00D54F96"/>
    <w:rsid w:val="00D553DB"/>
    <w:rsid w:val="00D5627A"/>
    <w:rsid w:val="00D56BCB"/>
    <w:rsid w:val="00D571FF"/>
    <w:rsid w:val="00D57558"/>
    <w:rsid w:val="00D575E7"/>
    <w:rsid w:val="00D601C8"/>
    <w:rsid w:val="00D6025F"/>
    <w:rsid w:val="00D60B05"/>
    <w:rsid w:val="00D6193C"/>
    <w:rsid w:val="00D619BB"/>
    <w:rsid w:val="00D61B00"/>
    <w:rsid w:val="00D61DEB"/>
    <w:rsid w:val="00D62D83"/>
    <w:rsid w:val="00D6358B"/>
    <w:rsid w:val="00D6370F"/>
    <w:rsid w:val="00D63EF7"/>
    <w:rsid w:val="00D648B3"/>
    <w:rsid w:val="00D64B36"/>
    <w:rsid w:val="00D64CD6"/>
    <w:rsid w:val="00D64CEB"/>
    <w:rsid w:val="00D64E67"/>
    <w:rsid w:val="00D6546A"/>
    <w:rsid w:val="00D65668"/>
    <w:rsid w:val="00D6576C"/>
    <w:rsid w:val="00D65979"/>
    <w:rsid w:val="00D65C0B"/>
    <w:rsid w:val="00D65CCA"/>
    <w:rsid w:val="00D66162"/>
    <w:rsid w:val="00D666DF"/>
    <w:rsid w:val="00D6683F"/>
    <w:rsid w:val="00D66A34"/>
    <w:rsid w:val="00D66D4A"/>
    <w:rsid w:val="00D66F1B"/>
    <w:rsid w:val="00D67088"/>
    <w:rsid w:val="00D670D7"/>
    <w:rsid w:val="00D672BE"/>
    <w:rsid w:val="00D67929"/>
    <w:rsid w:val="00D67968"/>
    <w:rsid w:val="00D67A75"/>
    <w:rsid w:val="00D70317"/>
    <w:rsid w:val="00D70B9F"/>
    <w:rsid w:val="00D70C47"/>
    <w:rsid w:val="00D70CF0"/>
    <w:rsid w:val="00D70F86"/>
    <w:rsid w:val="00D71037"/>
    <w:rsid w:val="00D71392"/>
    <w:rsid w:val="00D71544"/>
    <w:rsid w:val="00D715FE"/>
    <w:rsid w:val="00D71EFB"/>
    <w:rsid w:val="00D72536"/>
    <w:rsid w:val="00D72EE2"/>
    <w:rsid w:val="00D732C6"/>
    <w:rsid w:val="00D73630"/>
    <w:rsid w:val="00D73992"/>
    <w:rsid w:val="00D739ED"/>
    <w:rsid w:val="00D73B07"/>
    <w:rsid w:val="00D73BCC"/>
    <w:rsid w:val="00D73E49"/>
    <w:rsid w:val="00D746A6"/>
    <w:rsid w:val="00D74A20"/>
    <w:rsid w:val="00D74DAE"/>
    <w:rsid w:val="00D75830"/>
    <w:rsid w:val="00D76190"/>
    <w:rsid w:val="00D761F4"/>
    <w:rsid w:val="00D766CF"/>
    <w:rsid w:val="00D76E2D"/>
    <w:rsid w:val="00D76FC4"/>
    <w:rsid w:val="00D77B9E"/>
    <w:rsid w:val="00D77E23"/>
    <w:rsid w:val="00D8020E"/>
    <w:rsid w:val="00D8036C"/>
    <w:rsid w:val="00D81630"/>
    <w:rsid w:val="00D82349"/>
    <w:rsid w:val="00D8237D"/>
    <w:rsid w:val="00D82892"/>
    <w:rsid w:val="00D82B93"/>
    <w:rsid w:val="00D83125"/>
    <w:rsid w:val="00D8315B"/>
    <w:rsid w:val="00D8332A"/>
    <w:rsid w:val="00D83763"/>
    <w:rsid w:val="00D837DC"/>
    <w:rsid w:val="00D83CB2"/>
    <w:rsid w:val="00D8407C"/>
    <w:rsid w:val="00D8457C"/>
    <w:rsid w:val="00D84659"/>
    <w:rsid w:val="00D8507A"/>
    <w:rsid w:val="00D85671"/>
    <w:rsid w:val="00D8572D"/>
    <w:rsid w:val="00D85828"/>
    <w:rsid w:val="00D85887"/>
    <w:rsid w:val="00D85DAC"/>
    <w:rsid w:val="00D85F58"/>
    <w:rsid w:val="00D85F6F"/>
    <w:rsid w:val="00D86205"/>
    <w:rsid w:val="00D87230"/>
    <w:rsid w:val="00D873DC"/>
    <w:rsid w:val="00D87F90"/>
    <w:rsid w:val="00D903A1"/>
    <w:rsid w:val="00D90AF9"/>
    <w:rsid w:val="00D910CF"/>
    <w:rsid w:val="00D914EB"/>
    <w:rsid w:val="00D91828"/>
    <w:rsid w:val="00D91D57"/>
    <w:rsid w:val="00D91FEC"/>
    <w:rsid w:val="00D9205F"/>
    <w:rsid w:val="00D9225F"/>
    <w:rsid w:val="00D92454"/>
    <w:rsid w:val="00D9250E"/>
    <w:rsid w:val="00D925EA"/>
    <w:rsid w:val="00D92751"/>
    <w:rsid w:val="00D929CC"/>
    <w:rsid w:val="00D92B6E"/>
    <w:rsid w:val="00D9338F"/>
    <w:rsid w:val="00D9402E"/>
    <w:rsid w:val="00D94345"/>
    <w:rsid w:val="00D94DA3"/>
    <w:rsid w:val="00D952F6"/>
    <w:rsid w:val="00D95C8A"/>
    <w:rsid w:val="00D95F9D"/>
    <w:rsid w:val="00D96419"/>
    <w:rsid w:val="00D96466"/>
    <w:rsid w:val="00D96FFF"/>
    <w:rsid w:val="00D972F9"/>
    <w:rsid w:val="00D97547"/>
    <w:rsid w:val="00D978DA"/>
    <w:rsid w:val="00D97CBE"/>
    <w:rsid w:val="00DA0CA0"/>
    <w:rsid w:val="00DA0D8F"/>
    <w:rsid w:val="00DA0E5A"/>
    <w:rsid w:val="00DA0EF8"/>
    <w:rsid w:val="00DA1197"/>
    <w:rsid w:val="00DA13B5"/>
    <w:rsid w:val="00DA1AA1"/>
    <w:rsid w:val="00DA1B2B"/>
    <w:rsid w:val="00DA1D0C"/>
    <w:rsid w:val="00DA23C2"/>
    <w:rsid w:val="00DA2732"/>
    <w:rsid w:val="00DA2F2C"/>
    <w:rsid w:val="00DA3B51"/>
    <w:rsid w:val="00DA3DA7"/>
    <w:rsid w:val="00DA3E82"/>
    <w:rsid w:val="00DA4BBA"/>
    <w:rsid w:val="00DA4BF3"/>
    <w:rsid w:val="00DA4C39"/>
    <w:rsid w:val="00DA4D79"/>
    <w:rsid w:val="00DA4EDD"/>
    <w:rsid w:val="00DA5471"/>
    <w:rsid w:val="00DA61C5"/>
    <w:rsid w:val="00DA63C4"/>
    <w:rsid w:val="00DA6844"/>
    <w:rsid w:val="00DA69E2"/>
    <w:rsid w:val="00DA6F11"/>
    <w:rsid w:val="00DA77C2"/>
    <w:rsid w:val="00DB0204"/>
    <w:rsid w:val="00DB1160"/>
    <w:rsid w:val="00DB13BA"/>
    <w:rsid w:val="00DB1A30"/>
    <w:rsid w:val="00DB1A59"/>
    <w:rsid w:val="00DB1F7C"/>
    <w:rsid w:val="00DB202E"/>
    <w:rsid w:val="00DB2302"/>
    <w:rsid w:val="00DB28DA"/>
    <w:rsid w:val="00DB2F26"/>
    <w:rsid w:val="00DB33F6"/>
    <w:rsid w:val="00DB389C"/>
    <w:rsid w:val="00DB3E94"/>
    <w:rsid w:val="00DB4004"/>
    <w:rsid w:val="00DB40FC"/>
    <w:rsid w:val="00DB4A26"/>
    <w:rsid w:val="00DB4B7B"/>
    <w:rsid w:val="00DB4F80"/>
    <w:rsid w:val="00DB59B9"/>
    <w:rsid w:val="00DB5D86"/>
    <w:rsid w:val="00DB611B"/>
    <w:rsid w:val="00DC1367"/>
    <w:rsid w:val="00DC1963"/>
    <w:rsid w:val="00DC20FC"/>
    <w:rsid w:val="00DC2223"/>
    <w:rsid w:val="00DC25F8"/>
    <w:rsid w:val="00DC33B7"/>
    <w:rsid w:val="00DC3B7D"/>
    <w:rsid w:val="00DC4180"/>
    <w:rsid w:val="00DC492D"/>
    <w:rsid w:val="00DC4AD2"/>
    <w:rsid w:val="00DC4AE8"/>
    <w:rsid w:val="00DC5266"/>
    <w:rsid w:val="00DC526D"/>
    <w:rsid w:val="00DC5505"/>
    <w:rsid w:val="00DC590F"/>
    <w:rsid w:val="00DC632E"/>
    <w:rsid w:val="00DC7D31"/>
    <w:rsid w:val="00DD001C"/>
    <w:rsid w:val="00DD02CB"/>
    <w:rsid w:val="00DD02F7"/>
    <w:rsid w:val="00DD0B0F"/>
    <w:rsid w:val="00DD0B6E"/>
    <w:rsid w:val="00DD0E03"/>
    <w:rsid w:val="00DD108A"/>
    <w:rsid w:val="00DD1770"/>
    <w:rsid w:val="00DD18C0"/>
    <w:rsid w:val="00DD25BD"/>
    <w:rsid w:val="00DD2828"/>
    <w:rsid w:val="00DD2908"/>
    <w:rsid w:val="00DD2B2F"/>
    <w:rsid w:val="00DD2C4E"/>
    <w:rsid w:val="00DD350A"/>
    <w:rsid w:val="00DD3C77"/>
    <w:rsid w:val="00DD3CE9"/>
    <w:rsid w:val="00DD4E8E"/>
    <w:rsid w:val="00DD5715"/>
    <w:rsid w:val="00DD5B7A"/>
    <w:rsid w:val="00DD5BB3"/>
    <w:rsid w:val="00DD6223"/>
    <w:rsid w:val="00DD65D5"/>
    <w:rsid w:val="00DD673A"/>
    <w:rsid w:val="00DD6D42"/>
    <w:rsid w:val="00DD772B"/>
    <w:rsid w:val="00DE011D"/>
    <w:rsid w:val="00DE011E"/>
    <w:rsid w:val="00DE0609"/>
    <w:rsid w:val="00DE1467"/>
    <w:rsid w:val="00DE22C4"/>
    <w:rsid w:val="00DE2B57"/>
    <w:rsid w:val="00DE2B68"/>
    <w:rsid w:val="00DE3020"/>
    <w:rsid w:val="00DE330E"/>
    <w:rsid w:val="00DE3419"/>
    <w:rsid w:val="00DE4366"/>
    <w:rsid w:val="00DE44E2"/>
    <w:rsid w:val="00DE4C63"/>
    <w:rsid w:val="00DE4C8D"/>
    <w:rsid w:val="00DE50CE"/>
    <w:rsid w:val="00DE56A3"/>
    <w:rsid w:val="00DE5A41"/>
    <w:rsid w:val="00DE6B37"/>
    <w:rsid w:val="00DE6D95"/>
    <w:rsid w:val="00DE7049"/>
    <w:rsid w:val="00DE7416"/>
    <w:rsid w:val="00DE7C26"/>
    <w:rsid w:val="00DF00A2"/>
    <w:rsid w:val="00DF10D5"/>
    <w:rsid w:val="00DF1575"/>
    <w:rsid w:val="00DF1BCB"/>
    <w:rsid w:val="00DF1D71"/>
    <w:rsid w:val="00DF21A0"/>
    <w:rsid w:val="00DF21CB"/>
    <w:rsid w:val="00DF252A"/>
    <w:rsid w:val="00DF2B10"/>
    <w:rsid w:val="00DF2F83"/>
    <w:rsid w:val="00DF3006"/>
    <w:rsid w:val="00DF34C6"/>
    <w:rsid w:val="00DF45BD"/>
    <w:rsid w:val="00DF4749"/>
    <w:rsid w:val="00DF5225"/>
    <w:rsid w:val="00DF541F"/>
    <w:rsid w:val="00DF5FB2"/>
    <w:rsid w:val="00DF5FE2"/>
    <w:rsid w:val="00DF61A4"/>
    <w:rsid w:val="00DF6316"/>
    <w:rsid w:val="00DF6317"/>
    <w:rsid w:val="00DF636B"/>
    <w:rsid w:val="00DF6F85"/>
    <w:rsid w:val="00DF77F3"/>
    <w:rsid w:val="00DF79AC"/>
    <w:rsid w:val="00DF79BA"/>
    <w:rsid w:val="00DF7F63"/>
    <w:rsid w:val="00E002E0"/>
    <w:rsid w:val="00E0040A"/>
    <w:rsid w:val="00E009EA"/>
    <w:rsid w:val="00E00EE8"/>
    <w:rsid w:val="00E015C5"/>
    <w:rsid w:val="00E016FE"/>
    <w:rsid w:val="00E018C4"/>
    <w:rsid w:val="00E01FF9"/>
    <w:rsid w:val="00E02D20"/>
    <w:rsid w:val="00E03179"/>
    <w:rsid w:val="00E03AF5"/>
    <w:rsid w:val="00E03C4A"/>
    <w:rsid w:val="00E0442F"/>
    <w:rsid w:val="00E04831"/>
    <w:rsid w:val="00E0564E"/>
    <w:rsid w:val="00E057AB"/>
    <w:rsid w:val="00E05B57"/>
    <w:rsid w:val="00E05ED6"/>
    <w:rsid w:val="00E06268"/>
    <w:rsid w:val="00E06C4F"/>
    <w:rsid w:val="00E06CEA"/>
    <w:rsid w:val="00E10244"/>
    <w:rsid w:val="00E10F32"/>
    <w:rsid w:val="00E10FCF"/>
    <w:rsid w:val="00E110A4"/>
    <w:rsid w:val="00E111A1"/>
    <w:rsid w:val="00E115D3"/>
    <w:rsid w:val="00E11E50"/>
    <w:rsid w:val="00E1200D"/>
    <w:rsid w:val="00E121BE"/>
    <w:rsid w:val="00E12627"/>
    <w:rsid w:val="00E1269C"/>
    <w:rsid w:val="00E12779"/>
    <w:rsid w:val="00E12971"/>
    <w:rsid w:val="00E138CA"/>
    <w:rsid w:val="00E13995"/>
    <w:rsid w:val="00E13A38"/>
    <w:rsid w:val="00E13CB5"/>
    <w:rsid w:val="00E14565"/>
    <w:rsid w:val="00E14603"/>
    <w:rsid w:val="00E148AE"/>
    <w:rsid w:val="00E15C51"/>
    <w:rsid w:val="00E16018"/>
    <w:rsid w:val="00E162A5"/>
    <w:rsid w:val="00E164DF"/>
    <w:rsid w:val="00E16A27"/>
    <w:rsid w:val="00E16C1A"/>
    <w:rsid w:val="00E16D96"/>
    <w:rsid w:val="00E172C1"/>
    <w:rsid w:val="00E17805"/>
    <w:rsid w:val="00E17883"/>
    <w:rsid w:val="00E20174"/>
    <w:rsid w:val="00E20656"/>
    <w:rsid w:val="00E207EB"/>
    <w:rsid w:val="00E20B84"/>
    <w:rsid w:val="00E21135"/>
    <w:rsid w:val="00E21668"/>
    <w:rsid w:val="00E21C32"/>
    <w:rsid w:val="00E21F45"/>
    <w:rsid w:val="00E222BF"/>
    <w:rsid w:val="00E227FC"/>
    <w:rsid w:val="00E22B4B"/>
    <w:rsid w:val="00E22F74"/>
    <w:rsid w:val="00E2314A"/>
    <w:rsid w:val="00E23268"/>
    <w:rsid w:val="00E23552"/>
    <w:rsid w:val="00E23B9A"/>
    <w:rsid w:val="00E23C9A"/>
    <w:rsid w:val="00E24006"/>
    <w:rsid w:val="00E2497C"/>
    <w:rsid w:val="00E249E5"/>
    <w:rsid w:val="00E24C4E"/>
    <w:rsid w:val="00E26336"/>
    <w:rsid w:val="00E26B53"/>
    <w:rsid w:val="00E26C4B"/>
    <w:rsid w:val="00E26E16"/>
    <w:rsid w:val="00E27336"/>
    <w:rsid w:val="00E2735A"/>
    <w:rsid w:val="00E277FC"/>
    <w:rsid w:val="00E27F09"/>
    <w:rsid w:val="00E301DF"/>
    <w:rsid w:val="00E30BCF"/>
    <w:rsid w:val="00E30EE0"/>
    <w:rsid w:val="00E30F65"/>
    <w:rsid w:val="00E31D84"/>
    <w:rsid w:val="00E32244"/>
    <w:rsid w:val="00E337B9"/>
    <w:rsid w:val="00E33AF7"/>
    <w:rsid w:val="00E33D36"/>
    <w:rsid w:val="00E341C7"/>
    <w:rsid w:val="00E34D47"/>
    <w:rsid w:val="00E34E06"/>
    <w:rsid w:val="00E353A9"/>
    <w:rsid w:val="00E368B1"/>
    <w:rsid w:val="00E36B2B"/>
    <w:rsid w:val="00E36F33"/>
    <w:rsid w:val="00E36F54"/>
    <w:rsid w:val="00E3765F"/>
    <w:rsid w:val="00E40361"/>
    <w:rsid w:val="00E40DD3"/>
    <w:rsid w:val="00E40E8B"/>
    <w:rsid w:val="00E41C80"/>
    <w:rsid w:val="00E41C81"/>
    <w:rsid w:val="00E422BE"/>
    <w:rsid w:val="00E42C50"/>
    <w:rsid w:val="00E43123"/>
    <w:rsid w:val="00E4370E"/>
    <w:rsid w:val="00E43799"/>
    <w:rsid w:val="00E4389B"/>
    <w:rsid w:val="00E43BC6"/>
    <w:rsid w:val="00E43D86"/>
    <w:rsid w:val="00E4420E"/>
    <w:rsid w:val="00E448DE"/>
    <w:rsid w:val="00E449B5"/>
    <w:rsid w:val="00E44D04"/>
    <w:rsid w:val="00E44F6D"/>
    <w:rsid w:val="00E45207"/>
    <w:rsid w:val="00E45C03"/>
    <w:rsid w:val="00E46F04"/>
    <w:rsid w:val="00E4722F"/>
    <w:rsid w:val="00E474B7"/>
    <w:rsid w:val="00E47789"/>
    <w:rsid w:val="00E47856"/>
    <w:rsid w:val="00E478F4"/>
    <w:rsid w:val="00E500B9"/>
    <w:rsid w:val="00E5061F"/>
    <w:rsid w:val="00E50B75"/>
    <w:rsid w:val="00E51398"/>
    <w:rsid w:val="00E51897"/>
    <w:rsid w:val="00E51C18"/>
    <w:rsid w:val="00E51FA8"/>
    <w:rsid w:val="00E521AF"/>
    <w:rsid w:val="00E52781"/>
    <w:rsid w:val="00E52CBE"/>
    <w:rsid w:val="00E52EDC"/>
    <w:rsid w:val="00E53934"/>
    <w:rsid w:val="00E53AEC"/>
    <w:rsid w:val="00E54A78"/>
    <w:rsid w:val="00E54D58"/>
    <w:rsid w:val="00E55158"/>
    <w:rsid w:val="00E564F6"/>
    <w:rsid w:val="00E56617"/>
    <w:rsid w:val="00E5666E"/>
    <w:rsid w:val="00E5719D"/>
    <w:rsid w:val="00E5728B"/>
    <w:rsid w:val="00E57805"/>
    <w:rsid w:val="00E57EB7"/>
    <w:rsid w:val="00E57F35"/>
    <w:rsid w:val="00E6055D"/>
    <w:rsid w:val="00E6066A"/>
    <w:rsid w:val="00E608EB"/>
    <w:rsid w:val="00E60C72"/>
    <w:rsid w:val="00E60CDD"/>
    <w:rsid w:val="00E60DE8"/>
    <w:rsid w:val="00E61637"/>
    <w:rsid w:val="00E61D6B"/>
    <w:rsid w:val="00E61ECD"/>
    <w:rsid w:val="00E620C4"/>
    <w:rsid w:val="00E62CF9"/>
    <w:rsid w:val="00E63115"/>
    <w:rsid w:val="00E63422"/>
    <w:rsid w:val="00E634F4"/>
    <w:rsid w:val="00E6351E"/>
    <w:rsid w:val="00E63F58"/>
    <w:rsid w:val="00E646C9"/>
    <w:rsid w:val="00E64A13"/>
    <w:rsid w:val="00E65072"/>
    <w:rsid w:val="00E65A9A"/>
    <w:rsid w:val="00E660E8"/>
    <w:rsid w:val="00E67138"/>
    <w:rsid w:val="00E6764F"/>
    <w:rsid w:val="00E6767E"/>
    <w:rsid w:val="00E67693"/>
    <w:rsid w:val="00E678F7"/>
    <w:rsid w:val="00E67B75"/>
    <w:rsid w:val="00E67D27"/>
    <w:rsid w:val="00E67E35"/>
    <w:rsid w:val="00E7019E"/>
    <w:rsid w:val="00E70802"/>
    <w:rsid w:val="00E70E75"/>
    <w:rsid w:val="00E7193F"/>
    <w:rsid w:val="00E72733"/>
    <w:rsid w:val="00E72C7C"/>
    <w:rsid w:val="00E730FF"/>
    <w:rsid w:val="00E73100"/>
    <w:rsid w:val="00E73BEE"/>
    <w:rsid w:val="00E73D58"/>
    <w:rsid w:val="00E741E6"/>
    <w:rsid w:val="00E74360"/>
    <w:rsid w:val="00E7487E"/>
    <w:rsid w:val="00E74C64"/>
    <w:rsid w:val="00E75918"/>
    <w:rsid w:val="00E759C1"/>
    <w:rsid w:val="00E761E3"/>
    <w:rsid w:val="00E76C9C"/>
    <w:rsid w:val="00E771AA"/>
    <w:rsid w:val="00E77E07"/>
    <w:rsid w:val="00E80804"/>
    <w:rsid w:val="00E80B8D"/>
    <w:rsid w:val="00E80F9A"/>
    <w:rsid w:val="00E80F9D"/>
    <w:rsid w:val="00E81022"/>
    <w:rsid w:val="00E81208"/>
    <w:rsid w:val="00E81D89"/>
    <w:rsid w:val="00E82C69"/>
    <w:rsid w:val="00E82CC8"/>
    <w:rsid w:val="00E82DCB"/>
    <w:rsid w:val="00E83355"/>
    <w:rsid w:val="00E8410E"/>
    <w:rsid w:val="00E8426F"/>
    <w:rsid w:val="00E842DD"/>
    <w:rsid w:val="00E84BB5"/>
    <w:rsid w:val="00E84EE3"/>
    <w:rsid w:val="00E84F3B"/>
    <w:rsid w:val="00E857CD"/>
    <w:rsid w:val="00E85BB8"/>
    <w:rsid w:val="00E86698"/>
    <w:rsid w:val="00E86B86"/>
    <w:rsid w:val="00E86EED"/>
    <w:rsid w:val="00E87724"/>
    <w:rsid w:val="00E90193"/>
    <w:rsid w:val="00E9111C"/>
    <w:rsid w:val="00E9142C"/>
    <w:rsid w:val="00E9156E"/>
    <w:rsid w:val="00E918DE"/>
    <w:rsid w:val="00E91BBA"/>
    <w:rsid w:val="00E92748"/>
    <w:rsid w:val="00E92957"/>
    <w:rsid w:val="00E92C85"/>
    <w:rsid w:val="00E93353"/>
    <w:rsid w:val="00E934A4"/>
    <w:rsid w:val="00E93599"/>
    <w:rsid w:val="00E93741"/>
    <w:rsid w:val="00E939D0"/>
    <w:rsid w:val="00E94341"/>
    <w:rsid w:val="00E94A4A"/>
    <w:rsid w:val="00E94E2B"/>
    <w:rsid w:val="00E9503E"/>
    <w:rsid w:val="00E95730"/>
    <w:rsid w:val="00E95EB2"/>
    <w:rsid w:val="00E95EFF"/>
    <w:rsid w:val="00E9627D"/>
    <w:rsid w:val="00E969DE"/>
    <w:rsid w:val="00E971C0"/>
    <w:rsid w:val="00E972F4"/>
    <w:rsid w:val="00E9743C"/>
    <w:rsid w:val="00E97578"/>
    <w:rsid w:val="00E976BF"/>
    <w:rsid w:val="00E97A15"/>
    <w:rsid w:val="00EA095E"/>
    <w:rsid w:val="00EA0A30"/>
    <w:rsid w:val="00EA0CBE"/>
    <w:rsid w:val="00EA0D14"/>
    <w:rsid w:val="00EA11CA"/>
    <w:rsid w:val="00EA14D4"/>
    <w:rsid w:val="00EA1556"/>
    <w:rsid w:val="00EA1ADF"/>
    <w:rsid w:val="00EA1E82"/>
    <w:rsid w:val="00EA2AC8"/>
    <w:rsid w:val="00EA2C0F"/>
    <w:rsid w:val="00EA2CB2"/>
    <w:rsid w:val="00EA2DBD"/>
    <w:rsid w:val="00EA31F5"/>
    <w:rsid w:val="00EA38DD"/>
    <w:rsid w:val="00EA3DA5"/>
    <w:rsid w:val="00EA42C6"/>
    <w:rsid w:val="00EA4A48"/>
    <w:rsid w:val="00EA4F29"/>
    <w:rsid w:val="00EA533B"/>
    <w:rsid w:val="00EA5758"/>
    <w:rsid w:val="00EA62AE"/>
    <w:rsid w:val="00EA669D"/>
    <w:rsid w:val="00EA6BDD"/>
    <w:rsid w:val="00EA6C39"/>
    <w:rsid w:val="00EA77F9"/>
    <w:rsid w:val="00EA7A22"/>
    <w:rsid w:val="00EB061C"/>
    <w:rsid w:val="00EB0946"/>
    <w:rsid w:val="00EB0AE1"/>
    <w:rsid w:val="00EB14D2"/>
    <w:rsid w:val="00EB156D"/>
    <w:rsid w:val="00EB1951"/>
    <w:rsid w:val="00EB197B"/>
    <w:rsid w:val="00EB1C15"/>
    <w:rsid w:val="00EB2924"/>
    <w:rsid w:val="00EB2A7A"/>
    <w:rsid w:val="00EB2DFC"/>
    <w:rsid w:val="00EB30F3"/>
    <w:rsid w:val="00EB33FE"/>
    <w:rsid w:val="00EB37B7"/>
    <w:rsid w:val="00EB3EE2"/>
    <w:rsid w:val="00EB40B8"/>
    <w:rsid w:val="00EB57A7"/>
    <w:rsid w:val="00EB60E6"/>
    <w:rsid w:val="00EB6578"/>
    <w:rsid w:val="00EB6AC8"/>
    <w:rsid w:val="00EB6FC7"/>
    <w:rsid w:val="00EB77F2"/>
    <w:rsid w:val="00EC01DC"/>
    <w:rsid w:val="00EC02CD"/>
    <w:rsid w:val="00EC053C"/>
    <w:rsid w:val="00EC0923"/>
    <w:rsid w:val="00EC1069"/>
    <w:rsid w:val="00EC1253"/>
    <w:rsid w:val="00EC1537"/>
    <w:rsid w:val="00EC1DCE"/>
    <w:rsid w:val="00EC31C4"/>
    <w:rsid w:val="00EC3776"/>
    <w:rsid w:val="00EC4A2F"/>
    <w:rsid w:val="00EC51A2"/>
    <w:rsid w:val="00EC52B4"/>
    <w:rsid w:val="00EC5736"/>
    <w:rsid w:val="00EC655E"/>
    <w:rsid w:val="00EC6A7D"/>
    <w:rsid w:val="00EC7256"/>
    <w:rsid w:val="00EC75F0"/>
    <w:rsid w:val="00EC77AB"/>
    <w:rsid w:val="00ED14F3"/>
    <w:rsid w:val="00ED185C"/>
    <w:rsid w:val="00ED219B"/>
    <w:rsid w:val="00ED22DA"/>
    <w:rsid w:val="00ED2796"/>
    <w:rsid w:val="00ED2937"/>
    <w:rsid w:val="00ED2CF9"/>
    <w:rsid w:val="00ED3176"/>
    <w:rsid w:val="00ED3431"/>
    <w:rsid w:val="00ED37AC"/>
    <w:rsid w:val="00ED39D8"/>
    <w:rsid w:val="00ED3F85"/>
    <w:rsid w:val="00ED4243"/>
    <w:rsid w:val="00ED4802"/>
    <w:rsid w:val="00ED4B4E"/>
    <w:rsid w:val="00ED550D"/>
    <w:rsid w:val="00ED566C"/>
    <w:rsid w:val="00ED586A"/>
    <w:rsid w:val="00ED5B46"/>
    <w:rsid w:val="00ED667C"/>
    <w:rsid w:val="00ED675F"/>
    <w:rsid w:val="00EE04F4"/>
    <w:rsid w:val="00EE0877"/>
    <w:rsid w:val="00EE14D2"/>
    <w:rsid w:val="00EE1ACE"/>
    <w:rsid w:val="00EE2115"/>
    <w:rsid w:val="00EE25A0"/>
    <w:rsid w:val="00EE2631"/>
    <w:rsid w:val="00EE28F1"/>
    <w:rsid w:val="00EE2AF9"/>
    <w:rsid w:val="00EE3CE6"/>
    <w:rsid w:val="00EE546E"/>
    <w:rsid w:val="00EE552A"/>
    <w:rsid w:val="00EE57EF"/>
    <w:rsid w:val="00EE5800"/>
    <w:rsid w:val="00EE5864"/>
    <w:rsid w:val="00EE6058"/>
    <w:rsid w:val="00EE60D2"/>
    <w:rsid w:val="00EE68C6"/>
    <w:rsid w:val="00EE6B08"/>
    <w:rsid w:val="00EE6E99"/>
    <w:rsid w:val="00EE77AB"/>
    <w:rsid w:val="00EF06F9"/>
    <w:rsid w:val="00EF17AA"/>
    <w:rsid w:val="00EF1A9F"/>
    <w:rsid w:val="00EF1D82"/>
    <w:rsid w:val="00EF218F"/>
    <w:rsid w:val="00EF2A5F"/>
    <w:rsid w:val="00EF351D"/>
    <w:rsid w:val="00EF35B1"/>
    <w:rsid w:val="00EF36BC"/>
    <w:rsid w:val="00EF36D3"/>
    <w:rsid w:val="00EF3FC9"/>
    <w:rsid w:val="00EF5FA1"/>
    <w:rsid w:val="00EF60F0"/>
    <w:rsid w:val="00EF61B3"/>
    <w:rsid w:val="00EF6A20"/>
    <w:rsid w:val="00EF723C"/>
    <w:rsid w:val="00EF7467"/>
    <w:rsid w:val="00EF757C"/>
    <w:rsid w:val="00EF7FB7"/>
    <w:rsid w:val="00F004D9"/>
    <w:rsid w:val="00F00DD7"/>
    <w:rsid w:val="00F010F3"/>
    <w:rsid w:val="00F01235"/>
    <w:rsid w:val="00F01B6D"/>
    <w:rsid w:val="00F01DB3"/>
    <w:rsid w:val="00F021C6"/>
    <w:rsid w:val="00F0272F"/>
    <w:rsid w:val="00F0273B"/>
    <w:rsid w:val="00F03182"/>
    <w:rsid w:val="00F037EA"/>
    <w:rsid w:val="00F04318"/>
    <w:rsid w:val="00F043CA"/>
    <w:rsid w:val="00F048AD"/>
    <w:rsid w:val="00F04C4D"/>
    <w:rsid w:val="00F04DF2"/>
    <w:rsid w:val="00F04EB6"/>
    <w:rsid w:val="00F05E63"/>
    <w:rsid w:val="00F06169"/>
    <w:rsid w:val="00F06401"/>
    <w:rsid w:val="00F06677"/>
    <w:rsid w:val="00F06E1E"/>
    <w:rsid w:val="00F0713F"/>
    <w:rsid w:val="00F1084A"/>
    <w:rsid w:val="00F10913"/>
    <w:rsid w:val="00F10A07"/>
    <w:rsid w:val="00F10C99"/>
    <w:rsid w:val="00F110A6"/>
    <w:rsid w:val="00F11294"/>
    <w:rsid w:val="00F11A1A"/>
    <w:rsid w:val="00F11D20"/>
    <w:rsid w:val="00F11DDF"/>
    <w:rsid w:val="00F11E02"/>
    <w:rsid w:val="00F12C55"/>
    <w:rsid w:val="00F12E83"/>
    <w:rsid w:val="00F1353E"/>
    <w:rsid w:val="00F13A56"/>
    <w:rsid w:val="00F14F33"/>
    <w:rsid w:val="00F15223"/>
    <w:rsid w:val="00F15831"/>
    <w:rsid w:val="00F15E2A"/>
    <w:rsid w:val="00F16252"/>
    <w:rsid w:val="00F168B7"/>
    <w:rsid w:val="00F16AC6"/>
    <w:rsid w:val="00F16FAF"/>
    <w:rsid w:val="00F172FE"/>
    <w:rsid w:val="00F1790C"/>
    <w:rsid w:val="00F200B6"/>
    <w:rsid w:val="00F20DF5"/>
    <w:rsid w:val="00F20FBA"/>
    <w:rsid w:val="00F21033"/>
    <w:rsid w:val="00F21329"/>
    <w:rsid w:val="00F213DA"/>
    <w:rsid w:val="00F215BB"/>
    <w:rsid w:val="00F2193A"/>
    <w:rsid w:val="00F21A55"/>
    <w:rsid w:val="00F21CD5"/>
    <w:rsid w:val="00F21E20"/>
    <w:rsid w:val="00F220F7"/>
    <w:rsid w:val="00F22151"/>
    <w:rsid w:val="00F22411"/>
    <w:rsid w:val="00F2276B"/>
    <w:rsid w:val="00F22A1C"/>
    <w:rsid w:val="00F22D9B"/>
    <w:rsid w:val="00F23012"/>
    <w:rsid w:val="00F2335F"/>
    <w:rsid w:val="00F23BFA"/>
    <w:rsid w:val="00F23C04"/>
    <w:rsid w:val="00F241E9"/>
    <w:rsid w:val="00F24372"/>
    <w:rsid w:val="00F24660"/>
    <w:rsid w:val="00F24AB3"/>
    <w:rsid w:val="00F24EE5"/>
    <w:rsid w:val="00F257F6"/>
    <w:rsid w:val="00F2595B"/>
    <w:rsid w:val="00F277BB"/>
    <w:rsid w:val="00F27DB1"/>
    <w:rsid w:val="00F30060"/>
    <w:rsid w:val="00F30157"/>
    <w:rsid w:val="00F3065A"/>
    <w:rsid w:val="00F30873"/>
    <w:rsid w:val="00F30A5F"/>
    <w:rsid w:val="00F30B6D"/>
    <w:rsid w:val="00F30C1B"/>
    <w:rsid w:val="00F31011"/>
    <w:rsid w:val="00F31178"/>
    <w:rsid w:val="00F3193E"/>
    <w:rsid w:val="00F31B6E"/>
    <w:rsid w:val="00F31D44"/>
    <w:rsid w:val="00F31D9E"/>
    <w:rsid w:val="00F32433"/>
    <w:rsid w:val="00F325E7"/>
    <w:rsid w:val="00F3354B"/>
    <w:rsid w:val="00F33C6F"/>
    <w:rsid w:val="00F33F59"/>
    <w:rsid w:val="00F33F93"/>
    <w:rsid w:val="00F3417D"/>
    <w:rsid w:val="00F34208"/>
    <w:rsid w:val="00F3425F"/>
    <w:rsid w:val="00F34383"/>
    <w:rsid w:val="00F34667"/>
    <w:rsid w:val="00F3540A"/>
    <w:rsid w:val="00F3554F"/>
    <w:rsid w:val="00F3577C"/>
    <w:rsid w:val="00F36796"/>
    <w:rsid w:val="00F367C5"/>
    <w:rsid w:val="00F37313"/>
    <w:rsid w:val="00F3735E"/>
    <w:rsid w:val="00F413FD"/>
    <w:rsid w:val="00F41888"/>
    <w:rsid w:val="00F42313"/>
    <w:rsid w:val="00F4237E"/>
    <w:rsid w:val="00F427D1"/>
    <w:rsid w:val="00F42915"/>
    <w:rsid w:val="00F429AF"/>
    <w:rsid w:val="00F42AA0"/>
    <w:rsid w:val="00F42CB3"/>
    <w:rsid w:val="00F4319B"/>
    <w:rsid w:val="00F43219"/>
    <w:rsid w:val="00F4369B"/>
    <w:rsid w:val="00F44218"/>
    <w:rsid w:val="00F44640"/>
    <w:rsid w:val="00F446D4"/>
    <w:rsid w:val="00F44C8D"/>
    <w:rsid w:val="00F452E4"/>
    <w:rsid w:val="00F45A0D"/>
    <w:rsid w:val="00F46577"/>
    <w:rsid w:val="00F46C96"/>
    <w:rsid w:val="00F46E12"/>
    <w:rsid w:val="00F472A5"/>
    <w:rsid w:val="00F47C1B"/>
    <w:rsid w:val="00F47C2E"/>
    <w:rsid w:val="00F50289"/>
    <w:rsid w:val="00F50541"/>
    <w:rsid w:val="00F50688"/>
    <w:rsid w:val="00F5071E"/>
    <w:rsid w:val="00F50EDB"/>
    <w:rsid w:val="00F51438"/>
    <w:rsid w:val="00F51A1F"/>
    <w:rsid w:val="00F52898"/>
    <w:rsid w:val="00F52BB2"/>
    <w:rsid w:val="00F52D53"/>
    <w:rsid w:val="00F53800"/>
    <w:rsid w:val="00F539AE"/>
    <w:rsid w:val="00F543FE"/>
    <w:rsid w:val="00F54D07"/>
    <w:rsid w:val="00F54EB8"/>
    <w:rsid w:val="00F55880"/>
    <w:rsid w:val="00F55BB5"/>
    <w:rsid w:val="00F5646E"/>
    <w:rsid w:val="00F56634"/>
    <w:rsid w:val="00F56A8F"/>
    <w:rsid w:val="00F5795C"/>
    <w:rsid w:val="00F57B16"/>
    <w:rsid w:val="00F6055A"/>
    <w:rsid w:val="00F613CD"/>
    <w:rsid w:val="00F613F4"/>
    <w:rsid w:val="00F618D1"/>
    <w:rsid w:val="00F61C3D"/>
    <w:rsid w:val="00F61D39"/>
    <w:rsid w:val="00F61D9D"/>
    <w:rsid w:val="00F6276D"/>
    <w:rsid w:val="00F62CBB"/>
    <w:rsid w:val="00F62E90"/>
    <w:rsid w:val="00F63C21"/>
    <w:rsid w:val="00F63C79"/>
    <w:rsid w:val="00F63CF0"/>
    <w:rsid w:val="00F63F9A"/>
    <w:rsid w:val="00F64DD8"/>
    <w:rsid w:val="00F6558C"/>
    <w:rsid w:val="00F667F4"/>
    <w:rsid w:val="00F66F7D"/>
    <w:rsid w:val="00F67BBB"/>
    <w:rsid w:val="00F67D44"/>
    <w:rsid w:val="00F67ECB"/>
    <w:rsid w:val="00F67F6B"/>
    <w:rsid w:val="00F701C8"/>
    <w:rsid w:val="00F702E9"/>
    <w:rsid w:val="00F7094C"/>
    <w:rsid w:val="00F715B9"/>
    <w:rsid w:val="00F71B7B"/>
    <w:rsid w:val="00F72D05"/>
    <w:rsid w:val="00F742A5"/>
    <w:rsid w:val="00F75717"/>
    <w:rsid w:val="00F7597E"/>
    <w:rsid w:val="00F759BB"/>
    <w:rsid w:val="00F75CC0"/>
    <w:rsid w:val="00F761D8"/>
    <w:rsid w:val="00F762E4"/>
    <w:rsid w:val="00F767A3"/>
    <w:rsid w:val="00F76A99"/>
    <w:rsid w:val="00F77148"/>
    <w:rsid w:val="00F773EF"/>
    <w:rsid w:val="00F774A7"/>
    <w:rsid w:val="00F774B3"/>
    <w:rsid w:val="00F77DDC"/>
    <w:rsid w:val="00F80BFB"/>
    <w:rsid w:val="00F80C31"/>
    <w:rsid w:val="00F81F27"/>
    <w:rsid w:val="00F82876"/>
    <w:rsid w:val="00F82AC6"/>
    <w:rsid w:val="00F82B56"/>
    <w:rsid w:val="00F83926"/>
    <w:rsid w:val="00F83949"/>
    <w:rsid w:val="00F83C07"/>
    <w:rsid w:val="00F83D16"/>
    <w:rsid w:val="00F83D3C"/>
    <w:rsid w:val="00F8428C"/>
    <w:rsid w:val="00F8449F"/>
    <w:rsid w:val="00F844A0"/>
    <w:rsid w:val="00F844DE"/>
    <w:rsid w:val="00F851A6"/>
    <w:rsid w:val="00F851E1"/>
    <w:rsid w:val="00F85CA3"/>
    <w:rsid w:val="00F86FB1"/>
    <w:rsid w:val="00F870A2"/>
    <w:rsid w:val="00F87428"/>
    <w:rsid w:val="00F8751C"/>
    <w:rsid w:val="00F90275"/>
    <w:rsid w:val="00F905A3"/>
    <w:rsid w:val="00F906C1"/>
    <w:rsid w:val="00F909FD"/>
    <w:rsid w:val="00F90D4C"/>
    <w:rsid w:val="00F91569"/>
    <w:rsid w:val="00F922B8"/>
    <w:rsid w:val="00F929BA"/>
    <w:rsid w:val="00F92C4F"/>
    <w:rsid w:val="00F933FC"/>
    <w:rsid w:val="00F93F8C"/>
    <w:rsid w:val="00F942EC"/>
    <w:rsid w:val="00F947CD"/>
    <w:rsid w:val="00F9488F"/>
    <w:rsid w:val="00F94A7E"/>
    <w:rsid w:val="00F94D6E"/>
    <w:rsid w:val="00F950F0"/>
    <w:rsid w:val="00F9567C"/>
    <w:rsid w:val="00F95E3D"/>
    <w:rsid w:val="00F96270"/>
    <w:rsid w:val="00F9708D"/>
    <w:rsid w:val="00F971CE"/>
    <w:rsid w:val="00F9762A"/>
    <w:rsid w:val="00F97991"/>
    <w:rsid w:val="00F97BE8"/>
    <w:rsid w:val="00FA00B4"/>
    <w:rsid w:val="00FA032D"/>
    <w:rsid w:val="00FA05B2"/>
    <w:rsid w:val="00FA05F4"/>
    <w:rsid w:val="00FA07A8"/>
    <w:rsid w:val="00FA0B0F"/>
    <w:rsid w:val="00FA0DB3"/>
    <w:rsid w:val="00FA0F70"/>
    <w:rsid w:val="00FA104A"/>
    <w:rsid w:val="00FA1162"/>
    <w:rsid w:val="00FA15C7"/>
    <w:rsid w:val="00FA1825"/>
    <w:rsid w:val="00FA18ED"/>
    <w:rsid w:val="00FA1D27"/>
    <w:rsid w:val="00FA2F4D"/>
    <w:rsid w:val="00FA30AB"/>
    <w:rsid w:val="00FA31EB"/>
    <w:rsid w:val="00FA3470"/>
    <w:rsid w:val="00FA3C57"/>
    <w:rsid w:val="00FA40FB"/>
    <w:rsid w:val="00FA4609"/>
    <w:rsid w:val="00FA5340"/>
    <w:rsid w:val="00FA57D0"/>
    <w:rsid w:val="00FA581E"/>
    <w:rsid w:val="00FA5D75"/>
    <w:rsid w:val="00FA5EC0"/>
    <w:rsid w:val="00FA6098"/>
    <w:rsid w:val="00FA612B"/>
    <w:rsid w:val="00FA62A9"/>
    <w:rsid w:val="00FA642E"/>
    <w:rsid w:val="00FA6C32"/>
    <w:rsid w:val="00FA6C71"/>
    <w:rsid w:val="00FA6CD9"/>
    <w:rsid w:val="00FA7840"/>
    <w:rsid w:val="00FA7B4D"/>
    <w:rsid w:val="00FB07CA"/>
    <w:rsid w:val="00FB082A"/>
    <w:rsid w:val="00FB0CD9"/>
    <w:rsid w:val="00FB105E"/>
    <w:rsid w:val="00FB146E"/>
    <w:rsid w:val="00FB1537"/>
    <w:rsid w:val="00FB1836"/>
    <w:rsid w:val="00FB1C68"/>
    <w:rsid w:val="00FB20FD"/>
    <w:rsid w:val="00FB27B8"/>
    <w:rsid w:val="00FB2936"/>
    <w:rsid w:val="00FB33F5"/>
    <w:rsid w:val="00FB3539"/>
    <w:rsid w:val="00FB35A8"/>
    <w:rsid w:val="00FB3A4E"/>
    <w:rsid w:val="00FB3F34"/>
    <w:rsid w:val="00FB3F58"/>
    <w:rsid w:val="00FB4402"/>
    <w:rsid w:val="00FB4BD7"/>
    <w:rsid w:val="00FB50FB"/>
    <w:rsid w:val="00FB539A"/>
    <w:rsid w:val="00FB5624"/>
    <w:rsid w:val="00FB5964"/>
    <w:rsid w:val="00FB5997"/>
    <w:rsid w:val="00FB59F1"/>
    <w:rsid w:val="00FB5C03"/>
    <w:rsid w:val="00FB6C49"/>
    <w:rsid w:val="00FB6DBF"/>
    <w:rsid w:val="00FB6ECA"/>
    <w:rsid w:val="00FB6F5F"/>
    <w:rsid w:val="00FB73DA"/>
    <w:rsid w:val="00FC00DF"/>
    <w:rsid w:val="00FC0259"/>
    <w:rsid w:val="00FC047B"/>
    <w:rsid w:val="00FC05FF"/>
    <w:rsid w:val="00FC084D"/>
    <w:rsid w:val="00FC119A"/>
    <w:rsid w:val="00FC1216"/>
    <w:rsid w:val="00FC17BC"/>
    <w:rsid w:val="00FC17E1"/>
    <w:rsid w:val="00FC206B"/>
    <w:rsid w:val="00FC242A"/>
    <w:rsid w:val="00FC2899"/>
    <w:rsid w:val="00FC2B95"/>
    <w:rsid w:val="00FC3D8D"/>
    <w:rsid w:val="00FC3F14"/>
    <w:rsid w:val="00FC4324"/>
    <w:rsid w:val="00FC4AD6"/>
    <w:rsid w:val="00FC4D69"/>
    <w:rsid w:val="00FC4DCD"/>
    <w:rsid w:val="00FC4EAA"/>
    <w:rsid w:val="00FC4FB1"/>
    <w:rsid w:val="00FC5D69"/>
    <w:rsid w:val="00FC5FFD"/>
    <w:rsid w:val="00FC60B6"/>
    <w:rsid w:val="00FC6DD5"/>
    <w:rsid w:val="00FC72A7"/>
    <w:rsid w:val="00FC7FEC"/>
    <w:rsid w:val="00FD076F"/>
    <w:rsid w:val="00FD0FB1"/>
    <w:rsid w:val="00FD21D3"/>
    <w:rsid w:val="00FD225D"/>
    <w:rsid w:val="00FD231F"/>
    <w:rsid w:val="00FD2768"/>
    <w:rsid w:val="00FD3A40"/>
    <w:rsid w:val="00FD45F9"/>
    <w:rsid w:val="00FD4BB2"/>
    <w:rsid w:val="00FD528E"/>
    <w:rsid w:val="00FD538C"/>
    <w:rsid w:val="00FD54C9"/>
    <w:rsid w:val="00FD6294"/>
    <w:rsid w:val="00FD67F5"/>
    <w:rsid w:val="00FD684B"/>
    <w:rsid w:val="00FD69C5"/>
    <w:rsid w:val="00FD75EF"/>
    <w:rsid w:val="00FD7789"/>
    <w:rsid w:val="00FD7A3E"/>
    <w:rsid w:val="00FD7A3F"/>
    <w:rsid w:val="00FD7B8A"/>
    <w:rsid w:val="00FD7DB3"/>
    <w:rsid w:val="00FD7F3E"/>
    <w:rsid w:val="00FE0918"/>
    <w:rsid w:val="00FE0B04"/>
    <w:rsid w:val="00FE0EB0"/>
    <w:rsid w:val="00FE10D6"/>
    <w:rsid w:val="00FE131D"/>
    <w:rsid w:val="00FE1324"/>
    <w:rsid w:val="00FE1533"/>
    <w:rsid w:val="00FE209B"/>
    <w:rsid w:val="00FE2AE4"/>
    <w:rsid w:val="00FE2EF6"/>
    <w:rsid w:val="00FE33E2"/>
    <w:rsid w:val="00FE364D"/>
    <w:rsid w:val="00FE3789"/>
    <w:rsid w:val="00FE3834"/>
    <w:rsid w:val="00FE3EA9"/>
    <w:rsid w:val="00FE3F7C"/>
    <w:rsid w:val="00FE3FA7"/>
    <w:rsid w:val="00FE423E"/>
    <w:rsid w:val="00FE458D"/>
    <w:rsid w:val="00FE4E6A"/>
    <w:rsid w:val="00FE527E"/>
    <w:rsid w:val="00FE530B"/>
    <w:rsid w:val="00FE5BF6"/>
    <w:rsid w:val="00FE5EAC"/>
    <w:rsid w:val="00FE5F9F"/>
    <w:rsid w:val="00FE631A"/>
    <w:rsid w:val="00FE6400"/>
    <w:rsid w:val="00FE7360"/>
    <w:rsid w:val="00FE790F"/>
    <w:rsid w:val="00FE7D0E"/>
    <w:rsid w:val="00FE7E80"/>
    <w:rsid w:val="00FF006E"/>
    <w:rsid w:val="00FF09AA"/>
    <w:rsid w:val="00FF0B56"/>
    <w:rsid w:val="00FF24BD"/>
    <w:rsid w:val="00FF25D7"/>
    <w:rsid w:val="00FF2848"/>
    <w:rsid w:val="00FF3DB7"/>
    <w:rsid w:val="00FF4631"/>
    <w:rsid w:val="00FF489E"/>
    <w:rsid w:val="00FF4AC6"/>
    <w:rsid w:val="00FF5334"/>
    <w:rsid w:val="00FF5471"/>
    <w:rsid w:val="00FF5596"/>
    <w:rsid w:val="00FF58CA"/>
    <w:rsid w:val="00FF63A9"/>
    <w:rsid w:val="00FF69B5"/>
    <w:rsid w:val="00FF6C46"/>
    <w:rsid w:val="00FF6F23"/>
    <w:rsid w:val="00FF6F63"/>
    <w:rsid w:val="00FF745D"/>
    <w:rsid w:val="00FF7819"/>
    <w:rsid w:val="00FF7E0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A261"/>
  <w14:defaultImageDpi w14:val="330"/>
  <w15:chartTrackingRefBased/>
  <w15:docId w15:val="{C1F7C084-83DB-4D5A-8011-C443BFC4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AU" w:eastAsia="en-US" w:bidi="ar-SA"/>
      </w:rPr>
    </w:rPrDefault>
    <w:pPrDefault>
      <w:pPr>
        <w:spacing w:before="120" w:line="2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D4A"/>
    <w:pPr>
      <w:spacing w:before="0" w:after="160" w:line="240" w:lineRule="auto"/>
    </w:pPr>
    <w:rPr>
      <w:rFonts w:ascii="Calibri Light" w:hAnsi="Calibri Light"/>
      <w:color w:val="58595B" w:themeColor="accent2"/>
      <w:sz w:val="20"/>
    </w:rPr>
  </w:style>
  <w:style w:type="paragraph" w:styleId="Heading1">
    <w:name w:val="heading 1"/>
    <w:basedOn w:val="Normal"/>
    <w:next w:val="Normal"/>
    <w:link w:val="Heading1Char"/>
    <w:qFormat/>
    <w:rsid w:val="00123A41"/>
    <w:pPr>
      <w:keepNext/>
      <w:keepLines/>
      <w:spacing w:after="880"/>
      <w:outlineLvl w:val="0"/>
    </w:pPr>
    <w:rPr>
      <w:rFonts w:eastAsiaTheme="majorEastAsia" w:cstheme="majorBidi"/>
      <w:color w:val="414042" w:themeColor="text1"/>
      <w:sz w:val="92"/>
      <w:szCs w:val="32"/>
    </w:rPr>
  </w:style>
  <w:style w:type="paragraph" w:styleId="Heading2">
    <w:name w:val="heading 2"/>
    <w:basedOn w:val="Normal"/>
    <w:next w:val="Normal"/>
    <w:link w:val="Heading2Char"/>
    <w:uiPriority w:val="9"/>
    <w:unhideWhenUsed/>
    <w:qFormat/>
    <w:rsid w:val="000377E3"/>
    <w:pPr>
      <w:keepNext/>
      <w:keepLines/>
      <w:pageBreakBefore/>
      <w:spacing w:after="720"/>
      <w:outlineLvl w:val="1"/>
    </w:pPr>
    <w:rPr>
      <w:rFonts w:eastAsiaTheme="majorEastAsia" w:cstheme="majorBidi"/>
      <w:color w:val="414042" w:themeColor="text1"/>
      <w:sz w:val="60"/>
      <w:szCs w:val="26"/>
    </w:rPr>
  </w:style>
  <w:style w:type="paragraph" w:styleId="Heading3">
    <w:name w:val="heading 3"/>
    <w:basedOn w:val="Normal"/>
    <w:next w:val="Normal"/>
    <w:link w:val="Heading3Char"/>
    <w:autoRedefine/>
    <w:uiPriority w:val="9"/>
    <w:unhideWhenUsed/>
    <w:qFormat/>
    <w:rsid w:val="00E6066A"/>
    <w:pPr>
      <w:keepNext/>
      <w:widowControl w:val="0"/>
      <w:spacing w:after="120"/>
      <w:ind w:right="-427"/>
      <w:outlineLvl w:val="2"/>
    </w:pPr>
    <w:rPr>
      <w:rFonts w:asciiTheme="minorHAnsi" w:eastAsia="Times New Roman" w:hAnsiTheme="minorHAnsi" w:cs="Times New Roman"/>
      <w:b/>
      <w:bCs/>
      <w:noProof/>
      <w:color w:val="414042" w:themeColor="text1"/>
      <w:sz w:val="28"/>
      <w:szCs w:val="28"/>
      <w:lang w:eastAsia="en-AU"/>
    </w:rPr>
  </w:style>
  <w:style w:type="paragraph" w:styleId="Heading4">
    <w:name w:val="heading 4"/>
    <w:basedOn w:val="Heading4Annualreport2019-20"/>
    <w:next w:val="Normal"/>
    <w:link w:val="Heading4Char"/>
    <w:autoRedefine/>
    <w:uiPriority w:val="9"/>
    <w:unhideWhenUsed/>
    <w:qFormat/>
    <w:rsid w:val="00463FBB"/>
    <w:pPr>
      <w:spacing w:before="120" w:after="120" w:line="240" w:lineRule="auto"/>
      <w:outlineLvl w:val="3"/>
    </w:pPr>
    <w:rPr>
      <w:color w:val="414042" w:themeColor="text1"/>
      <w:sz w:val="20"/>
      <w:szCs w:val="18"/>
      <w:lang w:val="en-AU"/>
    </w:rPr>
  </w:style>
  <w:style w:type="paragraph" w:styleId="Heading5">
    <w:name w:val="heading 5"/>
    <w:basedOn w:val="Heading4"/>
    <w:next w:val="Normal"/>
    <w:link w:val="Heading5Char"/>
    <w:uiPriority w:val="9"/>
    <w:unhideWhenUsed/>
    <w:qFormat/>
    <w:rsid w:val="00B46573"/>
    <w:pPr>
      <w:outlineLvl w:val="4"/>
    </w:pPr>
    <w:rPr>
      <w:b w:val="0"/>
      <w:bCs w:val="0"/>
    </w:rPr>
  </w:style>
  <w:style w:type="paragraph" w:styleId="Heading6">
    <w:name w:val="heading 6"/>
    <w:basedOn w:val="Normal"/>
    <w:next w:val="Normal"/>
    <w:link w:val="Heading6Char"/>
    <w:uiPriority w:val="9"/>
    <w:unhideWhenUsed/>
    <w:qFormat/>
    <w:rsid w:val="00CA7F44"/>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unhideWhenUsed/>
    <w:qFormat/>
    <w:rsid w:val="00CA7F44"/>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Heading8">
    <w:name w:val="heading 8"/>
    <w:basedOn w:val="Normal"/>
    <w:next w:val="Normal"/>
    <w:link w:val="Heading8Char"/>
    <w:uiPriority w:val="9"/>
    <w:semiHidden/>
    <w:unhideWhenUsed/>
    <w:qFormat/>
    <w:rsid w:val="00CA7F44"/>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CA7F44"/>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3433D8"/>
    <w:pPr>
      <w:spacing w:before="0" w:line="240" w:lineRule="auto"/>
      <w:jc w:val="center"/>
    </w:pPr>
    <w:rPr>
      <w:rFonts w:eastAsia="Calibri" w:cs="Times New Roman"/>
      <w:color w:val="414042" w:themeColor="text1"/>
      <w:sz w:val="20"/>
    </w:rPr>
  </w:style>
  <w:style w:type="paragraph" w:styleId="Header">
    <w:name w:val="header"/>
    <w:basedOn w:val="Normal"/>
    <w:link w:val="HeaderChar"/>
    <w:uiPriority w:val="99"/>
    <w:unhideWhenUsed/>
    <w:rsid w:val="008F384A"/>
    <w:pPr>
      <w:tabs>
        <w:tab w:val="center" w:pos="4513"/>
        <w:tab w:val="right" w:pos="9026"/>
      </w:tabs>
    </w:pPr>
  </w:style>
  <w:style w:type="character" w:customStyle="1" w:styleId="HeaderChar">
    <w:name w:val="Header Char"/>
    <w:basedOn w:val="DefaultParagraphFont"/>
    <w:link w:val="Header"/>
    <w:uiPriority w:val="99"/>
    <w:rsid w:val="008F384A"/>
  </w:style>
  <w:style w:type="paragraph" w:styleId="Footer">
    <w:name w:val="footer"/>
    <w:basedOn w:val="Normal"/>
    <w:link w:val="FooterChar"/>
    <w:uiPriority w:val="99"/>
    <w:unhideWhenUsed/>
    <w:rsid w:val="008F384A"/>
    <w:pPr>
      <w:tabs>
        <w:tab w:val="center" w:pos="4513"/>
        <w:tab w:val="right" w:pos="9026"/>
      </w:tabs>
    </w:pPr>
  </w:style>
  <w:style w:type="character" w:customStyle="1" w:styleId="FooterChar">
    <w:name w:val="Footer Char"/>
    <w:basedOn w:val="DefaultParagraphFont"/>
    <w:link w:val="Footer"/>
    <w:uiPriority w:val="99"/>
    <w:rsid w:val="008F384A"/>
  </w:style>
  <w:style w:type="paragraph" w:customStyle="1" w:styleId="BasicParagraph">
    <w:name w:val="[Basic Paragraph]"/>
    <w:basedOn w:val="Normal"/>
    <w:link w:val="BasicParagraphChar"/>
    <w:uiPriority w:val="99"/>
    <w:rsid w:val="008F384A"/>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list">
    <w:name w:val="Bullet list"/>
    <w:basedOn w:val="Normal"/>
    <w:link w:val="BulletlistChar"/>
    <w:autoRedefine/>
    <w:qFormat/>
    <w:rsid w:val="007E7B4C"/>
    <w:pPr>
      <w:widowControl w:val="0"/>
      <w:autoSpaceDE w:val="0"/>
      <w:autoSpaceDN w:val="0"/>
      <w:adjustRightInd w:val="0"/>
      <w:spacing w:after="120"/>
      <w:textAlignment w:val="center"/>
    </w:pPr>
    <w:rPr>
      <w:rFonts w:cs="Calibri Light"/>
      <w:bCs/>
      <w:spacing w:val="-4"/>
      <w:szCs w:val="20"/>
      <w:u w:color="E6E7E8" w:themeColor="background2"/>
      <w:shd w:val="clear" w:color="auto" w:fill="FFFFFF"/>
    </w:rPr>
  </w:style>
  <w:style w:type="character" w:customStyle="1" w:styleId="Heading2Char">
    <w:name w:val="Heading 2 Char"/>
    <w:basedOn w:val="DefaultParagraphFont"/>
    <w:link w:val="Heading2"/>
    <w:uiPriority w:val="9"/>
    <w:rsid w:val="000377E3"/>
    <w:rPr>
      <w:rFonts w:ascii="Calibri Light" w:eastAsiaTheme="majorEastAsia" w:hAnsi="Calibri Light" w:cstheme="majorBidi"/>
      <w:color w:val="414042" w:themeColor="text1"/>
      <w:sz w:val="60"/>
      <w:szCs w:val="26"/>
    </w:rPr>
  </w:style>
  <w:style w:type="character" w:customStyle="1" w:styleId="BulletlistChar">
    <w:name w:val="Bullet list Char"/>
    <w:basedOn w:val="DefaultParagraphFont"/>
    <w:link w:val="Bulletlist"/>
    <w:rsid w:val="007E7B4C"/>
    <w:rPr>
      <w:rFonts w:ascii="Calibri Light" w:hAnsi="Calibri Light" w:cs="Calibri Light"/>
      <w:bCs/>
      <w:color w:val="58595B" w:themeColor="accent2"/>
      <w:spacing w:val="-4"/>
      <w:sz w:val="20"/>
      <w:szCs w:val="20"/>
      <w:u w:color="E6E7E8" w:themeColor="background2"/>
    </w:rPr>
  </w:style>
  <w:style w:type="character" w:styleId="Hyperlink">
    <w:name w:val="Hyperlink"/>
    <w:basedOn w:val="DefaultParagraphFont"/>
    <w:uiPriority w:val="99"/>
    <w:unhideWhenUsed/>
    <w:qFormat/>
    <w:rsid w:val="00D17E13"/>
    <w:rPr>
      <w:color w:val="58595B" w:themeColor="text2"/>
      <w:u w:val="single"/>
    </w:rPr>
  </w:style>
  <w:style w:type="character" w:styleId="UnresolvedMention">
    <w:name w:val="Unresolved Mention"/>
    <w:basedOn w:val="DefaultParagraphFont"/>
    <w:uiPriority w:val="99"/>
    <w:semiHidden/>
    <w:unhideWhenUsed/>
    <w:rsid w:val="00A25F9B"/>
    <w:rPr>
      <w:color w:val="605E5C"/>
      <w:shd w:val="clear" w:color="auto" w:fill="E1DFDD"/>
    </w:rPr>
  </w:style>
  <w:style w:type="character" w:customStyle="1" w:styleId="Heading1Char">
    <w:name w:val="Heading 1 Char"/>
    <w:basedOn w:val="DefaultParagraphFont"/>
    <w:link w:val="Heading1"/>
    <w:rsid w:val="00123A41"/>
    <w:rPr>
      <w:rFonts w:eastAsiaTheme="majorEastAsia" w:cstheme="majorBidi"/>
      <w:color w:val="414042" w:themeColor="text1"/>
      <w:sz w:val="92"/>
      <w:szCs w:val="32"/>
    </w:rPr>
  </w:style>
  <w:style w:type="character" w:customStyle="1" w:styleId="Heading4Char">
    <w:name w:val="Heading 4 Char"/>
    <w:basedOn w:val="DefaultParagraphFont"/>
    <w:link w:val="Heading4"/>
    <w:uiPriority w:val="9"/>
    <w:rsid w:val="00463FBB"/>
    <w:rPr>
      <w:rFonts w:cs="Calibri"/>
      <w:b/>
      <w:bCs/>
      <w:color w:val="414042" w:themeColor="text1"/>
      <w:sz w:val="20"/>
      <w:szCs w:val="18"/>
    </w:rPr>
  </w:style>
  <w:style w:type="character" w:customStyle="1" w:styleId="Heading3Char">
    <w:name w:val="Heading 3 Char"/>
    <w:basedOn w:val="DefaultParagraphFont"/>
    <w:link w:val="Heading3"/>
    <w:uiPriority w:val="9"/>
    <w:rsid w:val="00E6066A"/>
    <w:rPr>
      <w:rFonts w:asciiTheme="minorHAnsi" w:eastAsia="Times New Roman" w:hAnsiTheme="minorHAnsi" w:cs="Times New Roman"/>
      <w:b/>
      <w:bCs/>
      <w:noProof/>
      <w:color w:val="414042" w:themeColor="text1"/>
      <w:sz w:val="28"/>
      <w:szCs w:val="28"/>
      <w:lang w:eastAsia="en-AU"/>
    </w:rPr>
  </w:style>
  <w:style w:type="paragraph" w:customStyle="1" w:styleId="Figuretext9ptAnnualreport2018-19">
    <w:name w:val="Figure text 9pt (Annual report 2018-19)"/>
    <w:basedOn w:val="Normal"/>
    <w:uiPriority w:val="99"/>
    <w:rsid w:val="002E36C7"/>
    <w:pPr>
      <w:autoSpaceDE w:val="0"/>
      <w:autoSpaceDN w:val="0"/>
      <w:adjustRightInd w:val="0"/>
      <w:spacing w:after="0" w:line="180" w:lineRule="atLeast"/>
      <w:textAlignment w:val="center"/>
    </w:pPr>
    <w:rPr>
      <w:rFonts w:cs="Calibri Light"/>
      <w:color w:val="58585B"/>
      <w:spacing w:val="-4"/>
      <w:sz w:val="18"/>
      <w:szCs w:val="18"/>
      <w:lang w:val="en-GB"/>
    </w:rPr>
  </w:style>
  <w:style w:type="paragraph" w:customStyle="1" w:styleId="Bulletpoints">
    <w:name w:val="Bullet points"/>
    <w:basedOn w:val="Heading4"/>
    <w:link w:val="BulletpointsChar"/>
    <w:qFormat/>
    <w:rsid w:val="001E33A3"/>
    <w:pPr>
      <w:numPr>
        <w:numId w:val="1"/>
      </w:numPr>
    </w:pPr>
    <w:rPr>
      <w:rFonts w:ascii="Calibri Light" w:hAnsi="Calibri Light"/>
      <w:b w:val="0"/>
      <w:color w:val="58595B" w:themeColor="text2"/>
    </w:rPr>
  </w:style>
  <w:style w:type="character" w:customStyle="1" w:styleId="BulletpointsChar">
    <w:name w:val="Bullet points Char"/>
    <w:basedOn w:val="Heading4Char"/>
    <w:link w:val="Bulletpoints"/>
    <w:rsid w:val="001E33A3"/>
    <w:rPr>
      <w:rFonts w:ascii="Calibri Light" w:hAnsi="Calibri Light" w:cs="Calibri"/>
      <w:b w:val="0"/>
      <w:bCs/>
      <w:color w:val="58595B" w:themeColor="text2"/>
      <w:sz w:val="20"/>
      <w:szCs w:val="18"/>
    </w:rPr>
  </w:style>
  <w:style w:type="paragraph" w:customStyle="1" w:styleId="FigureTablenameAnnualreport2018-19">
    <w:name w:val="Figure/Table name  (Annual report 2018-19)"/>
    <w:basedOn w:val="Normal"/>
    <w:uiPriority w:val="99"/>
    <w:rsid w:val="00A4412D"/>
    <w:pPr>
      <w:suppressAutoHyphens/>
      <w:autoSpaceDE w:val="0"/>
      <w:autoSpaceDN w:val="0"/>
      <w:adjustRightInd w:val="0"/>
      <w:spacing w:after="0" w:line="288" w:lineRule="auto"/>
      <w:textAlignment w:val="center"/>
    </w:pPr>
    <w:rPr>
      <w:rFonts w:ascii="Calibri" w:hAnsi="Calibri" w:cs="Calibri"/>
      <w:b/>
      <w:bCs/>
      <w:color w:val="404041"/>
      <w:sz w:val="22"/>
      <w:lang w:val="en-GB"/>
    </w:rPr>
  </w:style>
  <w:style w:type="character" w:customStyle="1" w:styleId="Heading5Char">
    <w:name w:val="Heading 5 Char"/>
    <w:basedOn w:val="DefaultParagraphFont"/>
    <w:link w:val="Heading5"/>
    <w:uiPriority w:val="9"/>
    <w:rsid w:val="00B46573"/>
    <w:rPr>
      <w:rFonts w:cs="Calibri"/>
      <w:color w:val="58595B" w:themeColor="accent2"/>
      <w:sz w:val="20"/>
      <w:szCs w:val="20"/>
    </w:rPr>
  </w:style>
  <w:style w:type="paragraph" w:customStyle="1" w:styleId="Openingparagraph">
    <w:name w:val="Opening paragraph"/>
    <w:basedOn w:val="Normal"/>
    <w:link w:val="OpeningparagraphChar"/>
    <w:qFormat/>
    <w:rsid w:val="00E52781"/>
    <w:pPr>
      <w:suppressAutoHyphens/>
      <w:autoSpaceDE w:val="0"/>
      <w:autoSpaceDN w:val="0"/>
      <w:adjustRightInd w:val="0"/>
      <w:spacing w:after="240"/>
      <w:textAlignment w:val="center"/>
    </w:pPr>
    <w:rPr>
      <w:rFonts w:ascii="Calibri" w:hAnsi="Calibri" w:cs="Calibri"/>
      <w:b/>
      <w:bCs/>
      <w:color w:val="414042" w:themeColor="text1"/>
      <w:spacing w:val="-6"/>
      <w:sz w:val="24"/>
      <w:szCs w:val="24"/>
      <w:lang w:val="en-US"/>
    </w:rPr>
  </w:style>
  <w:style w:type="table" w:styleId="TableGrid">
    <w:name w:val="Table Grid"/>
    <w:basedOn w:val="TableNormal"/>
    <w:rsid w:val="00D715FE"/>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ingparagraphChar">
    <w:name w:val="Opening paragraph Char"/>
    <w:basedOn w:val="DefaultParagraphFont"/>
    <w:link w:val="Openingparagraph"/>
    <w:rsid w:val="00E52781"/>
    <w:rPr>
      <w:rFonts w:cs="Calibri"/>
      <w:b/>
      <w:bCs/>
      <w:color w:val="414042" w:themeColor="text1"/>
      <w:spacing w:val="-6"/>
      <w:sz w:val="24"/>
      <w:szCs w:val="24"/>
      <w:lang w:val="en-US"/>
    </w:rPr>
  </w:style>
  <w:style w:type="paragraph" w:customStyle="1" w:styleId="Normal1stparagraph">
    <w:name w:val="Normal 1st paragraph"/>
    <w:basedOn w:val="Normal"/>
    <w:link w:val="Normal1stparagraphChar"/>
    <w:rsid w:val="000E151C"/>
    <w:rPr>
      <w:lang w:val="en-US"/>
    </w:rPr>
  </w:style>
  <w:style w:type="character" w:customStyle="1" w:styleId="Normal1stparagraphChar">
    <w:name w:val="Normal 1st paragraph Char"/>
    <w:basedOn w:val="DefaultParagraphFont"/>
    <w:link w:val="Normal1stparagraph"/>
    <w:rsid w:val="000E151C"/>
    <w:rPr>
      <w:rFonts w:asciiTheme="majorHAnsi" w:hAnsiTheme="majorHAnsi"/>
      <w:color w:val="58595B" w:themeColor="accent2"/>
      <w:sz w:val="20"/>
      <w:lang w:val="en-US"/>
    </w:rPr>
  </w:style>
  <w:style w:type="paragraph" w:customStyle="1" w:styleId="Mainbodytext10ptAnnualreport2019-20">
    <w:name w:val="Main body text 10pt (Annual report 2019-20)"/>
    <w:basedOn w:val="Normal"/>
    <w:uiPriority w:val="99"/>
    <w:rsid w:val="000A4FC4"/>
    <w:pPr>
      <w:suppressAutoHyphens/>
      <w:autoSpaceDE w:val="0"/>
      <w:autoSpaceDN w:val="0"/>
      <w:adjustRightInd w:val="0"/>
      <w:spacing w:before="227" w:after="0" w:line="288" w:lineRule="auto"/>
      <w:textAlignment w:val="center"/>
    </w:pPr>
    <w:rPr>
      <w:rFonts w:cs="Calibri Light"/>
      <w:color w:val="6D6E70"/>
      <w:szCs w:val="20"/>
      <w:lang w:val="en-GB"/>
    </w:rPr>
  </w:style>
  <w:style w:type="character" w:customStyle="1" w:styleId="bodytextbold">
    <w:name w:val="body text bold"/>
    <w:uiPriority w:val="99"/>
    <w:rsid w:val="000A4FC4"/>
    <w:rPr>
      <w:rFonts w:ascii="Dax-Bold Regular" w:hAnsi="Dax-Bold Regular" w:cs="Dax-Bold Regular"/>
    </w:rPr>
  </w:style>
  <w:style w:type="paragraph" w:customStyle="1" w:styleId="Notes">
    <w:name w:val="Notes"/>
    <w:basedOn w:val="Openingparagraph"/>
    <w:link w:val="NotesChar"/>
    <w:qFormat/>
    <w:rsid w:val="00AB7528"/>
    <w:pPr>
      <w:spacing w:after="0"/>
    </w:pPr>
    <w:rPr>
      <w:rFonts w:ascii="Calibri Light" w:hAnsi="Calibri Light"/>
      <w:b w:val="0"/>
      <w:bCs w:val="0"/>
      <w:spacing w:val="-5"/>
      <w:sz w:val="16"/>
      <w:szCs w:val="16"/>
    </w:rPr>
  </w:style>
  <w:style w:type="character" w:customStyle="1" w:styleId="NotesChar">
    <w:name w:val="Notes Char"/>
    <w:basedOn w:val="OpeningparagraphChar"/>
    <w:link w:val="Notes"/>
    <w:rsid w:val="00AB7528"/>
    <w:rPr>
      <w:rFonts w:ascii="Calibri Light" w:hAnsi="Calibri Light" w:cs="Calibri"/>
      <w:b w:val="0"/>
      <w:bCs w:val="0"/>
      <w:color w:val="404041"/>
      <w:spacing w:val="-5"/>
      <w:sz w:val="16"/>
      <w:szCs w:val="16"/>
      <w:lang w:val="en-US"/>
    </w:rPr>
  </w:style>
  <w:style w:type="paragraph" w:customStyle="1" w:styleId="Heading4Annualreport2019-20">
    <w:name w:val="Heading 4 (Annual report 2019-20)"/>
    <w:basedOn w:val="Mainbodytext10ptAnnualreport2019-20"/>
    <w:uiPriority w:val="99"/>
    <w:rsid w:val="00913637"/>
    <w:rPr>
      <w:rFonts w:ascii="Calibri" w:hAnsi="Calibri" w:cs="Calibri"/>
      <w:b/>
      <w:bCs/>
      <w:color w:val="58585B"/>
      <w:sz w:val="22"/>
      <w:szCs w:val="22"/>
    </w:rPr>
  </w:style>
  <w:style w:type="paragraph" w:customStyle="1" w:styleId="TableheaderAnnualreport2019-20">
    <w:name w:val="Table header (Annual report 2019-20)"/>
    <w:basedOn w:val="Normal"/>
    <w:uiPriority w:val="99"/>
    <w:rsid w:val="001E2409"/>
    <w:pPr>
      <w:suppressAutoHyphens/>
      <w:autoSpaceDE w:val="0"/>
      <w:autoSpaceDN w:val="0"/>
      <w:adjustRightInd w:val="0"/>
      <w:spacing w:after="0" w:line="288" w:lineRule="auto"/>
      <w:textAlignment w:val="center"/>
    </w:pPr>
    <w:rPr>
      <w:rFonts w:ascii="Calibri" w:hAnsi="Calibri" w:cs="Calibri"/>
      <w:b/>
      <w:bCs/>
      <w:color w:val="6D6E70"/>
      <w:szCs w:val="20"/>
      <w:lang w:val="en-US"/>
    </w:rPr>
  </w:style>
  <w:style w:type="paragraph" w:customStyle="1" w:styleId="TabletextAnnualreport2019-20">
    <w:name w:val="Table text (Annual report 2019-20)"/>
    <w:basedOn w:val="Normal"/>
    <w:uiPriority w:val="99"/>
    <w:rsid w:val="001E2409"/>
    <w:pPr>
      <w:autoSpaceDE w:val="0"/>
      <w:autoSpaceDN w:val="0"/>
      <w:adjustRightInd w:val="0"/>
      <w:spacing w:after="0" w:line="288" w:lineRule="auto"/>
      <w:textAlignment w:val="center"/>
    </w:pPr>
    <w:rPr>
      <w:rFonts w:cs="Calibri Light"/>
      <w:color w:val="6D6E70"/>
      <w:szCs w:val="20"/>
      <w:lang w:val="en-US"/>
    </w:rPr>
  </w:style>
  <w:style w:type="character" w:customStyle="1" w:styleId="Whitetext">
    <w:name w:val="White text"/>
    <w:uiPriority w:val="99"/>
    <w:rsid w:val="001E2409"/>
    <w:rPr>
      <w:outline/>
    </w:rPr>
  </w:style>
  <w:style w:type="paragraph" w:styleId="Caption">
    <w:name w:val="caption"/>
    <w:basedOn w:val="Normal"/>
    <w:next w:val="Normal"/>
    <w:uiPriority w:val="35"/>
    <w:unhideWhenUsed/>
    <w:qFormat/>
    <w:rsid w:val="00720140"/>
    <w:pPr>
      <w:pBdr>
        <w:top w:val="single" w:sz="8" w:space="4" w:color="auto"/>
      </w:pBdr>
      <w:spacing w:before="400" w:after="200"/>
    </w:pPr>
    <w:rPr>
      <w:rFonts w:ascii="Calibri" w:hAnsi="Calibri"/>
      <w:iCs/>
      <w:color w:val="auto"/>
      <w:szCs w:val="18"/>
    </w:rPr>
  </w:style>
  <w:style w:type="paragraph" w:customStyle="1" w:styleId="1stParaAnnualreport2019-20">
    <w:name w:val="1st Para (Annual report 2019-20)"/>
    <w:basedOn w:val="Normal"/>
    <w:uiPriority w:val="99"/>
    <w:rsid w:val="00444307"/>
    <w:pPr>
      <w:suppressAutoHyphens/>
      <w:autoSpaceDE w:val="0"/>
      <w:autoSpaceDN w:val="0"/>
      <w:adjustRightInd w:val="0"/>
      <w:spacing w:after="0" w:line="240" w:lineRule="atLeast"/>
      <w:textAlignment w:val="center"/>
    </w:pPr>
    <w:rPr>
      <w:rFonts w:cs="Calibri Light"/>
      <w:color w:val="6D6E70"/>
      <w:szCs w:val="20"/>
      <w:lang w:val="en-GB"/>
    </w:rPr>
  </w:style>
  <w:style w:type="table" w:customStyle="1" w:styleId="Annualreport2020-21">
    <w:name w:val="Annual report 2020-21"/>
    <w:basedOn w:val="TableNormal"/>
    <w:uiPriority w:val="99"/>
    <w:rsid w:val="00BE57E9"/>
    <w:pPr>
      <w:spacing w:before="0" w:line="240" w:lineRule="auto"/>
    </w:pPr>
    <w:rPr>
      <w:color w:val="414042" w:themeColor="text1"/>
      <w:sz w:val="20"/>
    </w:rPr>
    <w:tblPr>
      <w:tblBorders>
        <w:bottom w:val="single" w:sz="8" w:space="0" w:color="auto"/>
        <w:insideH w:val="single" w:sz="8" w:space="0" w:color="414042" w:themeColor="text1"/>
        <w:insideV w:val="single" w:sz="8" w:space="0" w:color="414042" w:themeColor="text1"/>
      </w:tblBorders>
      <w:tblCellMar>
        <w:top w:w="28" w:type="dxa"/>
        <w:bottom w:w="28" w:type="dxa"/>
      </w:tblCellMar>
    </w:tblPr>
    <w:tcPr>
      <w:shd w:val="clear" w:color="auto" w:fill="FFFFFF" w:themeFill="background1"/>
      <w:vAlign w:val="center"/>
    </w:tcPr>
    <w:tblStylePr w:type="firstRow">
      <w:pPr>
        <w:jc w:val="center"/>
      </w:pPr>
      <w:rPr>
        <w:rFonts w:ascii="Calibri" w:hAnsi="Calibri"/>
        <w:b/>
        <w:color w:val="414042" w:themeColor="text1"/>
        <w:sz w:val="20"/>
      </w:rPr>
      <w:tblPr/>
      <w:tcPr>
        <w:shd w:val="clear" w:color="auto" w:fill="E6E7E8" w:themeFill="accent6"/>
      </w:tcPr>
    </w:tblStylePr>
    <w:tblStylePr w:type="lastRow">
      <w:pPr>
        <w:jc w:val="center"/>
      </w:pPr>
      <w:rPr>
        <w:rFonts w:ascii="Calibri" w:hAnsi="Calibri"/>
        <w:sz w:val="20"/>
      </w:rPr>
      <w:tblPr/>
      <w:tcPr>
        <w:shd w:val="clear" w:color="auto" w:fill="FFFFFF" w:themeFill="background1"/>
      </w:tcPr>
    </w:tblStylePr>
  </w:style>
  <w:style w:type="table" w:styleId="PlainTable1">
    <w:name w:val="Plain Table 1"/>
    <w:basedOn w:val="TableNormal"/>
    <w:uiPriority w:val="41"/>
    <w:rsid w:val="0084676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676F"/>
    <w:pPr>
      <w:spacing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4676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121613"/>
    <w:pPr>
      <w:spacing w:line="240" w:lineRule="auto"/>
    </w:pPr>
    <w:tblPr>
      <w:tblStyleRowBandSize w:val="1"/>
      <w:tblStyleColBandSize w:val="1"/>
      <w:tblBorders>
        <w:top w:val="single" w:sz="4" w:space="0" w:color="E4E4E5" w:themeColor="accent5" w:themeTint="66"/>
        <w:left w:val="single" w:sz="4" w:space="0" w:color="E4E4E5" w:themeColor="accent5" w:themeTint="66"/>
        <w:bottom w:val="single" w:sz="4" w:space="0" w:color="E4E4E5" w:themeColor="accent5" w:themeTint="66"/>
        <w:right w:val="single" w:sz="4" w:space="0" w:color="E4E4E5" w:themeColor="accent5" w:themeTint="66"/>
        <w:insideH w:val="single" w:sz="4" w:space="0" w:color="E4E4E5" w:themeColor="accent5" w:themeTint="66"/>
        <w:insideV w:val="single" w:sz="4" w:space="0" w:color="E4E4E5" w:themeColor="accent5" w:themeTint="66"/>
      </w:tblBorders>
    </w:tblPr>
    <w:tblStylePr w:type="firstRow">
      <w:rPr>
        <w:b/>
        <w:bCs/>
      </w:rPr>
      <w:tblPr/>
      <w:tcPr>
        <w:tcBorders>
          <w:bottom w:val="single" w:sz="12" w:space="0" w:color="D6D7D9" w:themeColor="accent5" w:themeTint="99"/>
        </w:tcBorders>
      </w:tcPr>
    </w:tblStylePr>
    <w:tblStylePr w:type="lastRow">
      <w:rPr>
        <w:b/>
        <w:bCs/>
      </w:rPr>
      <w:tblPr/>
      <w:tcPr>
        <w:tcBorders>
          <w:top w:val="double" w:sz="2" w:space="0" w:color="D6D7D9" w:themeColor="accent5" w:themeTint="99"/>
        </w:tcBorders>
      </w:tcPr>
    </w:tblStylePr>
    <w:tblStylePr w:type="firstCol">
      <w:rPr>
        <w:b/>
        <w:bCs/>
      </w:rPr>
    </w:tblStylePr>
    <w:tblStylePr w:type="lastCol">
      <w:rPr>
        <w:b/>
        <w:bCs/>
      </w:rPr>
    </w:tblStylePr>
  </w:style>
  <w:style w:type="paragraph" w:customStyle="1" w:styleId="Tableheading">
    <w:name w:val="Table heading"/>
    <w:qFormat/>
    <w:rsid w:val="003433D8"/>
    <w:pPr>
      <w:spacing w:before="0" w:after="160" w:line="259" w:lineRule="auto"/>
    </w:pPr>
    <w:rPr>
      <w:rFonts w:eastAsia="Calibri" w:cs="Times New Roman"/>
      <w:b/>
      <w:color w:val="FFFFFF" w:themeColor="background1"/>
      <w:sz w:val="20"/>
    </w:rPr>
  </w:style>
  <w:style w:type="paragraph" w:customStyle="1" w:styleId="Noteslist">
    <w:name w:val="Notes list"/>
    <w:basedOn w:val="Bulletpoints"/>
    <w:link w:val="NoteslistChar"/>
    <w:uiPriority w:val="99"/>
    <w:rsid w:val="003433D8"/>
    <w:pPr>
      <w:numPr>
        <w:numId w:val="2"/>
      </w:numPr>
      <w:suppressAutoHyphens w:val="0"/>
      <w:autoSpaceDE/>
      <w:autoSpaceDN/>
      <w:adjustRightInd/>
      <w:spacing w:after="0"/>
      <w:textAlignment w:val="auto"/>
    </w:pPr>
    <w:rPr>
      <w:rFonts w:eastAsiaTheme="majorEastAsia" w:cstheme="majorBidi"/>
      <w:bCs w:val="0"/>
      <w:iCs/>
    </w:rPr>
  </w:style>
  <w:style w:type="character" w:customStyle="1" w:styleId="NoteslistChar">
    <w:name w:val="Notes list Char"/>
    <w:basedOn w:val="BulletpointsChar"/>
    <w:link w:val="Noteslist"/>
    <w:uiPriority w:val="99"/>
    <w:rsid w:val="003433D8"/>
    <w:rPr>
      <w:rFonts w:ascii="Calibri Light" w:eastAsiaTheme="majorEastAsia" w:hAnsi="Calibri Light" w:cstheme="majorBidi"/>
      <w:b w:val="0"/>
      <w:bCs w:val="0"/>
      <w:iCs/>
      <w:color w:val="58595B" w:themeColor="text2"/>
      <w:sz w:val="20"/>
      <w:szCs w:val="18"/>
    </w:rPr>
  </w:style>
  <w:style w:type="paragraph" w:customStyle="1" w:styleId="TableheaderAnnualreport2018-19">
    <w:name w:val="Table header (Annual report 2018-19)"/>
    <w:basedOn w:val="Normal"/>
    <w:uiPriority w:val="99"/>
    <w:rsid w:val="00E448DE"/>
    <w:pPr>
      <w:suppressAutoHyphens/>
      <w:autoSpaceDE w:val="0"/>
      <w:autoSpaceDN w:val="0"/>
      <w:adjustRightInd w:val="0"/>
      <w:spacing w:after="0" w:line="288" w:lineRule="auto"/>
      <w:textAlignment w:val="center"/>
    </w:pPr>
    <w:rPr>
      <w:rFonts w:ascii="Calibri" w:hAnsi="Calibri" w:cs="Calibri"/>
      <w:b/>
      <w:bCs/>
      <w:color w:val="58585B"/>
      <w:sz w:val="22"/>
      <w:lang w:val="en-US"/>
    </w:rPr>
  </w:style>
  <w:style w:type="paragraph" w:customStyle="1" w:styleId="Tableheader">
    <w:name w:val="Table header"/>
    <w:basedOn w:val="Normal"/>
    <w:link w:val="TableheaderChar"/>
    <w:qFormat/>
    <w:rsid w:val="003433D8"/>
    <w:pPr>
      <w:suppressAutoHyphens/>
      <w:autoSpaceDE w:val="0"/>
      <w:autoSpaceDN w:val="0"/>
      <w:adjustRightInd w:val="0"/>
      <w:spacing w:after="0"/>
      <w:jc w:val="center"/>
      <w:textAlignment w:val="center"/>
    </w:pPr>
    <w:rPr>
      <w:rFonts w:ascii="Calibri" w:hAnsi="Calibri" w:cs="Calibri"/>
      <w:b/>
      <w:bCs/>
      <w:color w:val="404041"/>
      <w:szCs w:val="20"/>
      <w:lang w:val="en-US"/>
    </w:rPr>
  </w:style>
  <w:style w:type="paragraph" w:customStyle="1" w:styleId="TabletextAnnualreport2018-19">
    <w:name w:val="Table text (Annual report 2018-19)"/>
    <w:basedOn w:val="Normal"/>
    <w:uiPriority w:val="99"/>
    <w:rsid w:val="00E448DE"/>
    <w:pPr>
      <w:autoSpaceDE w:val="0"/>
      <w:autoSpaceDN w:val="0"/>
      <w:adjustRightInd w:val="0"/>
      <w:spacing w:after="0" w:line="288" w:lineRule="auto"/>
      <w:textAlignment w:val="center"/>
    </w:pPr>
    <w:rPr>
      <w:rFonts w:cs="Calibri Light"/>
      <w:color w:val="58585B"/>
      <w:szCs w:val="20"/>
      <w:lang w:val="en-US"/>
    </w:rPr>
  </w:style>
  <w:style w:type="character" w:customStyle="1" w:styleId="TableheaderChar">
    <w:name w:val="Table header Char"/>
    <w:basedOn w:val="DefaultParagraphFont"/>
    <w:link w:val="Tableheader"/>
    <w:rsid w:val="003433D8"/>
    <w:rPr>
      <w:rFonts w:cs="Calibri"/>
      <w:b/>
      <w:bCs/>
      <w:color w:val="404041"/>
      <w:sz w:val="20"/>
      <w:szCs w:val="20"/>
      <w:lang w:val="en-US"/>
    </w:rPr>
  </w:style>
  <w:style w:type="paragraph" w:customStyle="1" w:styleId="Mainbodytext10ptAnnualreport2018-19">
    <w:name w:val="Main body text 10pt (Annual report 2018-19)"/>
    <w:basedOn w:val="Normal"/>
    <w:uiPriority w:val="99"/>
    <w:rsid w:val="009F5E9C"/>
    <w:pPr>
      <w:suppressAutoHyphens/>
      <w:autoSpaceDE w:val="0"/>
      <w:autoSpaceDN w:val="0"/>
      <w:adjustRightInd w:val="0"/>
      <w:spacing w:before="227" w:after="0" w:line="288" w:lineRule="auto"/>
      <w:textAlignment w:val="center"/>
    </w:pPr>
    <w:rPr>
      <w:rFonts w:cs="Calibri Light"/>
      <w:color w:val="58585B"/>
      <w:szCs w:val="20"/>
      <w:lang w:val="en-GB"/>
    </w:rPr>
  </w:style>
  <w:style w:type="paragraph" w:styleId="BalloonText">
    <w:name w:val="Balloon Text"/>
    <w:basedOn w:val="Normal"/>
    <w:link w:val="BalloonTextChar"/>
    <w:uiPriority w:val="99"/>
    <w:semiHidden/>
    <w:unhideWhenUsed/>
    <w:rsid w:val="005968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AA"/>
    <w:rPr>
      <w:rFonts w:ascii="Segoe UI" w:hAnsi="Segoe UI" w:cs="Segoe UI"/>
      <w:color w:val="58595B" w:themeColor="accent2"/>
      <w:sz w:val="18"/>
      <w:szCs w:val="18"/>
    </w:rPr>
  </w:style>
  <w:style w:type="paragraph" w:styleId="ListParagraph">
    <w:name w:val="List Paragraph"/>
    <w:aliases w:val="Numbered list,Bullet,List Paragraph1,List Paragraph11,Recommendation,Bullet point,NAST Quote,L,CV text,F5 List Paragraph,Dot pt,List Paragraph111,Medium Grid 1 - Accent 21,Numbered Paragraph,List Paragraph2,NFP GP Bulleted List,列"/>
    <w:basedOn w:val="Normal"/>
    <w:link w:val="ListParagraphChar"/>
    <w:uiPriority w:val="34"/>
    <w:qFormat/>
    <w:rsid w:val="005D43CE"/>
    <w:pPr>
      <w:ind w:firstLine="357"/>
      <w:contextualSpacing/>
    </w:pPr>
  </w:style>
  <w:style w:type="table" w:styleId="TableGridLight">
    <w:name w:val="Grid Table Light"/>
    <w:aliases w:val="Blue Table style,Table 1 style"/>
    <w:basedOn w:val="TableNormal"/>
    <w:uiPriority w:val="40"/>
    <w:rsid w:val="00D831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476E"/>
    <w:rPr>
      <w:szCs w:val="20"/>
    </w:rPr>
  </w:style>
  <w:style w:type="character" w:customStyle="1" w:styleId="CommentTextChar">
    <w:name w:val="Comment Text Char"/>
    <w:basedOn w:val="DefaultParagraphFont"/>
    <w:link w:val="CommentText"/>
    <w:uiPriority w:val="99"/>
    <w:rsid w:val="000D476E"/>
    <w:rPr>
      <w:rFonts w:ascii="Calibri Light" w:hAnsi="Calibri Light"/>
      <w:color w:val="58595B" w:themeColor="accent2"/>
      <w:sz w:val="20"/>
      <w:szCs w:val="20"/>
    </w:rPr>
  </w:style>
  <w:style w:type="character" w:styleId="CommentReference">
    <w:name w:val="annotation reference"/>
    <w:basedOn w:val="DefaultParagraphFont"/>
    <w:uiPriority w:val="99"/>
    <w:unhideWhenUsed/>
    <w:rsid w:val="00D6358B"/>
    <w:rPr>
      <w:sz w:val="16"/>
      <w:szCs w:val="16"/>
    </w:rPr>
  </w:style>
  <w:style w:type="paragraph" w:styleId="CommentSubject">
    <w:name w:val="annotation subject"/>
    <w:basedOn w:val="CommentText"/>
    <w:next w:val="CommentText"/>
    <w:link w:val="CommentSubjectChar"/>
    <w:uiPriority w:val="99"/>
    <w:semiHidden/>
    <w:unhideWhenUsed/>
    <w:rsid w:val="00D6358B"/>
    <w:rPr>
      <w:b/>
      <w:bCs/>
    </w:rPr>
  </w:style>
  <w:style w:type="character" w:customStyle="1" w:styleId="CommentSubjectChar">
    <w:name w:val="Comment Subject Char"/>
    <w:basedOn w:val="CommentTextChar"/>
    <w:link w:val="CommentSubject"/>
    <w:uiPriority w:val="99"/>
    <w:semiHidden/>
    <w:rsid w:val="00D6358B"/>
    <w:rPr>
      <w:rFonts w:ascii="Calibri Light" w:hAnsi="Calibri Light"/>
      <w:b/>
      <w:bCs/>
      <w:color w:val="58595B" w:themeColor="accent2"/>
      <w:sz w:val="20"/>
      <w:szCs w:val="20"/>
    </w:rPr>
  </w:style>
  <w:style w:type="paragraph" w:customStyle="1" w:styleId="Text">
    <w:name w:val="Text"/>
    <w:basedOn w:val="Normal"/>
    <w:rsid w:val="00F83949"/>
    <w:pPr>
      <w:tabs>
        <w:tab w:val="num" w:pos="1713"/>
      </w:tabs>
      <w:spacing w:before="120" w:after="120"/>
    </w:pPr>
    <w:rPr>
      <w:rFonts w:ascii="Arial" w:eastAsia="Times New Roman" w:hAnsi="Arial" w:cs="Times New Roman"/>
      <w:color w:val="auto"/>
      <w:szCs w:val="20"/>
      <w:lang w:eastAsia="en-AU"/>
    </w:rPr>
  </w:style>
  <w:style w:type="paragraph" w:customStyle="1" w:styleId="Briefbulletpoints">
    <w:name w:val="Brief bullet points"/>
    <w:basedOn w:val="ListParagraph"/>
    <w:qFormat/>
    <w:rsid w:val="000D0827"/>
    <w:pPr>
      <w:numPr>
        <w:numId w:val="4"/>
      </w:numPr>
      <w:spacing w:after="120" w:line="259" w:lineRule="auto"/>
      <w:contextualSpacing w:val="0"/>
    </w:pPr>
    <w:rPr>
      <w:rFonts w:ascii="Arial" w:hAnsi="Arial" w:cs="Arial"/>
      <w:color w:val="auto"/>
      <w:sz w:val="24"/>
      <w:szCs w:val="24"/>
    </w:rPr>
  </w:style>
  <w:style w:type="character" w:styleId="IntenseEmphasis">
    <w:name w:val="Intense Emphasis"/>
    <w:basedOn w:val="DefaultParagraphFont"/>
    <w:uiPriority w:val="21"/>
    <w:qFormat/>
    <w:rsid w:val="0011162B"/>
    <w:rPr>
      <w:i/>
      <w:iCs/>
      <w:color w:val="000000" w:themeColor="accent1"/>
    </w:rPr>
  </w:style>
  <w:style w:type="character" w:customStyle="1" w:styleId="ListParagraphChar">
    <w:name w:val="List Paragraph Char"/>
    <w:aliases w:val="Numbered list Char,Bullet Char,List Paragraph1 Char,List Paragraph11 Char,Recommendation Char,Bullet point Char,NAST Quote Char,L Char,CV text Char,F5 List Paragraph Char,Dot pt Char,List Paragraph111 Char,Numbered Paragraph Char"/>
    <w:link w:val="ListParagraph"/>
    <w:uiPriority w:val="1"/>
    <w:rsid w:val="005D43CE"/>
    <w:rPr>
      <w:rFonts w:ascii="Calibri Light" w:hAnsi="Calibri Light"/>
      <w:color w:val="58595B" w:themeColor="accent2"/>
      <w:sz w:val="20"/>
    </w:rPr>
  </w:style>
  <w:style w:type="character" w:styleId="FollowedHyperlink">
    <w:name w:val="FollowedHyperlink"/>
    <w:basedOn w:val="DefaultParagraphFont"/>
    <w:uiPriority w:val="99"/>
    <w:semiHidden/>
    <w:unhideWhenUsed/>
    <w:rsid w:val="00E2735A"/>
    <w:rPr>
      <w:color w:val="954F72" w:themeColor="followedHyperlink"/>
      <w:u w:val="single"/>
    </w:rPr>
  </w:style>
  <w:style w:type="paragraph" w:styleId="NormalWeb">
    <w:name w:val="Normal (Web)"/>
    <w:basedOn w:val="Normal"/>
    <w:uiPriority w:val="99"/>
    <w:semiHidden/>
    <w:unhideWhenUsed/>
    <w:rsid w:val="002732BE"/>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unhideWhenUsed/>
    <w:rsid w:val="000B331F"/>
    <w:pPr>
      <w:spacing w:after="0"/>
    </w:pPr>
    <w:rPr>
      <w:szCs w:val="20"/>
    </w:rPr>
  </w:style>
  <w:style w:type="character" w:customStyle="1" w:styleId="FootnoteTextChar">
    <w:name w:val="Footnote Text Char"/>
    <w:basedOn w:val="DefaultParagraphFont"/>
    <w:link w:val="FootnoteText"/>
    <w:uiPriority w:val="99"/>
    <w:rsid w:val="000B331F"/>
    <w:rPr>
      <w:rFonts w:ascii="Calibri Light" w:hAnsi="Calibri Light"/>
      <w:color w:val="58595B" w:themeColor="accent2"/>
      <w:sz w:val="20"/>
      <w:szCs w:val="20"/>
    </w:rPr>
  </w:style>
  <w:style w:type="character" w:styleId="FootnoteReference">
    <w:name w:val="footnote reference"/>
    <w:basedOn w:val="DefaultParagraphFont"/>
    <w:uiPriority w:val="99"/>
    <w:semiHidden/>
    <w:unhideWhenUsed/>
    <w:rsid w:val="000B331F"/>
    <w:rPr>
      <w:vertAlign w:val="superscript"/>
    </w:rPr>
  </w:style>
  <w:style w:type="paragraph" w:styleId="Revision">
    <w:name w:val="Revision"/>
    <w:hidden/>
    <w:uiPriority w:val="99"/>
    <w:semiHidden/>
    <w:rsid w:val="00152132"/>
    <w:pPr>
      <w:spacing w:before="0" w:line="240" w:lineRule="auto"/>
    </w:pPr>
    <w:rPr>
      <w:rFonts w:ascii="Calibri Light" w:hAnsi="Calibri Light"/>
      <w:color w:val="58595B" w:themeColor="accent2"/>
      <w:sz w:val="20"/>
    </w:rPr>
  </w:style>
  <w:style w:type="paragraph" w:customStyle="1" w:styleId="Responsedotpoint">
    <w:name w:val="Response dot point"/>
    <w:basedOn w:val="ListParagraph"/>
    <w:link w:val="ResponsedotpointChar"/>
    <w:qFormat/>
    <w:rsid w:val="00412B84"/>
    <w:pPr>
      <w:numPr>
        <w:numId w:val="5"/>
      </w:numPr>
      <w:spacing w:after="0"/>
      <w:contextualSpacing w:val="0"/>
      <w:jc w:val="both"/>
    </w:pPr>
    <w:rPr>
      <w:rFonts w:ascii="Arial" w:eastAsia="Times New Roman" w:hAnsi="Arial" w:cs="Arial"/>
      <w:color w:val="auto"/>
      <w:spacing w:val="-3"/>
      <w:sz w:val="36"/>
      <w:szCs w:val="36"/>
      <w:lang w:eastAsia="en-AU"/>
    </w:rPr>
  </w:style>
  <w:style w:type="character" w:customStyle="1" w:styleId="ResponsedotpointChar">
    <w:name w:val="Response dot point Char"/>
    <w:link w:val="Responsedotpoint"/>
    <w:rsid w:val="00412B84"/>
    <w:rPr>
      <w:rFonts w:ascii="Arial" w:eastAsia="Times New Roman" w:hAnsi="Arial" w:cs="Arial"/>
      <w:spacing w:val="-3"/>
      <w:sz w:val="36"/>
      <w:szCs w:val="36"/>
      <w:lang w:eastAsia="en-AU"/>
    </w:rPr>
  </w:style>
  <w:style w:type="paragraph" w:customStyle="1" w:styleId="Normancondensed25pt">
    <w:name w:val="Norman condensed .25pt"/>
    <w:basedOn w:val="Normal"/>
    <w:uiPriority w:val="99"/>
    <w:qFormat/>
    <w:rsid w:val="00E976BF"/>
    <w:pPr>
      <w:spacing w:before="120" w:after="0"/>
    </w:pPr>
    <w:rPr>
      <w:spacing w:val="-5"/>
    </w:rPr>
  </w:style>
  <w:style w:type="paragraph" w:customStyle="1" w:styleId="Footnote">
    <w:name w:val="Footnote"/>
    <w:basedOn w:val="Normal"/>
    <w:link w:val="FootnoteChar"/>
    <w:qFormat/>
    <w:rsid w:val="00C571FA"/>
    <w:pPr>
      <w:numPr>
        <w:numId w:val="51"/>
      </w:numPr>
      <w:spacing w:before="20" w:after="20"/>
    </w:pPr>
    <w:rPr>
      <w:sz w:val="16"/>
      <w:szCs w:val="16"/>
    </w:rPr>
  </w:style>
  <w:style w:type="character" w:customStyle="1" w:styleId="FootnoteChar">
    <w:name w:val="Footnote Char"/>
    <w:basedOn w:val="DefaultParagraphFont"/>
    <w:link w:val="Footnote"/>
    <w:rsid w:val="00C571FA"/>
    <w:rPr>
      <w:rFonts w:ascii="Calibri Light" w:hAnsi="Calibri Light"/>
      <w:color w:val="58595B" w:themeColor="accent2"/>
      <w:sz w:val="16"/>
      <w:szCs w:val="16"/>
    </w:rPr>
  </w:style>
  <w:style w:type="character" w:styleId="PlaceholderText">
    <w:name w:val="Placeholder Text"/>
    <w:basedOn w:val="DefaultParagraphFont"/>
    <w:uiPriority w:val="99"/>
    <w:semiHidden/>
    <w:rsid w:val="00473D99"/>
    <w:rPr>
      <w:color w:val="808080"/>
    </w:rPr>
  </w:style>
  <w:style w:type="paragraph" w:customStyle="1" w:styleId="Default">
    <w:name w:val="Default"/>
    <w:rsid w:val="00AB4163"/>
    <w:pPr>
      <w:autoSpaceDE w:val="0"/>
      <w:autoSpaceDN w:val="0"/>
      <w:adjustRightInd w:val="0"/>
      <w:spacing w:before="0" w:line="240" w:lineRule="auto"/>
    </w:pPr>
    <w:rPr>
      <w:rFonts w:ascii="Calibri Light" w:hAnsi="Calibri Light" w:cs="Calibri Light"/>
      <w:color w:val="000000"/>
      <w:sz w:val="24"/>
      <w:szCs w:val="24"/>
    </w:rPr>
  </w:style>
  <w:style w:type="paragraph" w:styleId="NoSpacing">
    <w:name w:val="No Spacing"/>
    <w:link w:val="NoSpacingChar"/>
    <w:uiPriority w:val="1"/>
    <w:qFormat/>
    <w:rsid w:val="00250030"/>
    <w:pPr>
      <w:spacing w:before="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250030"/>
    <w:rPr>
      <w:rFonts w:asciiTheme="minorHAnsi" w:eastAsiaTheme="minorEastAsia" w:hAnsiTheme="minorHAnsi"/>
      <w:lang w:val="en-US"/>
    </w:rPr>
  </w:style>
  <w:style w:type="paragraph" w:styleId="TOC1">
    <w:name w:val="toc 1"/>
    <w:basedOn w:val="Normal"/>
    <w:next w:val="Normal"/>
    <w:link w:val="TOC1Char"/>
    <w:autoRedefine/>
    <w:uiPriority w:val="39"/>
    <w:unhideWhenUsed/>
    <w:rsid w:val="00F34383"/>
    <w:pPr>
      <w:spacing w:before="120" w:after="120"/>
    </w:pPr>
    <w:rPr>
      <w:rFonts w:asciiTheme="minorHAnsi" w:hAnsiTheme="minorHAnsi" w:cstheme="minorHAnsi"/>
      <w:b/>
      <w:bCs/>
      <w:caps/>
      <w:szCs w:val="20"/>
    </w:rPr>
  </w:style>
  <w:style w:type="paragraph" w:customStyle="1" w:styleId="Mainbodytext10pt">
    <w:name w:val="Main body text 10pt"/>
    <w:basedOn w:val="Normal"/>
    <w:uiPriority w:val="99"/>
    <w:rsid w:val="00F34383"/>
    <w:pPr>
      <w:suppressAutoHyphens/>
      <w:autoSpaceDE w:val="0"/>
      <w:autoSpaceDN w:val="0"/>
      <w:adjustRightInd w:val="0"/>
      <w:spacing w:before="120" w:after="0" w:line="240" w:lineRule="atLeast"/>
      <w:textAlignment w:val="center"/>
    </w:pPr>
    <w:rPr>
      <w:rFonts w:ascii="Calibri" w:eastAsia="Calibri" w:hAnsi="Calibri" w:cs="Calibri Light"/>
      <w:color w:val="404041"/>
      <w:szCs w:val="20"/>
      <w:lang w:val="en-GB" w:eastAsia="en-AU"/>
    </w:rPr>
  </w:style>
  <w:style w:type="paragraph" w:customStyle="1" w:styleId="Contentsheader">
    <w:name w:val="Contents header"/>
    <w:link w:val="ContentsheaderChar"/>
    <w:rsid w:val="00F34383"/>
    <w:pPr>
      <w:spacing w:before="0" w:after="160" w:line="259" w:lineRule="auto"/>
    </w:pPr>
    <w:rPr>
      <w:rFonts w:asciiTheme="minorHAnsi" w:eastAsia="Times New Roman" w:hAnsiTheme="minorHAnsi" w:cs="Times New Roman"/>
      <w:noProof/>
      <w:color w:val="414042" w:themeColor="text1"/>
      <w:sz w:val="36"/>
      <w:szCs w:val="20"/>
    </w:rPr>
  </w:style>
  <w:style w:type="paragraph" w:customStyle="1" w:styleId="Righthandpagefooter">
    <w:name w:val="Right hand page footer"/>
    <w:qFormat/>
    <w:rsid w:val="00F34383"/>
    <w:pPr>
      <w:tabs>
        <w:tab w:val="right" w:pos="8448"/>
        <w:tab w:val="right" w:pos="9015"/>
      </w:tabs>
      <w:spacing w:before="0" w:line="210" w:lineRule="exact"/>
      <w:jc w:val="right"/>
    </w:pPr>
    <w:rPr>
      <w:rFonts w:eastAsia="Calibri" w:cs="Times New Roman"/>
      <w:caps/>
      <w:sz w:val="15"/>
    </w:rPr>
  </w:style>
  <w:style w:type="character" w:customStyle="1" w:styleId="ContentsheaderChar">
    <w:name w:val="Contents header Char"/>
    <w:basedOn w:val="Heading1Char"/>
    <w:link w:val="Contentsheader"/>
    <w:rsid w:val="00F34383"/>
    <w:rPr>
      <w:rFonts w:asciiTheme="minorHAnsi" w:eastAsia="Times New Roman" w:hAnsiTheme="minorHAnsi" w:cs="Times New Roman"/>
      <w:noProof/>
      <w:color w:val="414042" w:themeColor="text1"/>
      <w:sz w:val="36"/>
      <w:szCs w:val="20"/>
    </w:rPr>
  </w:style>
  <w:style w:type="table" w:customStyle="1" w:styleId="TonalBox">
    <w:name w:val="Tonal Box"/>
    <w:basedOn w:val="TableNormal"/>
    <w:next w:val="TableGrid"/>
    <w:uiPriority w:val="59"/>
    <w:rsid w:val="00F34383"/>
    <w:pPr>
      <w:spacing w:before="0" w:line="240" w:lineRule="auto"/>
    </w:pPr>
    <w:rPr>
      <w:rFonts w:eastAsia="Calibri" w:cs="Times New Roman"/>
      <w:sz w:val="20"/>
      <w:szCs w:val="20"/>
      <w:lang w:eastAsia="en-AU"/>
    </w:rPr>
    <w:tblPr>
      <w:tblCellMar>
        <w:top w:w="142" w:type="dxa"/>
        <w:left w:w="142" w:type="dxa"/>
        <w:bottom w:w="142" w:type="dxa"/>
        <w:right w:w="142" w:type="dxa"/>
      </w:tblCellMar>
    </w:tblPr>
    <w:tcPr>
      <w:shd w:val="clear" w:color="auto" w:fill="000000" w:themeFill="accent1"/>
    </w:tcPr>
  </w:style>
  <w:style w:type="paragraph" w:customStyle="1" w:styleId="Contents">
    <w:name w:val="Contents"/>
    <w:basedOn w:val="TOC1"/>
    <w:link w:val="ContentsChar"/>
    <w:rsid w:val="00F34383"/>
    <w:pPr>
      <w:tabs>
        <w:tab w:val="right" w:leader="dot" w:pos="9016"/>
      </w:tabs>
    </w:pPr>
    <w:rPr>
      <w:bCs w:val="0"/>
    </w:rPr>
  </w:style>
  <w:style w:type="paragraph" w:customStyle="1" w:styleId="CCCDetails">
    <w:name w:val="CCC Details"/>
    <w:basedOn w:val="Normal"/>
    <w:link w:val="CCCDetailsChar"/>
    <w:rsid w:val="00F34383"/>
    <w:pPr>
      <w:framePr w:hSpace="181" w:wrap="around" w:vAnchor="text" w:hAnchor="margin" w:y="9804"/>
      <w:spacing w:before="120" w:after="0" w:line="400" w:lineRule="exact"/>
    </w:pPr>
    <w:rPr>
      <w:rFonts w:ascii="Calibri" w:eastAsia="Calibri" w:hAnsi="Calibri" w:cs="Times New Roman"/>
      <w:b/>
      <w:color w:val="939598" w:themeColor="accent4"/>
      <w:sz w:val="36"/>
      <w:szCs w:val="36"/>
      <w:lang w:eastAsia="en-AU"/>
    </w:rPr>
  </w:style>
  <w:style w:type="character" w:customStyle="1" w:styleId="TOC1Char">
    <w:name w:val="TOC 1 Char"/>
    <w:basedOn w:val="DefaultParagraphFont"/>
    <w:link w:val="TOC1"/>
    <w:uiPriority w:val="39"/>
    <w:rsid w:val="00F34383"/>
    <w:rPr>
      <w:rFonts w:asciiTheme="minorHAnsi" w:hAnsiTheme="minorHAnsi" w:cstheme="minorHAnsi"/>
      <w:b/>
      <w:bCs/>
      <w:caps/>
      <w:color w:val="58595B" w:themeColor="accent2"/>
      <w:sz w:val="20"/>
      <w:szCs w:val="20"/>
    </w:rPr>
  </w:style>
  <w:style w:type="character" w:customStyle="1" w:styleId="ContentsChar">
    <w:name w:val="Contents Char"/>
    <w:basedOn w:val="TOC1Char"/>
    <w:link w:val="Contents"/>
    <w:rsid w:val="00F34383"/>
    <w:rPr>
      <w:rFonts w:asciiTheme="minorHAnsi" w:eastAsia="Times New Roman" w:hAnsiTheme="minorHAnsi" w:cs="Times New Roman"/>
      <w:b/>
      <w:bCs w:val="0"/>
      <w:caps/>
      <w:noProof/>
      <w:color w:val="58595B" w:themeColor="accent2"/>
      <w:sz w:val="20"/>
      <w:szCs w:val="20"/>
    </w:rPr>
  </w:style>
  <w:style w:type="character" w:customStyle="1" w:styleId="CCCDetailsChar">
    <w:name w:val="CCC Details Char"/>
    <w:basedOn w:val="DefaultParagraphFont"/>
    <w:link w:val="CCCDetails"/>
    <w:rsid w:val="00F34383"/>
    <w:rPr>
      <w:rFonts w:eastAsia="Calibri" w:cs="Times New Roman"/>
      <w:b/>
      <w:color w:val="939598" w:themeColor="accent4"/>
      <w:sz w:val="36"/>
      <w:szCs w:val="36"/>
      <w:lang w:eastAsia="en-AU"/>
    </w:rPr>
  </w:style>
  <w:style w:type="paragraph" w:customStyle="1" w:styleId="Reporttitle">
    <w:name w:val="Report title"/>
    <w:basedOn w:val="Normal"/>
    <w:link w:val="ReporttitleChar"/>
    <w:qFormat/>
    <w:rsid w:val="00F34383"/>
    <w:pPr>
      <w:spacing w:after="0" w:line="920" w:lineRule="exact"/>
    </w:pPr>
    <w:rPr>
      <w:rFonts w:ascii="Calibri" w:hAnsi="Calibri" w:cs="Calibri"/>
      <w:b/>
      <w:color w:val="939598" w:themeColor="accent4"/>
      <w:sz w:val="88"/>
      <w:szCs w:val="88"/>
    </w:rPr>
  </w:style>
  <w:style w:type="paragraph" w:customStyle="1" w:styleId="Reportsubtitle">
    <w:name w:val="Report subtitle"/>
    <w:basedOn w:val="Normal"/>
    <w:link w:val="ReportsubtitleChar"/>
    <w:qFormat/>
    <w:rsid w:val="00F34383"/>
    <w:pPr>
      <w:spacing w:after="0" w:line="400" w:lineRule="exact"/>
    </w:pPr>
    <w:rPr>
      <w:rFonts w:ascii="Calibri" w:hAnsi="Calibri" w:cs="Calibri"/>
      <w:color w:val="auto"/>
      <w:sz w:val="36"/>
    </w:rPr>
  </w:style>
  <w:style w:type="character" w:customStyle="1" w:styleId="ReporttitleChar">
    <w:name w:val="Report title Char"/>
    <w:basedOn w:val="DefaultParagraphFont"/>
    <w:link w:val="Reporttitle"/>
    <w:rsid w:val="00F34383"/>
    <w:rPr>
      <w:rFonts w:cs="Calibri"/>
      <w:b/>
      <w:color w:val="939598" w:themeColor="accent4"/>
      <w:sz w:val="88"/>
      <w:szCs w:val="88"/>
    </w:rPr>
  </w:style>
  <w:style w:type="character" w:customStyle="1" w:styleId="ReportsubtitleChar">
    <w:name w:val="Report subtitle Char"/>
    <w:basedOn w:val="DefaultParagraphFont"/>
    <w:link w:val="Reportsubtitle"/>
    <w:rsid w:val="00F34383"/>
    <w:rPr>
      <w:rFonts w:cs="Calibri"/>
      <w:sz w:val="36"/>
    </w:rPr>
  </w:style>
  <w:style w:type="paragraph" w:customStyle="1" w:styleId="Headerclassification">
    <w:name w:val="Header classification"/>
    <w:rsid w:val="00F34383"/>
    <w:pPr>
      <w:spacing w:before="0" w:line="300" w:lineRule="exact"/>
      <w:jc w:val="center"/>
    </w:pPr>
    <w:rPr>
      <w:rFonts w:eastAsia="Times New Roman" w:cs="Times New Roman"/>
      <w:color w:val="73182C"/>
      <w:sz w:val="26"/>
      <w:lang w:val="en-US" w:bidi="en-US"/>
    </w:rPr>
  </w:style>
  <w:style w:type="paragraph" w:customStyle="1" w:styleId="Reportdate">
    <w:name w:val="Report date"/>
    <w:basedOn w:val="Normal"/>
    <w:link w:val="ReportdateChar"/>
    <w:qFormat/>
    <w:rsid w:val="00F34383"/>
    <w:pPr>
      <w:spacing w:after="0"/>
    </w:pPr>
    <w:rPr>
      <w:rFonts w:ascii="Calibri" w:hAnsi="Calibri"/>
      <w:color w:val="auto"/>
      <w:sz w:val="28"/>
      <w:szCs w:val="28"/>
    </w:rPr>
  </w:style>
  <w:style w:type="paragraph" w:styleId="Quote">
    <w:name w:val="Quote"/>
    <w:basedOn w:val="Normal"/>
    <w:next w:val="Normal"/>
    <w:link w:val="QuoteChar"/>
    <w:uiPriority w:val="29"/>
    <w:qFormat/>
    <w:rsid w:val="00F34383"/>
    <w:pPr>
      <w:spacing w:before="180" w:after="0" w:line="260" w:lineRule="exact"/>
      <w:ind w:left="1134" w:right="567"/>
    </w:pPr>
    <w:rPr>
      <w:rFonts w:ascii="Calibri" w:hAnsi="Calibri"/>
      <w:iCs/>
      <w:color w:val="auto"/>
      <w:sz w:val="22"/>
    </w:rPr>
  </w:style>
  <w:style w:type="character" w:customStyle="1" w:styleId="QuoteChar">
    <w:name w:val="Quote Char"/>
    <w:basedOn w:val="DefaultParagraphFont"/>
    <w:link w:val="Quote"/>
    <w:uiPriority w:val="29"/>
    <w:rsid w:val="00F34383"/>
    <w:rPr>
      <w:iCs/>
    </w:rPr>
  </w:style>
  <w:style w:type="character" w:customStyle="1" w:styleId="ReportdateChar">
    <w:name w:val="Report date Char"/>
    <w:basedOn w:val="DefaultParagraphFont"/>
    <w:link w:val="Reportdate"/>
    <w:rsid w:val="00F34383"/>
    <w:rPr>
      <w:sz w:val="28"/>
      <w:szCs w:val="28"/>
    </w:rPr>
  </w:style>
  <w:style w:type="paragraph" w:customStyle="1" w:styleId="Tabletext9pt1stpara">
    <w:name w:val="Table text 9pt 1st para"/>
    <w:rsid w:val="00F34383"/>
    <w:pPr>
      <w:spacing w:before="0" w:line="240" w:lineRule="exact"/>
    </w:pPr>
    <w:rPr>
      <w:rFonts w:eastAsia="Calibri" w:cs="Times New Roman"/>
    </w:rPr>
  </w:style>
  <w:style w:type="paragraph" w:styleId="TOCHeading">
    <w:name w:val="TOC Heading"/>
    <w:basedOn w:val="Heading1"/>
    <w:next w:val="Normal"/>
    <w:uiPriority w:val="39"/>
    <w:unhideWhenUsed/>
    <w:qFormat/>
    <w:rsid w:val="00F34383"/>
    <w:pPr>
      <w:spacing w:before="240" w:beforeAutospacing="1" w:after="480" w:line="259" w:lineRule="auto"/>
      <w:outlineLvl w:val="9"/>
    </w:pPr>
    <w:rPr>
      <w:rFonts w:asciiTheme="minorHAnsi" w:hAnsiTheme="minorHAnsi"/>
      <w:b/>
      <w:color w:val="auto"/>
      <w:sz w:val="32"/>
      <w:lang w:val="en-US"/>
    </w:rPr>
  </w:style>
  <w:style w:type="paragraph" w:styleId="TOC2">
    <w:name w:val="toc 2"/>
    <w:basedOn w:val="Normal"/>
    <w:next w:val="Normal"/>
    <w:link w:val="TOC2Char"/>
    <w:autoRedefine/>
    <w:uiPriority w:val="39"/>
    <w:unhideWhenUsed/>
    <w:rsid w:val="00F34383"/>
    <w:pPr>
      <w:spacing w:after="0"/>
      <w:ind w:left="200"/>
    </w:pPr>
    <w:rPr>
      <w:rFonts w:asciiTheme="minorHAnsi" w:hAnsiTheme="minorHAnsi" w:cstheme="minorHAnsi"/>
      <w:smallCaps/>
      <w:szCs w:val="20"/>
    </w:rPr>
  </w:style>
  <w:style w:type="paragraph" w:customStyle="1" w:styleId="Tableofcontents-heading1">
    <w:name w:val="Table of contents - heading 1"/>
    <w:basedOn w:val="TOC1"/>
    <w:link w:val="Tableofcontents-heading1Char"/>
    <w:rsid w:val="00F34383"/>
    <w:pPr>
      <w:tabs>
        <w:tab w:val="right" w:leader="dot" w:pos="9016"/>
      </w:tabs>
    </w:pPr>
    <w:rPr>
      <w:b w:val="0"/>
      <w:bCs w:val="0"/>
    </w:rPr>
  </w:style>
  <w:style w:type="paragraph" w:customStyle="1" w:styleId="Tableofcontents2">
    <w:name w:val="Table of contents 2"/>
    <w:basedOn w:val="TOC2"/>
    <w:link w:val="Tableofcontents2Char"/>
    <w:rsid w:val="00F34383"/>
  </w:style>
  <w:style w:type="character" w:customStyle="1" w:styleId="Tableofcontents-heading1Char">
    <w:name w:val="Table of contents - heading 1 Char"/>
    <w:basedOn w:val="TOC1Char"/>
    <w:link w:val="Tableofcontents-heading1"/>
    <w:rsid w:val="00F34383"/>
    <w:rPr>
      <w:rFonts w:asciiTheme="minorHAnsi" w:eastAsia="Times New Roman" w:hAnsiTheme="minorHAnsi" w:cs="Times New Roman"/>
      <w:b w:val="0"/>
      <w:bCs w:val="0"/>
      <w:caps/>
      <w:noProof/>
      <w:color w:val="58595B" w:themeColor="accent2"/>
      <w:sz w:val="20"/>
      <w:szCs w:val="20"/>
    </w:rPr>
  </w:style>
  <w:style w:type="paragraph" w:customStyle="1" w:styleId="Contentsheading1">
    <w:name w:val="Contents heading 1"/>
    <w:rsid w:val="00F34383"/>
    <w:pPr>
      <w:pBdr>
        <w:bottom w:val="single" w:sz="4" w:space="10" w:color="auto"/>
      </w:pBdr>
      <w:spacing w:before="0" w:after="720" w:line="400" w:lineRule="exact"/>
    </w:pPr>
    <w:rPr>
      <w:rFonts w:eastAsia="Times New Roman" w:cs="Times New Roman"/>
      <w:b/>
      <w:bCs/>
      <w:kern w:val="32"/>
      <w:sz w:val="36"/>
      <w:szCs w:val="32"/>
    </w:rPr>
  </w:style>
  <w:style w:type="character" w:customStyle="1" w:styleId="TOC2Char">
    <w:name w:val="TOC 2 Char"/>
    <w:basedOn w:val="DefaultParagraphFont"/>
    <w:link w:val="TOC2"/>
    <w:uiPriority w:val="39"/>
    <w:rsid w:val="00F34383"/>
    <w:rPr>
      <w:rFonts w:asciiTheme="minorHAnsi" w:hAnsiTheme="minorHAnsi" w:cstheme="minorHAnsi"/>
      <w:smallCaps/>
      <w:color w:val="58595B" w:themeColor="accent2"/>
      <w:sz w:val="20"/>
      <w:szCs w:val="20"/>
    </w:rPr>
  </w:style>
  <w:style w:type="character" w:customStyle="1" w:styleId="Tableofcontents2Char">
    <w:name w:val="Table of contents 2 Char"/>
    <w:basedOn w:val="TOC2Char"/>
    <w:link w:val="Tableofcontents2"/>
    <w:rsid w:val="00F34383"/>
    <w:rPr>
      <w:rFonts w:asciiTheme="minorHAnsi" w:hAnsiTheme="minorHAnsi" w:cstheme="minorHAnsi"/>
      <w:smallCaps/>
      <w:noProof/>
      <w:color w:val="58595B" w:themeColor="accent2"/>
      <w:sz w:val="20"/>
      <w:szCs w:val="20"/>
    </w:rPr>
  </w:style>
  <w:style w:type="paragraph" w:customStyle="1" w:styleId="Sourceandnotes">
    <w:name w:val="Source and notes"/>
    <w:qFormat/>
    <w:rsid w:val="00F34383"/>
    <w:pPr>
      <w:spacing w:line="220" w:lineRule="exact"/>
    </w:pPr>
    <w:rPr>
      <w:rFonts w:eastAsia="Calibri" w:cs="Times New Roman"/>
      <w:sz w:val="16"/>
    </w:rPr>
  </w:style>
  <w:style w:type="paragraph" w:customStyle="1" w:styleId="Normal1stpara">
    <w:name w:val="Normal 1st para"/>
    <w:basedOn w:val="Normal"/>
    <w:link w:val="Normal1stparaChar"/>
    <w:qFormat/>
    <w:rsid w:val="00F34383"/>
    <w:pPr>
      <w:spacing w:before="60" w:after="0" w:line="260" w:lineRule="exact"/>
    </w:pPr>
    <w:rPr>
      <w:rFonts w:ascii="Calibri" w:eastAsia="Calibri" w:hAnsi="Calibri" w:cs="Times New Roman"/>
      <w:color w:val="auto"/>
      <w:sz w:val="22"/>
    </w:rPr>
  </w:style>
  <w:style w:type="paragraph" w:customStyle="1" w:styleId="NormalbulletlistL10">
    <w:name w:val="Normal bullet list L1"/>
    <w:basedOn w:val="Normal"/>
    <w:link w:val="NormalbulletlistL1Char"/>
    <w:rsid w:val="00F34383"/>
    <w:pPr>
      <w:numPr>
        <w:numId w:val="6"/>
      </w:numPr>
      <w:tabs>
        <w:tab w:val="left" w:pos="924"/>
      </w:tabs>
      <w:spacing w:before="60" w:after="0" w:line="260" w:lineRule="exact"/>
      <w:ind w:left="924" w:hanging="357"/>
    </w:pPr>
    <w:rPr>
      <w:rFonts w:ascii="Calibri" w:eastAsia="Calibri" w:hAnsi="Calibri" w:cs="Times New Roman"/>
      <w:color w:val="auto"/>
    </w:rPr>
  </w:style>
  <w:style w:type="paragraph" w:customStyle="1" w:styleId="NormalbulletlistL2">
    <w:name w:val="Normal bullet list L2"/>
    <w:basedOn w:val="NormalbulletlistL10"/>
    <w:link w:val="NormalbulletlistL2Char"/>
    <w:qFormat/>
    <w:rsid w:val="00F34383"/>
    <w:pPr>
      <w:numPr>
        <w:numId w:val="7"/>
      </w:numPr>
      <w:tabs>
        <w:tab w:val="clear" w:pos="924"/>
        <w:tab w:val="left" w:pos="1281"/>
      </w:tabs>
    </w:pPr>
  </w:style>
  <w:style w:type="paragraph" w:customStyle="1" w:styleId="NormalnumberedlistL1">
    <w:name w:val="Normal numbered list L1"/>
    <w:basedOn w:val="NormalbulletlistL10"/>
    <w:qFormat/>
    <w:rsid w:val="00F34383"/>
    <w:pPr>
      <w:numPr>
        <w:numId w:val="8"/>
      </w:numPr>
      <w:ind w:left="360"/>
    </w:pPr>
    <w:rPr>
      <w:sz w:val="22"/>
    </w:rPr>
  </w:style>
  <w:style w:type="paragraph" w:customStyle="1" w:styleId="NormalilistL1">
    <w:name w:val="Normal (i) list L1"/>
    <w:qFormat/>
    <w:rsid w:val="00F34383"/>
    <w:pPr>
      <w:numPr>
        <w:numId w:val="9"/>
      </w:numPr>
      <w:tabs>
        <w:tab w:val="left" w:pos="924"/>
      </w:tabs>
      <w:spacing w:before="60"/>
    </w:pPr>
    <w:rPr>
      <w:rFonts w:eastAsia="Calibri" w:cs="Times New Roman"/>
    </w:rPr>
  </w:style>
  <w:style w:type="paragraph" w:customStyle="1" w:styleId="NormalilistL10">
    <w:name w:val="Normal i. list L1"/>
    <w:qFormat/>
    <w:rsid w:val="00F34383"/>
    <w:pPr>
      <w:numPr>
        <w:numId w:val="10"/>
      </w:numPr>
      <w:tabs>
        <w:tab w:val="left" w:pos="924"/>
      </w:tabs>
      <w:spacing w:before="60"/>
    </w:pPr>
    <w:rPr>
      <w:rFonts w:eastAsia="Calibri" w:cs="Times New Roman"/>
    </w:rPr>
  </w:style>
  <w:style w:type="paragraph" w:customStyle="1" w:styleId="NormalalistL10">
    <w:name w:val="Normal a. list L1"/>
    <w:qFormat/>
    <w:rsid w:val="00F34383"/>
    <w:pPr>
      <w:numPr>
        <w:numId w:val="11"/>
      </w:numPr>
      <w:tabs>
        <w:tab w:val="left" w:pos="924"/>
      </w:tabs>
      <w:spacing w:before="60"/>
    </w:pPr>
    <w:rPr>
      <w:rFonts w:eastAsia="Calibri" w:cs="Times New Roman"/>
    </w:rPr>
  </w:style>
  <w:style w:type="character" w:customStyle="1" w:styleId="BoxheadingL1Char">
    <w:name w:val="Box heading L1 Char"/>
    <w:basedOn w:val="DefaultParagraphFont"/>
    <w:link w:val="BoxheadingL1"/>
    <w:locked/>
    <w:rsid w:val="00F34383"/>
    <w:rPr>
      <w:rFonts w:eastAsia="Times New Roman" w:cs="Times New Roman"/>
      <w:b/>
      <w:bCs/>
      <w:sz w:val="28"/>
      <w:szCs w:val="26"/>
    </w:rPr>
  </w:style>
  <w:style w:type="paragraph" w:customStyle="1" w:styleId="BoxheadingL1">
    <w:name w:val="Box heading L1"/>
    <w:link w:val="BoxheadingL1Char"/>
    <w:qFormat/>
    <w:rsid w:val="00F34383"/>
    <w:pPr>
      <w:spacing w:before="60" w:after="60" w:line="240" w:lineRule="exact"/>
    </w:pPr>
    <w:rPr>
      <w:rFonts w:eastAsia="Times New Roman" w:cs="Times New Roman"/>
      <w:b/>
      <w:bCs/>
      <w:sz w:val="28"/>
      <w:szCs w:val="26"/>
    </w:rPr>
  </w:style>
  <w:style w:type="paragraph" w:customStyle="1" w:styleId="BoxheadingL2">
    <w:name w:val="Box heading L2"/>
    <w:qFormat/>
    <w:rsid w:val="00F34383"/>
    <w:pPr>
      <w:spacing w:before="180"/>
    </w:pPr>
    <w:rPr>
      <w:rFonts w:eastAsia="Times New Roman" w:cs="Times New Roman"/>
      <w:b/>
      <w:bCs/>
      <w:sz w:val="24"/>
      <w:szCs w:val="26"/>
    </w:rPr>
  </w:style>
  <w:style w:type="paragraph" w:customStyle="1" w:styleId="BoxtextbulletlistL1">
    <w:name w:val="Box text bullet list L1"/>
    <w:qFormat/>
    <w:rsid w:val="00F34383"/>
    <w:pPr>
      <w:numPr>
        <w:numId w:val="12"/>
      </w:numPr>
      <w:tabs>
        <w:tab w:val="left" w:pos="357"/>
      </w:tabs>
      <w:spacing w:before="60" w:line="240" w:lineRule="exact"/>
      <w:ind w:left="357" w:hanging="357"/>
    </w:pPr>
    <w:rPr>
      <w:rFonts w:eastAsia="Calibri" w:cs="Times New Roman"/>
    </w:rPr>
  </w:style>
  <w:style w:type="paragraph" w:customStyle="1" w:styleId="BoxtextbulletlistL2">
    <w:name w:val="Box text  bullet list L2"/>
    <w:qFormat/>
    <w:rsid w:val="00F34383"/>
    <w:pPr>
      <w:numPr>
        <w:numId w:val="13"/>
      </w:numPr>
      <w:tabs>
        <w:tab w:val="left" w:pos="714"/>
      </w:tabs>
      <w:spacing w:before="60" w:line="240" w:lineRule="exact"/>
      <w:ind w:left="714" w:hanging="357"/>
    </w:pPr>
    <w:rPr>
      <w:rFonts w:eastAsia="Calibri" w:cs="Times New Roman"/>
    </w:rPr>
  </w:style>
  <w:style w:type="paragraph" w:customStyle="1" w:styleId="BoxtextnumberedlistL1">
    <w:name w:val="Box text numbered list L1"/>
    <w:qFormat/>
    <w:rsid w:val="00F34383"/>
    <w:pPr>
      <w:numPr>
        <w:numId w:val="14"/>
      </w:numPr>
      <w:spacing w:before="60" w:line="240" w:lineRule="exact"/>
      <w:ind w:left="357" w:hanging="357"/>
    </w:pPr>
    <w:rPr>
      <w:rFonts w:eastAsia="Calibri" w:cs="Times New Roman"/>
    </w:rPr>
  </w:style>
  <w:style w:type="paragraph" w:customStyle="1" w:styleId="BoxtextilistL10">
    <w:name w:val="Box text (i) list L1"/>
    <w:qFormat/>
    <w:rsid w:val="00F34383"/>
    <w:pPr>
      <w:numPr>
        <w:numId w:val="15"/>
      </w:numPr>
      <w:spacing w:before="60" w:line="240" w:lineRule="exact"/>
    </w:pPr>
    <w:rPr>
      <w:rFonts w:eastAsia="Calibri" w:cs="Times New Roman"/>
    </w:rPr>
  </w:style>
  <w:style w:type="paragraph" w:customStyle="1" w:styleId="BoxtextilistL1">
    <w:name w:val="Box text i. list L1"/>
    <w:qFormat/>
    <w:rsid w:val="00F34383"/>
    <w:pPr>
      <w:numPr>
        <w:numId w:val="16"/>
      </w:numPr>
      <w:spacing w:before="60" w:line="240" w:lineRule="exact"/>
      <w:ind w:left="357" w:hanging="357"/>
    </w:pPr>
    <w:rPr>
      <w:rFonts w:eastAsia="Calibri" w:cs="Times New Roman"/>
    </w:rPr>
  </w:style>
  <w:style w:type="paragraph" w:customStyle="1" w:styleId="BoxtextalistL1">
    <w:name w:val="Box text a. list L1"/>
    <w:qFormat/>
    <w:rsid w:val="00F34383"/>
    <w:pPr>
      <w:numPr>
        <w:numId w:val="17"/>
      </w:numPr>
      <w:spacing w:before="60" w:line="240" w:lineRule="exact"/>
      <w:ind w:left="357" w:hanging="357"/>
    </w:pPr>
    <w:rPr>
      <w:rFonts w:eastAsia="Calibri" w:cs="Times New Roman"/>
    </w:rPr>
  </w:style>
  <w:style w:type="paragraph" w:customStyle="1" w:styleId="Figuretableheading">
    <w:name w:val="Figure/table heading"/>
    <w:qFormat/>
    <w:rsid w:val="00F34383"/>
    <w:pPr>
      <w:spacing w:before="360" w:after="180"/>
      <w:ind w:left="567"/>
    </w:pPr>
    <w:rPr>
      <w:rFonts w:eastAsia="Calibri" w:cs="Times New Roman"/>
      <w:sz w:val="20"/>
    </w:rPr>
  </w:style>
  <w:style w:type="paragraph" w:customStyle="1" w:styleId="TabletextbulletlistL1">
    <w:name w:val="Table text bullet list L1"/>
    <w:qFormat/>
    <w:rsid w:val="00F34383"/>
    <w:pPr>
      <w:numPr>
        <w:numId w:val="18"/>
      </w:numPr>
      <w:tabs>
        <w:tab w:val="left" w:pos="357"/>
      </w:tabs>
      <w:spacing w:before="60" w:line="240" w:lineRule="exact"/>
      <w:ind w:left="357" w:hanging="357"/>
    </w:pPr>
    <w:rPr>
      <w:rFonts w:eastAsia="Calibri" w:cs="Times New Roman"/>
    </w:rPr>
  </w:style>
  <w:style w:type="paragraph" w:customStyle="1" w:styleId="Sourceandnotebullets">
    <w:name w:val="Source and note bullets"/>
    <w:qFormat/>
    <w:rsid w:val="00F34383"/>
    <w:pPr>
      <w:numPr>
        <w:numId w:val="19"/>
      </w:numPr>
      <w:tabs>
        <w:tab w:val="left" w:pos="924"/>
      </w:tabs>
      <w:spacing w:before="60" w:line="220" w:lineRule="exact"/>
      <w:ind w:left="357" w:hanging="357"/>
    </w:pPr>
    <w:rPr>
      <w:rFonts w:eastAsia="Calibri" w:cs="Times New Roman"/>
      <w:sz w:val="16"/>
    </w:rPr>
  </w:style>
  <w:style w:type="paragraph" w:customStyle="1" w:styleId="NormalnumberedlistL2">
    <w:name w:val="Normal numbered list L2"/>
    <w:basedOn w:val="Normal"/>
    <w:qFormat/>
    <w:rsid w:val="00F34383"/>
    <w:pPr>
      <w:numPr>
        <w:numId w:val="20"/>
      </w:numPr>
      <w:spacing w:before="60" w:after="0" w:line="260" w:lineRule="exact"/>
    </w:pPr>
    <w:rPr>
      <w:rFonts w:ascii="Calibri" w:eastAsia="Calibri" w:hAnsi="Calibri" w:cs="Times New Roman"/>
      <w:color w:val="auto"/>
      <w:sz w:val="22"/>
    </w:rPr>
  </w:style>
  <w:style w:type="paragraph" w:customStyle="1" w:styleId="Normal1listL1">
    <w:name w:val="Normal (1) list L1"/>
    <w:basedOn w:val="Normal"/>
    <w:qFormat/>
    <w:rsid w:val="00F34383"/>
    <w:pPr>
      <w:numPr>
        <w:numId w:val="21"/>
      </w:numPr>
      <w:spacing w:before="60" w:after="0" w:line="260" w:lineRule="exact"/>
      <w:ind w:left="924" w:hanging="357"/>
    </w:pPr>
    <w:rPr>
      <w:rFonts w:ascii="Calibri" w:eastAsia="Calibri" w:hAnsi="Calibri" w:cs="Times New Roman"/>
      <w:color w:val="auto"/>
      <w:sz w:val="22"/>
    </w:rPr>
  </w:style>
  <w:style w:type="paragraph" w:customStyle="1" w:styleId="Normal1listL2">
    <w:name w:val="Normal (1) list L2"/>
    <w:basedOn w:val="Normal"/>
    <w:qFormat/>
    <w:rsid w:val="00F34383"/>
    <w:pPr>
      <w:numPr>
        <w:numId w:val="22"/>
      </w:numPr>
      <w:spacing w:before="60" w:after="0" w:line="260" w:lineRule="exact"/>
    </w:pPr>
    <w:rPr>
      <w:rFonts w:ascii="Calibri" w:eastAsia="Calibri" w:hAnsi="Calibri" w:cs="Times New Roman"/>
      <w:color w:val="auto"/>
      <w:sz w:val="22"/>
    </w:rPr>
  </w:style>
  <w:style w:type="paragraph" w:customStyle="1" w:styleId="NormalilistL20">
    <w:name w:val="Normal i. list L2"/>
    <w:basedOn w:val="Normal"/>
    <w:qFormat/>
    <w:rsid w:val="00F34383"/>
    <w:pPr>
      <w:numPr>
        <w:numId w:val="23"/>
      </w:numPr>
      <w:spacing w:before="60" w:after="0" w:line="260" w:lineRule="exact"/>
    </w:pPr>
    <w:rPr>
      <w:rFonts w:ascii="Calibri" w:eastAsia="Calibri" w:hAnsi="Calibri" w:cs="Times New Roman"/>
      <w:color w:val="auto"/>
      <w:sz w:val="22"/>
    </w:rPr>
  </w:style>
  <w:style w:type="paragraph" w:customStyle="1" w:styleId="NormalilistL2">
    <w:name w:val="Normal (i) list L2"/>
    <w:basedOn w:val="Normal"/>
    <w:qFormat/>
    <w:rsid w:val="00F34383"/>
    <w:pPr>
      <w:numPr>
        <w:numId w:val="24"/>
      </w:numPr>
      <w:spacing w:before="60" w:after="0" w:line="260" w:lineRule="exact"/>
    </w:pPr>
    <w:rPr>
      <w:rFonts w:ascii="Calibri" w:eastAsia="Calibri" w:hAnsi="Calibri" w:cs="Times New Roman"/>
      <w:color w:val="auto"/>
      <w:sz w:val="22"/>
    </w:rPr>
  </w:style>
  <w:style w:type="paragraph" w:customStyle="1" w:styleId="NormalalistL20">
    <w:name w:val="Normal a. list L2"/>
    <w:basedOn w:val="Normal"/>
    <w:qFormat/>
    <w:rsid w:val="00F34383"/>
    <w:pPr>
      <w:numPr>
        <w:numId w:val="25"/>
      </w:numPr>
      <w:spacing w:before="60" w:after="0" w:line="260" w:lineRule="exact"/>
    </w:pPr>
    <w:rPr>
      <w:rFonts w:ascii="Calibri" w:eastAsia="Calibri" w:hAnsi="Calibri" w:cs="Times New Roman"/>
      <w:color w:val="auto"/>
      <w:sz w:val="22"/>
    </w:rPr>
  </w:style>
  <w:style w:type="paragraph" w:customStyle="1" w:styleId="NormalalistL1">
    <w:name w:val="Normal (a) list L1"/>
    <w:basedOn w:val="Normal"/>
    <w:qFormat/>
    <w:rsid w:val="00F34383"/>
    <w:pPr>
      <w:numPr>
        <w:numId w:val="26"/>
      </w:numPr>
      <w:spacing w:before="60" w:after="0" w:line="260" w:lineRule="exact"/>
    </w:pPr>
    <w:rPr>
      <w:rFonts w:ascii="Calibri" w:eastAsia="Calibri" w:hAnsi="Calibri" w:cs="Times New Roman"/>
      <w:color w:val="auto"/>
      <w:sz w:val="22"/>
    </w:rPr>
  </w:style>
  <w:style w:type="paragraph" w:customStyle="1" w:styleId="NormalalistL2">
    <w:name w:val="Normal (a) list L2"/>
    <w:basedOn w:val="Normal"/>
    <w:qFormat/>
    <w:rsid w:val="00F34383"/>
    <w:pPr>
      <w:numPr>
        <w:numId w:val="27"/>
      </w:numPr>
      <w:spacing w:before="60" w:after="0" w:line="260" w:lineRule="exact"/>
    </w:pPr>
    <w:rPr>
      <w:rFonts w:ascii="Calibri" w:eastAsia="Calibri" w:hAnsi="Calibri" w:cs="Times New Roman"/>
      <w:color w:val="auto"/>
      <w:sz w:val="22"/>
    </w:rPr>
  </w:style>
  <w:style w:type="paragraph" w:customStyle="1" w:styleId="Boxtext1stpara">
    <w:name w:val="Box text 1st para"/>
    <w:basedOn w:val="Normal"/>
    <w:link w:val="Boxtext1stparaChar"/>
    <w:rsid w:val="00F34383"/>
    <w:pPr>
      <w:spacing w:before="120" w:after="0" w:line="260" w:lineRule="exact"/>
    </w:pPr>
    <w:rPr>
      <w:rFonts w:ascii="Calibri" w:eastAsia="Calibri" w:hAnsi="Calibri" w:cs="Times New Roman"/>
      <w:color w:val="auto"/>
      <w:sz w:val="22"/>
      <w:szCs w:val="20"/>
      <w:lang w:eastAsia="en-AU"/>
    </w:rPr>
  </w:style>
  <w:style w:type="paragraph" w:customStyle="1" w:styleId="Boxtext">
    <w:name w:val="Box text"/>
    <w:qFormat/>
    <w:rsid w:val="00F34383"/>
    <w:pPr>
      <w:spacing w:line="240" w:lineRule="exact"/>
    </w:pPr>
    <w:rPr>
      <w:rFonts w:eastAsia="Calibri" w:cs="Times New Roman"/>
    </w:rPr>
  </w:style>
  <w:style w:type="paragraph" w:customStyle="1" w:styleId="Boxtext1listL1">
    <w:name w:val="Box text (1) list L1"/>
    <w:qFormat/>
    <w:rsid w:val="00F34383"/>
    <w:pPr>
      <w:numPr>
        <w:numId w:val="28"/>
      </w:numPr>
      <w:spacing w:before="60" w:line="240" w:lineRule="exact"/>
      <w:ind w:left="357" w:hanging="357"/>
    </w:pPr>
    <w:rPr>
      <w:rFonts w:eastAsia="Calibri" w:cs="Times New Roman"/>
    </w:rPr>
  </w:style>
  <w:style w:type="paragraph" w:customStyle="1" w:styleId="BoxtextalistL10">
    <w:name w:val="Box text (a) list L1"/>
    <w:qFormat/>
    <w:rsid w:val="00F34383"/>
    <w:pPr>
      <w:numPr>
        <w:numId w:val="29"/>
      </w:numPr>
      <w:spacing w:before="60" w:line="240" w:lineRule="auto"/>
      <w:ind w:left="357" w:hanging="357"/>
    </w:pPr>
    <w:rPr>
      <w:rFonts w:eastAsia="Calibri" w:cs="Times New Roman"/>
    </w:rPr>
  </w:style>
  <w:style w:type="paragraph" w:customStyle="1" w:styleId="ReferencesL1">
    <w:name w:val="References L1"/>
    <w:qFormat/>
    <w:rsid w:val="00F34383"/>
    <w:pPr>
      <w:spacing w:line="240" w:lineRule="auto"/>
      <w:ind w:left="567" w:hanging="567"/>
    </w:pPr>
    <w:rPr>
      <w:rFonts w:eastAsia="Calibri" w:cs="Times New Roman"/>
    </w:rPr>
  </w:style>
  <w:style w:type="paragraph" w:customStyle="1" w:styleId="ReferencesL2">
    <w:name w:val="References L2"/>
    <w:qFormat/>
    <w:rsid w:val="00F34383"/>
    <w:pPr>
      <w:spacing w:before="60" w:line="240" w:lineRule="auto"/>
      <w:ind w:left="567" w:hanging="567"/>
    </w:pPr>
    <w:rPr>
      <w:rFonts w:eastAsia="Calibri" w:cs="Times New Roman"/>
    </w:rPr>
  </w:style>
  <w:style w:type="paragraph" w:styleId="TOC3">
    <w:name w:val="toc 3"/>
    <w:basedOn w:val="Normal"/>
    <w:next w:val="Normal"/>
    <w:link w:val="TOC3Char"/>
    <w:autoRedefine/>
    <w:uiPriority w:val="39"/>
    <w:unhideWhenUsed/>
    <w:rsid w:val="00F34383"/>
    <w:pPr>
      <w:spacing w:after="0"/>
      <w:ind w:left="400"/>
    </w:pPr>
    <w:rPr>
      <w:rFonts w:asciiTheme="minorHAnsi" w:hAnsiTheme="minorHAnsi" w:cstheme="minorHAnsi"/>
      <w:i/>
      <w:iCs/>
      <w:szCs w:val="20"/>
    </w:rPr>
  </w:style>
  <w:style w:type="paragraph" w:customStyle="1" w:styleId="TOC1Style">
    <w:name w:val="TOC 1 Style"/>
    <w:basedOn w:val="TOC1"/>
    <w:link w:val="TOC1StyleChar"/>
    <w:qFormat/>
    <w:rsid w:val="00F34383"/>
  </w:style>
  <w:style w:type="paragraph" w:customStyle="1" w:styleId="TOC2style">
    <w:name w:val="TOC 2 style"/>
    <w:basedOn w:val="TOC2"/>
    <w:link w:val="TOC2styleChar"/>
    <w:qFormat/>
    <w:rsid w:val="00F34383"/>
  </w:style>
  <w:style w:type="character" w:customStyle="1" w:styleId="TOC1StyleChar">
    <w:name w:val="TOC 1 Style Char"/>
    <w:basedOn w:val="TOC1Char"/>
    <w:link w:val="TOC1Style"/>
    <w:rsid w:val="00F34383"/>
    <w:rPr>
      <w:rFonts w:asciiTheme="minorHAnsi" w:eastAsia="Times New Roman" w:hAnsiTheme="minorHAnsi" w:cs="Times New Roman"/>
      <w:b/>
      <w:bCs/>
      <w:caps/>
      <w:noProof/>
      <w:color w:val="58595B" w:themeColor="accent2"/>
      <w:sz w:val="20"/>
      <w:szCs w:val="20"/>
    </w:rPr>
  </w:style>
  <w:style w:type="paragraph" w:customStyle="1" w:styleId="TOC3Style">
    <w:name w:val="TOC 3 Style"/>
    <w:basedOn w:val="TOC3"/>
    <w:link w:val="TOC3StyleChar"/>
    <w:qFormat/>
    <w:rsid w:val="00F34383"/>
    <w:pPr>
      <w:tabs>
        <w:tab w:val="right" w:leader="dot" w:pos="9060"/>
      </w:tabs>
    </w:pPr>
    <w:rPr>
      <w:noProof/>
    </w:rPr>
  </w:style>
  <w:style w:type="character" w:customStyle="1" w:styleId="TOC2styleChar">
    <w:name w:val="TOC 2 style Char"/>
    <w:basedOn w:val="TOC2Char"/>
    <w:link w:val="TOC2style"/>
    <w:rsid w:val="00F34383"/>
    <w:rPr>
      <w:rFonts w:asciiTheme="minorHAnsi" w:hAnsiTheme="minorHAnsi" w:cstheme="minorHAnsi"/>
      <w:smallCaps/>
      <w:noProof/>
      <w:color w:val="58595B" w:themeColor="accent2"/>
      <w:sz w:val="20"/>
      <w:szCs w:val="20"/>
    </w:rPr>
  </w:style>
  <w:style w:type="paragraph" w:customStyle="1" w:styleId="Footnotestyle">
    <w:name w:val="Footnote style"/>
    <w:basedOn w:val="FootnoteText"/>
    <w:link w:val="FootnotestyleChar"/>
    <w:qFormat/>
    <w:rsid w:val="001208C4"/>
    <w:pPr>
      <w:tabs>
        <w:tab w:val="left" w:pos="0"/>
      </w:tabs>
      <w:spacing w:line="220" w:lineRule="exact"/>
      <w:ind w:left="113" w:hanging="113"/>
    </w:pPr>
    <w:rPr>
      <w:rFonts w:eastAsia="Calibri" w:cs="Times New Roman"/>
      <w:sz w:val="16"/>
    </w:rPr>
  </w:style>
  <w:style w:type="character" w:customStyle="1" w:styleId="TOC3Char">
    <w:name w:val="TOC 3 Char"/>
    <w:basedOn w:val="DefaultParagraphFont"/>
    <w:link w:val="TOC3"/>
    <w:uiPriority w:val="39"/>
    <w:rsid w:val="00F34383"/>
    <w:rPr>
      <w:rFonts w:asciiTheme="minorHAnsi" w:hAnsiTheme="minorHAnsi" w:cstheme="minorHAnsi"/>
      <w:i/>
      <w:iCs/>
      <w:color w:val="58595B" w:themeColor="accent2"/>
      <w:sz w:val="20"/>
      <w:szCs w:val="20"/>
    </w:rPr>
  </w:style>
  <w:style w:type="character" w:customStyle="1" w:styleId="TOC3StyleChar">
    <w:name w:val="TOC 3 Style Char"/>
    <w:basedOn w:val="TOC3Char"/>
    <w:link w:val="TOC3Style"/>
    <w:rsid w:val="00F34383"/>
    <w:rPr>
      <w:rFonts w:asciiTheme="minorHAnsi" w:hAnsiTheme="minorHAnsi" w:cstheme="minorHAnsi"/>
      <w:i/>
      <w:iCs/>
      <w:noProof/>
      <w:color w:val="58595B" w:themeColor="accent2"/>
      <w:sz w:val="20"/>
      <w:szCs w:val="20"/>
    </w:rPr>
  </w:style>
  <w:style w:type="paragraph" w:customStyle="1" w:styleId="Normaltext">
    <w:name w:val="Normal text"/>
    <w:basedOn w:val="Normal"/>
    <w:link w:val="NormaltextChar"/>
    <w:qFormat/>
    <w:rsid w:val="00F34383"/>
    <w:pPr>
      <w:spacing w:before="180" w:after="0" w:line="260" w:lineRule="exact"/>
    </w:pPr>
    <w:rPr>
      <w:rFonts w:ascii="Calibri" w:hAnsi="Calibri"/>
      <w:color w:val="auto"/>
      <w:sz w:val="22"/>
    </w:rPr>
  </w:style>
  <w:style w:type="character" w:customStyle="1" w:styleId="FootnotestyleChar">
    <w:name w:val="Footnote style Char"/>
    <w:basedOn w:val="FootnoteTextChar"/>
    <w:link w:val="Footnotestyle"/>
    <w:rsid w:val="001208C4"/>
    <w:rPr>
      <w:rFonts w:ascii="Calibri Light" w:eastAsia="Calibri" w:hAnsi="Calibri Light" w:cs="Times New Roman"/>
      <w:color w:val="58595B" w:themeColor="accent2"/>
      <w:sz w:val="16"/>
      <w:szCs w:val="20"/>
    </w:rPr>
  </w:style>
  <w:style w:type="character" w:customStyle="1" w:styleId="NormaltextChar">
    <w:name w:val="Normal text Char"/>
    <w:basedOn w:val="DefaultParagraphFont"/>
    <w:link w:val="Normaltext"/>
    <w:rsid w:val="00F34383"/>
  </w:style>
  <w:style w:type="paragraph" w:customStyle="1" w:styleId="NormalBulletlistL1">
    <w:name w:val="Normal Bullet list L1"/>
    <w:basedOn w:val="NormalbulletlistL10"/>
    <w:link w:val="NormalBulletlistL1Char0"/>
    <w:qFormat/>
    <w:rsid w:val="00F34383"/>
    <w:pPr>
      <w:numPr>
        <w:numId w:val="30"/>
      </w:numPr>
      <w:ind w:left="357" w:hanging="357"/>
    </w:pPr>
  </w:style>
  <w:style w:type="character" w:customStyle="1" w:styleId="Normal1stparaChar">
    <w:name w:val="Normal 1st para Char"/>
    <w:basedOn w:val="DefaultParagraphFont"/>
    <w:link w:val="Normal1stpara"/>
    <w:rsid w:val="00F34383"/>
    <w:rPr>
      <w:rFonts w:eastAsia="Calibri" w:cs="Times New Roman"/>
    </w:rPr>
  </w:style>
  <w:style w:type="paragraph" w:customStyle="1" w:styleId="Style1">
    <w:name w:val="Style1"/>
    <w:basedOn w:val="NormalbulletlistL2"/>
    <w:link w:val="Style1Char"/>
    <w:rsid w:val="00F34383"/>
    <w:pPr>
      <w:ind w:left="714"/>
    </w:pPr>
  </w:style>
  <w:style w:type="character" w:customStyle="1" w:styleId="NormalbulletlistL1Char">
    <w:name w:val="Normal bullet list L1 Char"/>
    <w:basedOn w:val="DefaultParagraphFont"/>
    <w:link w:val="NormalbulletlistL10"/>
    <w:rsid w:val="00F34383"/>
    <w:rPr>
      <w:rFonts w:eastAsia="Calibri" w:cs="Times New Roman"/>
      <w:sz w:val="20"/>
    </w:rPr>
  </w:style>
  <w:style w:type="character" w:customStyle="1" w:styleId="NormalBulletlistL1Char0">
    <w:name w:val="Normal Bullet list L1 Char"/>
    <w:basedOn w:val="NormalbulletlistL1Char"/>
    <w:link w:val="NormalBulletlistL1"/>
    <w:rsid w:val="00F34383"/>
    <w:rPr>
      <w:rFonts w:eastAsia="Calibri" w:cs="Times New Roman"/>
      <w:sz w:val="20"/>
    </w:rPr>
  </w:style>
  <w:style w:type="table" w:styleId="GridTable4-Accent5">
    <w:name w:val="Grid Table 4 Accent 5"/>
    <w:basedOn w:val="TableNormal"/>
    <w:uiPriority w:val="49"/>
    <w:rsid w:val="00F34383"/>
    <w:pPr>
      <w:spacing w:before="0" w:line="240" w:lineRule="auto"/>
    </w:pPr>
    <w:rPr>
      <w:rFonts w:asciiTheme="minorHAnsi" w:hAnsiTheme="minorHAnsi"/>
    </w:rPr>
    <w:tblPr>
      <w:tblStyleRowBandSize w:val="1"/>
      <w:tblStyleColBandSize w:val="1"/>
      <w:tblBorders>
        <w:top w:val="single" w:sz="8" w:space="0" w:color="BCBEC0" w:themeColor="accent5"/>
        <w:left w:val="single" w:sz="8" w:space="0" w:color="BCBEC0" w:themeColor="accent5"/>
        <w:bottom w:val="single" w:sz="8" w:space="0" w:color="BCBEC0" w:themeColor="accent5"/>
        <w:right w:val="single" w:sz="8" w:space="0" w:color="BCBEC0" w:themeColor="accent5"/>
        <w:insideH w:val="single" w:sz="8" w:space="0" w:color="BCBEC0" w:themeColor="accent5"/>
        <w:insideV w:val="single" w:sz="8" w:space="0" w:color="BCBEC0" w:themeColor="accent5"/>
      </w:tblBorders>
    </w:tblPr>
    <w:tblStylePr w:type="firstRow">
      <w:rPr>
        <w:b/>
        <w:bCs/>
        <w:color w:val="FFFFFF" w:themeColor="background1"/>
      </w:rPr>
      <w:tblPr/>
      <w:tcPr>
        <w:tcBorders>
          <w:top w:val="single" w:sz="4" w:space="0" w:color="BCBEC0" w:themeColor="accent5"/>
          <w:left w:val="single" w:sz="4" w:space="0" w:color="BCBEC0" w:themeColor="accent5"/>
          <w:bottom w:val="single" w:sz="4" w:space="0" w:color="BCBEC0" w:themeColor="accent5"/>
          <w:right w:val="single" w:sz="4" w:space="0" w:color="BCBEC0" w:themeColor="accent5"/>
          <w:insideH w:val="nil"/>
          <w:insideV w:val="nil"/>
        </w:tcBorders>
        <w:shd w:val="clear" w:color="auto" w:fill="BCBEC0" w:themeFill="accent5"/>
      </w:tcPr>
    </w:tblStylePr>
    <w:tblStylePr w:type="lastRow">
      <w:rPr>
        <w:b/>
        <w:bCs/>
      </w:rPr>
      <w:tblPr/>
      <w:tcPr>
        <w:tcBorders>
          <w:top w:val="double" w:sz="4" w:space="0" w:color="BCBEC0" w:themeColor="accent5"/>
        </w:tcBorders>
      </w:tcPr>
    </w:tblStylePr>
    <w:tblStylePr w:type="firstCol">
      <w:rPr>
        <w:b/>
        <w:bCs/>
      </w:rPr>
    </w:tblStylePr>
    <w:tblStylePr w:type="lastCol">
      <w:rPr>
        <w:b/>
        <w:bCs/>
      </w:rPr>
    </w:tblStylePr>
    <w:tblStylePr w:type="band1Vert">
      <w:tblPr/>
      <w:tcPr>
        <w:shd w:val="clear" w:color="auto" w:fill="F1F1F2" w:themeFill="accent5" w:themeFillTint="33"/>
      </w:tcPr>
    </w:tblStylePr>
    <w:tblStylePr w:type="band1Horz">
      <w:tblPr/>
      <w:tcPr>
        <w:shd w:val="clear" w:color="auto" w:fill="F1F1F2" w:themeFill="accent5" w:themeFillTint="33"/>
      </w:tcPr>
    </w:tblStylePr>
  </w:style>
  <w:style w:type="character" w:customStyle="1" w:styleId="NormalbulletlistL2Char">
    <w:name w:val="Normal bullet list L2 Char"/>
    <w:basedOn w:val="NormalbulletlistL1Char"/>
    <w:link w:val="NormalbulletlistL2"/>
    <w:rsid w:val="00F34383"/>
    <w:rPr>
      <w:rFonts w:eastAsia="Calibri" w:cs="Times New Roman"/>
      <w:sz w:val="20"/>
    </w:rPr>
  </w:style>
  <w:style w:type="character" w:customStyle="1" w:styleId="Style1Char">
    <w:name w:val="Style1 Char"/>
    <w:basedOn w:val="NormalbulletlistL2Char"/>
    <w:link w:val="Style1"/>
    <w:rsid w:val="00F34383"/>
    <w:rPr>
      <w:rFonts w:eastAsia="Calibri" w:cs="Times New Roman"/>
      <w:sz w:val="20"/>
    </w:rPr>
  </w:style>
  <w:style w:type="table" w:styleId="ListTable4-Accent6">
    <w:name w:val="List Table 4 Accent 6"/>
    <w:basedOn w:val="TableNormal"/>
    <w:uiPriority w:val="49"/>
    <w:rsid w:val="00F34383"/>
    <w:pPr>
      <w:spacing w:before="0" w:line="240" w:lineRule="auto"/>
    </w:pPr>
    <w:rPr>
      <w:rFonts w:asciiTheme="minorHAnsi" w:hAnsiTheme="minorHAnsi"/>
    </w:rPr>
    <w:tblPr>
      <w:tblStyleRowBandSize w:val="1"/>
      <w:tblStyleColBandSize w:val="1"/>
      <w:tblBorders>
        <w:top w:val="single" w:sz="4" w:space="0" w:color="EFF0F1" w:themeColor="accent6" w:themeTint="99"/>
        <w:left w:val="single" w:sz="4" w:space="0" w:color="EFF0F1" w:themeColor="accent6" w:themeTint="99"/>
        <w:bottom w:val="single" w:sz="4" w:space="0" w:color="EFF0F1" w:themeColor="accent6" w:themeTint="99"/>
        <w:right w:val="single" w:sz="4" w:space="0" w:color="EFF0F1" w:themeColor="accent6" w:themeTint="99"/>
        <w:insideH w:val="single" w:sz="4" w:space="0" w:color="EFF0F1" w:themeColor="accent6" w:themeTint="99"/>
      </w:tblBorders>
    </w:tblPr>
    <w:tblStylePr w:type="firstRow">
      <w:rPr>
        <w:b/>
        <w:bCs/>
        <w:color w:val="FFFFFF" w:themeColor="background1"/>
      </w:rPr>
      <w:tblPr/>
      <w:tcPr>
        <w:shd w:val="clear" w:color="auto" w:fill="6D6E71" w:themeFill="accent3"/>
      </w:tcPr>
    </w:tblStylePr>
    <w:tblStylePr w:type="lastRow">
      <w:rPr>
        <w:b/>
        <w:bCs/>
      </w:rPr>
      <w:tblPr/>
      <w:tcPr>
        <w:tcBorders>
          <w:top w:val="double" w:sz="4" w:space="0" w:color="EFF0F1" w:themeColor="accent6" w:themeTint="99"/>
        </w:tcBorders>
      </w:tcPr>
    </w:tblStylePr>
    <w:tblStylePr w:type="firstCol">
      <w:rPr>
        <w:b/>
        <w:bCs/>
      </w:rPr>
    </w:tblStylePr>
    <w:tblStylePr w:type="lastCol">
      <w:rPr>
        <w:b/>
        <w:bCs/>
      </w:rPr>
    </w:tblStylePr>
    <w:tblStylePr w:type="band1Vert">
      <w:tblPr/>
      <w:tcPr>
        <w:shd w:val="clear" w:color="auto" w:fill="F9FAFA" w:themeFill="accent6" w:themeFillTint="33"/>
      </w:tcPr>
    </w:tblStylePr>
    <w:tblStylePr w:type="band1Horz">
      <w:tblPr/>
      <w:tcPr>
        <w:shd w:val="clear" w:color="auto" w:fill="F9FAFA" w:themeFill="accent6" w:themeFillTint="33"/>
      </w:tcPr>
    </w:tblStylePr>
  </w:style>
  <w:style w:type="table" w:styleId="GridTable1Light-Accent3">
    <w:name w:val="Grid Table 1 Light Accent 3"/>
    <w:basedOn w:val="TableNormal"/>
    <w:uiPriority w:val="46"/>
    <w:rsid w:val="00F34383"/>
    <w:pPr>
      <w:spacing w:before="0" w:line="240" w:lineRule="auto"/>
    </w:pPr>
    <w:rPr>
      <w:rFonts w:asciiTheme="minorHAnsi" w:hAnsiTheme="minorHAnsi"/>
    </w:rPr>
    <w:tblPr>
      <w:tblStyleRowBandSize w:val="1"/>
      <w:tblStyleColBandSize w:val="1"/>
      <w:tblBorders>
        <w:top w:val="single" w:sz="8" w:space="0" w:color="6D6E71" w:themeColor="accent3"/>
        <w:left w:val="single" w:sz="8" w:space="0" w:color="6D6E71" w:themeColor="accent3"/>
        <w:bottom w:val="single" w:sz="8" w:space="0" w:color="6D6E71" w:themeColor="accent3"/>
        <w:right w:val="single" w:sz="8" w:space="0" w:color="6D6E71" w:themeColor="accent3"/>
        <w:insideH w:val="single" w:sz="8" w:space="0" w:color="6D6E71" w:themeColor="accent3"/>
        <w:insideV w:val="single" w:sz="8" w:space="0" w:color="6D6E71" w:themeColor="accent3"/>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table" w:customStyle="1" w:styleId="Keylinebox">
    <w:name w:val="Keyline box"/>
    <w:basedOn w:val="TableNormal"/>
    <w:uiPriority w:val="99"/>
    <w:rsid w:val="00F34383"/>
    <w:pPr>
      <w:spacing w:before="0" w:line="240" w:lineRule="auto"/>
    </w:pPr>
    <w:rPr>
      <w:rFonts w:asciiTheme="minorHAnsi" w:hAnsiTheme="minorHAnsi"/>
    </w:rPr>
    <w:tblPr>
      <w:tblStyleRowBandSize w:val="1"/>
      <w:tblBorders>
        <w:top w:val="single" w:sz="12" w:space="0" w:color="6D6E71" w:themeColor="accent3"/>
        <w:left w:val="single" w:sz="12" w:space="0" w:color="6D6E71" w:themeColor="accent3"/>
        <w:bottom w:val="single" w:sz="12" w:space="0" w:color="6D6E71" w:themeColor="accent3"/>
        <w:right w:val="single" w:sz="12" w:space="0" w:color="6D6E71"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F34383"/>
    <w:pPr>
      <w:spacing w:before="60"/>
    </w:pPr>
  </w:style>
  <w:style w:type="character" w:customStyle="1" w:styleId="Boxtext1stparaChar">
    <w:name w:val="Box text 1st para Char"/>
    <w:basedOn w:val="DefaultParagraphFont"/>
    <w:link w:val="Boxtext1stpara"/>
    <w:rsid w:val="00F34383"/>
    <w:rPr>
      <w:rFonts w:eastAsia="Calibri" w:cs="Times New Roman"/>
      <w:szCs w:val="20"/>
      <w:lang w:eastAsia="en-AU"/>
    </w:rPr>
  </w:style>
  <w:style w:type="character" w:customStyle="1" w:styleId="Boxtext1Char">
    <w:name w:val="Box text 1 Char"/>
    <w:basedOn w:val="Boxtext1stparaChar"/>
    <w:link w:val="Boxtext1"/>
    <w:rsid w:val="00F34383"/>
    <w:rPr>
      <w:rFonts w:eastAsia="Calibri" w:cs="Times New Roman"/>
      <w:szCs w:val="20"/>
      <w:lang w:eastAsia="en-AU"/>
    </w:rPr>
  </w:style>
  <w:style w:type="paragraph" w:customStyle="1" w:styleId="NormallistofNotes">
    <w:name w:val="Normal list of Notes"/>
    <w:basedOn w:val="Normal"/>
    <w:qFormat/>
    <w:rsid w:val="00F34383"/>
    <w:pPr>
      <w:spacing w:before="120" w:after="0" w:line="250" w:lineRule="exact"/>
      <w:ind w:left="1134" w:hanging="1134"/>
    </w:pPr>
    <w:rPr>
      <w:rFonts w:asciiTheme="minorHAnsi" w:eastAsia="Times New Roman" w:hAnsiTheme="minorHAnsi" w:cs="Times New Roman"/>
      <w:color w:val="auto"/>
      <w:szCs w:val="20"/>
    </w:rPr>
  </w:style>
  <w:style w:type="paragraph" w:customStyle="1" w:styleId="Normal115pttext">
    <w:name w:val="Normal 11.5 pt text"/>
    <w:basedOn w:val="Normal"/>
    <w:qFormat/>
    <w:rsid w:val="00F34383"/>
    <w:pPr>
      <w:spacing w:before="120" w:after="0" w:line="280" w:lineRule="exact"/>
      <w:outlineLvl w:val="0"/>
    </w:pPr>
    <w:rPr>
      <w:rFonts w:asciiTheme="minorHAnsi" w:eastAsia="Times New Roman" w:hAnsiTheme="minorHAnsi" w:cs="Arial"/>
      <w:b/>
      <w:color w:val="auto"/>
      <w:sz w:val="23"/>
      <w:szCs w:val="20"/>
    </w:rPr>
  </w:style>
  <w:style w:type="paragraph" w:customStyle="1" w:styleId="Normalhanginglist105pt">
    <w:name w:val="Normal hanging list 10.5 pt"/>
    <w:basedOn w:val="Normal"/>
    <w:qFormat/>
    <w:rsid w:val="00F34383"/>
    <w:pPr>
      <w:spacing w:before="120" w:after="0" w:line="260" w:lineRule="exact"/>
      <w:ind w:left="454" w:hanging="454"/>
    </w:pPr>
    <w:rPr>
      <w:rFonts w:asciiTheme="minorHAnsi" w:eastAsia="Times New Roman" w:hAnsiTheme="minorHAnsi" w:cs="Arial"/>
      <w:b/>
      <w:bCs/>
      <w:color w:val="auto"/>
      <w:sz w:val="21"/>
      <w:szCs w:val="18"/>
      <w:lang w:eastAsia="en-AU"/>
    </w:rPr>
  </w:style>
  <w:style w:type="paragraph" w:customStyle="1" w:styleId="Normalindent1stpara">
    <w:name w:val="Normal indent 1st para"/>
    <w:basedOn w:val="Normal"/>
    <w:qFormat/>
    <w:rsid w:val="00F34383"/>
    <w:pPr>
      <w:spacing w:before="40" w:after="0" w:line="250" w:lineRule="exact"/>
      <w:ind w:left="454"/>
    </w:pPr>
    <w:rPr>
      <w:rFonts w:asciiTheme="minorHAnsi" w:eastAsia="Times New Roman" w:hAnsiTheme="minorHAnsi" w:cs="Arial"/>
      <w:color w:val="auto"/>
      <w:szCs w:val="18"/>
    </w:rPr>
  </w:style>
  <w:style w:type="paragraph" w:customStyle="1" w:styleId="NormalIndent1">
    <w:name w:val="Normal Indent1"/>
    <w:basedOn w:val="Normalindent1stpara"/>
    <w:qFormat/>
    <w:rsid w:val="00F34383"/>
    <w:pPr>
      <w:spacing w:before="120"/>
    </w:pPr>
    <w:rPr>
      <w:lang w:eastAsia="en-AU"/>
    </w:rPr>
  </w:style>
  <w:style w:type="paragraph" w:customStyle="1" w:styleId="NormalindentbulletsL1">
    <w:name w:val="Normal indent bullets L1"/>
    <w:basedOn w:val="ListParagraph"/>
    <w:qFormat/>
    <w:rsid w:val="00F34383"/>
    <w:pPr>
      <w:numPr>
        <w:numId w:val="31"/>
      </w:numPr>
      <w:spacing w:before="60" w:after="0" w:line="250" w:lineRule="exact"/>
      <w:contextualSpacing w:val="0"/>
    </w:pPr>
    <w:rPr>
      <w:rFonts w:asciiTheme="minorHAnsi" w:eastAsia="Times New Roman" w:hAnsiTheme="minorHAnsi" w:cs="Arial"/>
      <w:color w:val="auto"/>
      <w:szCs w:val="18"/>
      <w:lang w:eastAsia="en-AU"/>
    </w:rPr>
  </w:style>
  <w:style w:type="paragraph" w:customStyle="1" w:styleId="Normal105pttext">
    <w:name w:val="Normal 10.5 pt text"/>
    <w:basedOn w:val="Normal"/>
    <w:qFormat/>
    <w:rsid w:val="00F34383"/>
    <w:pPr>
      <w:spacing w:before="120" w:after="0" w:line="260" w:lineRule="exact"/>
    </w:pPr>
    <w:rPr>
      <w:rFonts w:asciiTheme="minorHAnsi" w:eastAsia="Times New Roman" w:hAnsiTheme="minorHAnsi" w:cs="Times New Roman"/>
      <w:color w:val="auto"/>
      <w:sz w:val="21"/>
      <w:szCs w:val="20"/>
    </w:rPr>
  </w:style>
  <w:style w:type="paragraph" w:customStyle="1" w:styleId="Policyheading">
    <w:name w:val="Policy heading"/>
    <w:basedOn w:val="Normal"/>
    <w:qFormat/>
    <w:rsid w:val="00F34383"/>
    <w:pPr>
      <w:spacing w:after="0" w:line="250" w:lineRule="exact"/>
    </w:pPr>
    <w:rPr>
      <w:rFonts w:asciiTheme="minorHAnsi" w:eastAsia="Times New Roman" w:hAnsiTheme="minorHAnsi" w:cs="Arial"/>
      <w:b/>
      <w:bCs/>
      <w:color w:val="auto"/>
      <w:sz w:val="21"/>
      <w:szCs w:val="20"/>
    </w:rPr>
  </w:style>
  <w:style w:type="paragraph" w:customStyle="1" w:styleId="Policy1stpara">
    <w:name w:val="Policy 1st para"/>
    <w:basedOn w:val="Normal"/>
    <w:qFormat/>
    <w:rsid w:val="00F34383"/>
    <w:pPr>
      <w:spacing w:before="120" w:after="0" w:line="250" w:lineRule="exact"/>
    </w:pPr>
    <w:rPr>
      <w:rFonts w:asciiTheme="minorHAnsi" w:eastAsia="Times New Roman" w:hAnsiTheme="minorHAnsi" w:cs="Times New Roman"/>
      <w:color w:val="auto"/>
      <w:szCs w:val="20"/>
    </w:rPr>
  </w:style>
  <w:style w:type="paragraph" w:customStyle="1" w:styleId="Normaltabletextleft">
    <w:name w:val="Normal table text left"/>
    <w:basedOn w:val="Normal"/>
    <w:qFormat/>
    <w:rsid w:val="00F34383"/>
    <w:pPr>
      <w:spacing w:after="0" w:line="250" w:lineRule="exact"/>
    </w:pPr>
    <w:rPr>
      <w:rFonts w:asciiTheme="minorHAnsi" w:eastAsia="Times New Roman" w:hAnsiTheme="minorHAnsi" w:cs="Arial"/>
      <w:bCs/>
      <w:color w:val="auto"/>
      <w:szCs w:val="18"/>
    </w:rPr>
  </w:style>
  <w:style w:type="paragraph" w:customStyle="1" w:styleId="Normaltabletextcentred">
    <w:name w:val="Normal table text centred"/>
    <w:basedOn w:val="Normal"/>
    <w:qFormat/>
    <w:rsid w:val="00F34383"/>
    <w:pPr>
      <w:spacing w:after="0" w:line="250" w:lineRule="exact"/>
      <w:jc w:val="center"/>
    </w:pPr>
    <w:rPr>
      <w:rFonts w:asciiTheme="minorHAnsi" w:eastAsia="Times New Roman" w:hAnsiTheme="minorHAnsi" w:cs="Arial"/>
      <w:bCs/>
      <w:color w:val="auto"/>
      <w:szCs w:val="18"/>
    </w:rPr>
  </w:style>
  <w:style w:type="paragraph" w:customStyle="1" w:styleId="Normaltabletext1stpararight">
    <w:name w:val="Normal table text 1st para right"/>
    <w:basedOn w:val="Normal"/>
    <w:qFormat/>
    <w:rsid w:val="00F34383"/>
    <w:pPr>
      <w:spacing w:after="0" w:line="250" w:lineRule="exact"/>
      <w:jc w:val="right"/>
    </w:pPr>
    <w:rPr>
      <w:rFonts w:asciiTheme="minorHAnsi" w:eastAsia="Times New Roman" w:hAnsiTheme="minorHAnsi" w:cs="Arial"/>
      <w:bCs/>
      <w:color w:val="auto"/>
      <w:szCs w:val="18"/>
    </w:rPr>
  </w:style>
  <w:style w:type="paragraph" w:customStyle="1" w:styleId="Noteswithhangingindent">
    <w:name w:val="Notes with hanging indent"/>
    <w:basedOn w:val="Notes"/>
    <w:qFormat/>
    <w:rsid w:val="00F34383"/>
    <w:pPr>
      <w:suppressAutoHyphens w:val="0"/>
      <w:autoSpaceDE/>
      <w:autoSpaceDN/>
      <w:adjustRightInd/>
      <w:spacing w:before="60" w:line="230" w:lineRule="exact"/>
      <w:ind w:left="284" w:hanging="284"/>
      <w:textAlignment w:val="auto"/>
    </w:pPr>
    <w:rPr>
      <w:rFonts w:asciiTheme="minorHAnsi" w:eastAsia="Times New Roman" w:hAnsiTheme="minorHAnsi" w:cs="Arial"/>
      <w:spacing w:val="0"/>
      <w:sz w:val="17"/>
      <w:lang w:val="en-AU" w:eastAsia="en-AU"/>
    </w:rPr>
  </w:style>
  <w:style w:type="paragraph" w:customStyle="1" w:styleId="Policyfollowingparas">
    <w:name w:val="Policy following paras"/>
    <w:basedOn w:val="Policy1stpara"/>
    <w:qFormat/>
    <w:rsid w:val="00F34383"/>
    <w:pPr>
      <w:spacing w:before="80"/>
    </w:pPr>
    <w:rPr>
      <w:lang w:eastAsia="en-AU"/>
    </w:rPr>
  </w:style>
  <w:style w:type="paragraph" w:customStyle="1" w:styleId="NormalhangingllistL2">
    <w:name w:val="Normal hangingl list L2"/>
    <w:basedOn w:val="Normal"/>
    <w:qFormat/>
    <w:rsid w:val="00F34383"/>
    <w:pPr>
      <w:spacing w:before="120" w:after="0" w:line="250" w:lineRule="exact"/>
      <w:ind w:left="811" w:hanging="357"/>
    </w:pPr>
    <w:rPr>
      <w:rFonts w:asciiTheme="minorHAnsi" w:eastAsia="Times New Roman" w:hAnsiTheme="minorHAnsi" w:cs="Arial"/>
      <w:b/>
      <w:bCs/>
      <w:i/>
      <w:color w:val="auto"/>
      <w:szCs w:val="18"/>
      <w:lang w:eastAsia="en-AU"/>
    </w:rPr>
  </w:style>
  <w:style w:type="paragraph" w:customStyle="1" w:styleId="NormalindentbulletsL2">
    <w:name w:val="Normal indent bullets L2"/>
    <w:basedOn w:val="Normal"/>
    <w:qFormat/>
    <w:rsid w:val="00F34383"/>
    <w:pPr>
      <w:numPr>
        <w:ilvl w:val="1"/>
        <w:numId w:val="32"/>
      </w:numPr>
      <w:tabs>
        <w:tab w:val="left" w:pos="361"/>
      </w:tabs>
      <w:spacing w:before="30" w:after="0" w:line="250" w:lineRule="exact"/>
    </w:pPr>
    <w:rPr>
      <w:rFonts w:asciiTheme="minorHAnsi" w:eastAsia="Times New Roman" w:hAnsiTheme="minorHAnsi" w:cs="Arial"/>
      <w:color w:val="auto"/>
      <w:szCs w:val="18"/>
      <w:lang w:eastAsia="en-AU"/>
    </w:rPr>
  </w:style>
  <w:style w:type="paragraph" w:customStyle="1" w:styleId="Policyindented">
    <w:name w:val="Policy indented"/>
    <w:basedOn w:val="Policy1stpara"/>
    <w:qFormat/>
    <w:rsid w:val="00F34383"/>
    <w:pPr>
      <w:tabs>
        <w:tab w:val="left" w:pos="4536"/>
      </w:tabs>
      <w:spacing w:before="40"/>
      <w:ind w:left="454"/>
    </w:pPr>
  </w:style>
  <w:style w:type="table" w:styleId="GridTable2">
    <w:name w:val="Grid Table 2"/>
    <w:basedOn w:val="TableNormal"/>
    <w:uiPriority w:val="47"/>
    <w:rsid w:val="00F34383"/>
    <w:pPr>
      <w:spacing w:before="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paragraph" w:customStyle="1" w:styleId="Normal115pttextnospacebefore">
    <w:name w:val="Normal 11.5 pt text no space before"/>
    <w:basedOn w:val="Normal115pttext"/>
    <w:qFormat/>
    <w:rsid w:val="00F34383"/>
    <w:pPr>
      <w:spacing w:before="0"/>
    </w:pPr>
    <w:rPr>
      <w:lang w:eastAsia="en-AU"/>
    </w:rPr>
  </w:style>
  <w:style w:type="table" w:styleId="Table3Deffects1">
    <w:name w:val="Table 3D effects 1"/>
    <w:basedOn w:val="TableNormal"/>
    <w:rsid w:val="00F34383"/>
    <w:pPr>
      <w:spacing w:before="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F34383"/>
    <w:pPr>
      <w:ind w:left="567" w:hanging="567"/>
    </w:pPr>
    <w:rPr>
      <w:rFonts w:asciiTheme="minorHAnsi" w:eastAsia="Times New Roman" w:hAnsiTheme="minorHAnsi" w:cs="Arial"/>
      <w:bCs/>
      <w:sz w:val="20"/>
      <w:szCs w:val="18"/>
      <w:lang w:eastAsia="en-AU"/>
    </w:rPr>
  </w:style>
  <w:style w:type="paragraph" w:styleId="BodyText">
    <w:name w:val="Body Text"/>
    <w:basedOn w:val="Normal"/>
    <w:link w:val="BodyTextChar"/>
    <w:uiPriority w:val="1"/>
    <w:qFormat/>
    <w:rsid w:val="00D2285C"/>
    <w:pPr>
      <w:widowControl w:val="0"/>
      <w:autoSpaceDE w:val="0"/>
      <w:autoSpaceDN w:val="0"/>
      <w:spacing w:after="0"/>
    </w:pPr>
    <w:rPr>
      <w:rFonts w:ascii="Arial" w:eastAsia="Arial" w:hAnsi="Arial" w:cs="Arial"/>
      <w:color w:val="auto"/>
      <w:sz w:val="21"/>
      <w:szCs w:val="21"/>
      <w:lang w:val="en-US"/>
    </w:rPr>
  </w:style>
  <w:style w:type="character" w:customStyle="1" w:styleId="BodyTextChar">
    <w:name w:val="Body Text Char"/>
    <w:basedOn w:val="DefaultParagraphFont"/>
    <w:link w:val="BodyText"/>
    <w:uiPriority w:val="1"/>
    <w:rsid w:val="00D2285C"/>
    <w:rPr>
      <w:rFonts w:ascii="Arial" w:eastAsia="Arial" w:hAnsi="Arial" w:cs="Arial"/>
      <w:sz w:val="21"/>
      <w:szCs w:val="21"/>
      <w:lang w:val="en-US"/>
    </w:rPr>
  </w:style>
  <w:style w:type="paragraph" w:styleId="Title">
    <w:name w:val="Title"/>
    <w:basedOn w:val="Normal"/>
    <w:link w:val="TitleChar"/>
    <w:uiPriority w:val="10"/>
    <w:qFormat/>
    <w:rsid w:val="00D2285C"/>
    <w:pPr>
      <w:widowControl w:val="0"/>
      <w:autoSpaceDE w:val="0"/>
      <w:autoSpaceDN w:val="0"/>
      <w:spacing w:before="98" w:after="0"/>
      <w:ind w:left="155"/>
    </w:pPr>
    <w:rPr>
      <w:rFonts w:ascii="Arial" w:eastAsia="Arial" w:hAnsi="Arial" w:cs="Arial"/>
      <w:b/>
      <w:bCs/>
      <w:color w:val="auto"/>
      <w:sz w:val="22"/>
      <w:lang w:val="en-US"/>
    </w:rPr>
  </w:style>
  <w:style w:type="character" w:customStyle="1" w:styleId="TitleChar">
    <w:name w:val="Title Char"/>
    <w:basedOn w:val="DefaultParagraphFont"/>
    <w:link w:val="Title"/>
    <w:uiPriority w:val="10"/>
    <w:rsid w:val="00D2285C"/>
    <w:rPr>
      <w:rFonts w:ascii="Arial" w:eastAsia="Arial" w:hAnsi="Arial" w:cs="Arial"/>
      <w:b/>
      <w:bCs/>
      <w:lang w:val="en-US"/>
    </w:rPr>
  </w:style>
  <w:style w:type="paragraph" w:styleId="Bibliography">
    <w:name w:val="Bibliography"/>
    <w:basedOn w:val="Normal"/>
    <w:next w:val="Normal"/>
    <w:uiPriority w:val="37"/>
    <w:semiHidden/>
    <w:unhideWhenUsed/>
    <w:rsid w:val="00CA7F44"/>
  </w:style>
  <w:style w:type="paragraph" w:styleId="BlockText">
    <w:name w:val="Block Text"/>
    <w:basedOn w:val="Normal"/>
    <w:uiPriority w:val="99"/>
    <w:semiHidden/>
    <w:unhideWhenUsed/>
    <w:rsid w:val="00CA7F44"/>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i/>
      <w:iCs/>
      <w:color w:val="000000" w:themeColor="accent1"/>
    </w:rPr>
  </w:style>
  <w:style w:type="paragraph" w:styleId="BodyText2">
    <w:name w:val="Body Text 2"/>
    <w:basedOn w:val="Normal"/>
    <w:link w:val="BodyText2Char"/>
    <w:uiPriority w:val="99"/>
    <w:semiHidden/>
    <w:unhideWhenUsed/>
    <w:rsid w:val="00CA7F44"/>
    <w:pPr>
      <w:spacing w:after="120" w:line="480" w:lineRule="auto"/>
    </w:pPr>
  </w:style>
  <w:style w:type="character" w:customStyle="1" w:styleId="BodyText2Char">
    <w:name w:val="Body Text 2 Char"/>
    <w:basedOn w:val="DefaultParagraphFont"/>
    <w:link w:val="BodyText2"/>
    <w:uiPriority w:val="99"/>
    <w:semiHidden/>
    <w:rsid w:val="00CA7F44"/>
    <w:rPr>
      <w:rFonts w:ascii="Calibri Light" w:hAnsi="Calibri Light"/>
      <w:color w:val="58595B" w:themeColor="accent2"/>
      <w:sz w:val="20"/>
    </w:rPr>
  </w:style>
  <w:style w:type="paragraph" w:styleId="BodyText3">
    <w:name w:val="Body Text 3"/>
    <w:basedOn w:val="Normal"/>
    <w:link w:val="BodyText3Char"/>
    <w:uiPriority w:val="99"/>
    <w:semiHidden/>
    <w:unhideWhenUsed/>
    <w:rsid w:val="00CA7F44"/>
    <w:pPr>
      <w:spacing w:after="120"/>
    </w:pPr>
    <w:rPr>
      <w:sz w:val="16"/>
      <w:szCs w:val="16"/>
    </w:rPr>
  </w:style>
  <w:style w:type="character" w:customStyle="1" w:styleId="BodyText3Char">
    <w:name w:val="Body Text 3 Char"/>
    <w:basedOn w:val="DefaultParagraphFont"/>
    <w:link w:val="BodyText3"/>
    <w:uiPriority w:val="99"/>
    <w:semiHidden/>
    <w:rsid w:val="00CA7F44"/>
    <w:rPr>
      <w:rFonts w:ascii="Calibri Light" w:hAnsi="Calibri Light"/>
      <w:color w:val="58595B" w:themeColor="accent2"/>
      <w:sz w:val="16"/>
      <w:szCs w:val="16"/>
    </w:rPr>
  </w:style>
  <w:style w:type="paragraph" w:styleId="BodyTextFirstIndent">
    <w:name w:val="Body Text First Indent"/>
    <w:basedOn w:val="BodyText"/>
    <w:link w:val="BodyTextFirstIndentChar"/>
    <w:uiPriority w:val="99"/>
    <w:semiHidden/>
    <w:unhideWhenUsed/>
    <w:rsid w:val="00CA7F44"/>
    <w:pPr>
      <w:widowControl/>
      <w:autoSpaceDE/>
      <w:autoSpaceDN/>
      <w:spacing w:after="160"/>
      <w:ind w:firstLine="360"/>
    </w:pPr>
    <w:rPr>
      <w:rFonts w:ascii="Calibri Light" w:eastAsiaTheme="minorHAnsi" w:hAnsi="Calibri Light" w:cstheme="minorBidi"/>
      <w:color w:val="58595B" w:themeColor="accent2"/>
      <w:sz w:val="20"/>
      <w:szCs w:val="22"/>
      <w:lang w:val="en-AU"/>
    </w:rPr>
  </w:style>
  <w:style w:type="character" w:customStyle="1" w:styleId="BodyTextFirstIndentChar">
    <w:name w:val="Body Text First Indent Char"/>
    <w:basedOn w:val="BodyTextChar"/>
    <w:link w:val="BodyTextFirstIndent"/>
    <w:uiPriority w:val="99"/>
    <w:semiHidden/>
    <w:rsid w:val="00CA7F44"/>
    <w:rPr>
      <w:rFonts w:ascii="Calibri Light" w:eastAsia="Arial" w:hAnsi="Calibri Light" w:cs="Arial"/>
      <w:color w:val="58595B" w:themeColor="accent2"/>
      <w:sz w:val="20"/>
      <w:szCs w:val="21"/>
      <w:lang w:val="en-US"/>
    </w:rPr>
  </w:style>
  <w:style w:type="paragraph" w:styleId="BodyTextIndent">
    <w:name w:val="Body Text Indent"/>
    <w:basedOn w:val="Normal"/>
    <w:link w:val="BodyTextIndentChar"/>
    <w:uiPriority w:val="99"/>
    <w:semiHidden/>
    <w:unhideWhenUsed/>
    <w:rsid w:val="00CA7F44"/>
    <w:pPr>
      <w:spacing w:after="120"/>
      <w:ind w:left="283"/>
    </w:pPr>
  </w:style>
  <w:style w:type="character" w:customStyle="1" w:styleId="BodyTextIndentChar">
    <w:name w:val="Body Text Indent Char"/>
    <w:basedOn w:val="DefaultParagraphFont"/>
    <w:link w:val="BodyTextIndent"/>
    <w:uiPriority w:val="99"/>
    <w:semiHidden/>
    <w:rsid w:val="00CA7F44"/>
    <w:rPr>
      <w:rFonts w:ascii="Calibri Light" w:hAnsi="Calibri Light"/>
      <w:color w:val="58595B" w:themeColor="accent2"/>
      <w:sz w:val="20"/>
    </w:rPr>
  </w:style>
  <w:style w:type="paragraph" w:styleId="BodyTextFirstIndent2">
    <w:name w:val="Body Text First Indent 2"/>
    <w:basedOn w:val="BodyTextIndent"/>
    <w:link w:val="BodyTextFirstIndent2Char"/>
    <w:uiPriority w:val="99"/>
    <w:semiHidden/>
    <w:unhideWhenUsed/>
    <w:rsid w:val="00CA7F4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A7F44"/>
    <w:rPr>
      <w:rFonts w:ascii="Calibri Light" w:hAnsi="Calibri Light"/>
      <w:color w:val="58595B" w:themeColor="accent2"/>
      <w:sz w:val="20"/>
    </w:rPr>
  </w:style>
  <w:style w:type="paragraph" w:styleId="BodyTextIndent2">
    <w:name w:val="Body Text Indent 2"/>
    <w:basedOn w:val="Normal"/>
    <w:link w:val="BodyTextIndent2Char"/>
    <w:uiPriority w:val="99"/>
    <w:semiHidden/>
    <w:unhideWhenUsed/>
    <w:rsid w:val="00CA7F44"/>
    <w:pPr>
      <w:spacing w:after="120" w:line="480" w:lineRule="auto"/>
      <w:ind w:left="283"/>
    </w:pPr>
  </w:style>
  <w:style w:type="character" w:customStyle="1" w:styleId="BodyTextIndent2Char">
    <w:name w:val="Body Text Indent 2 Char"/>
    <w:basedOn w:val="DefaultParagraphFont"/>
    <w:link w:val="BodyTextIndent2"/>
    <w:uiPriority w:val="99"/>
    <w:semiHidden/>
    <w:rsid w:val="00CA7F44"/>
    <w:rPr>
      <w:rFonts w:ascii="Calibri Light" w:hAnsi="Calibri Light"/>
      <w:color w:val="58595B" w:themeColor="accent2"/>
      <w:sz w:val="20"/>
    </w:rPr>
  </w:style>
  <w:style w:type="paragraph" w:styleId="BodyTextIndent3">
    <w:name w:val="Body Text Indent 3"/>
    <w:basedOn w:val="Normal"/>
    <w:link w:val="BodyTextIndent3Char"/>
    <w:uiPriority w:val="99"/>
    <w:semiHidden/>
    <w:unhideWhenUsed/>
    <w:rsid w:val="00CA7F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44"/>
    <w:rPr>
      <w:rFonts w:ascii="Calibri Light" w:hAnsi="Calibri Light"/>
      <w:color w:val="58595B" w:themeColor="accent2"/>
      <w:sz w:val="16"/>
      <w:szCs w:val="16"/>
    </w:rPr>
  </w:style>
  <w:style w:type="paragraph" w:styleId="Closing">
    <w:name w:val="Closing"/>
    <w:basedOn w:val="Normal"/>
    <w:link w:val="ClosingChar"/>
    <w:uiPriority w:val="99"/>
    <w:semiHidden/>
    <w:unhideWhenUsed/>
    <w:rsid w:val="00CA7F44"/>
    <w:pPr>
      <w:spacing w:after="0"/>
      <w:ind w:left="4252"/>
    </w:pPr>
  </w:style>
  <w:style w:type="character" w:customStyle="1" w:styleId="ClosingChar">
    <w:name w:val="Closing Char"/>
    <w:basedOn w:val="DefaultParagraphFont"/>
    <w:link w:val="Closing"/>
    <w:uiPriority w:val="99"/>
    <w:semiHidden/>
    <w:rsid w:val="00CA7F44"/>
    <w:rPr>
      <w:rFonts w:ascii="Calibri Light" w:hAnsi="Calibri Light"/>
      <w:color w:val="58595B" w:themeColor="accent2"/>
      <w:sz w:val="20"/>
    </w:rPr>
  </w:style>
  <w:style w:type="paragraph" w:styleId="Date">
    <w:name w:val="Date"/>
    <w:basedOn w:val="Normal"/>
    <w:next w:val="Normal"/>
    <w:link w:val="DateChar"/>
    <w:uiPriority w:val="99"/>
    <w:semiHidden/>
    <w:unhideWhenUsed/>
    <w:rsid w:val="00CA7F44"/>
  </w:style>
  <w:style w:type="character" w:customStyle="1" w:styleId="DateChar">
    <w:name w:val="Date Char"/>
    <w:basedOn w:val="DefaultParagraphFont"/>
    <w:link w:val="Date"/>
    <w:uiPriority w:val="99"/>
    <w:semiHidden/>
    <w:rsid w:val="00CA7F44"/>
    <w:rPr>
      <w:rFonts w:ascii="Calibri Light" w:hAnsi="Calibri Light"/>
      <w:color w:val="58595B" w:themeColor="accent2"/>
      <w:sz w:val="20"/>
    </w:rPr>
  </w:style>
  <w:style w:type="paragraph" w:styleId="DocumentMap">
    <w:name w:val="Document Map"/>
    <w:basedOn w:val="Normal"/>
    <w:link w:val="DocumentMapChar"/>
    <w:uiPriority w:val="99"/>
    <w:semiHidden/>
    <w:unhideWhenUsed/>
    <w:rsid w:val="00CA7F4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7F44"/>
    <w:rPr>
      <w:rFonts w:ascii="Segoe UI" w:hAnsi="Segoe UI" w:cs="Segoe UI"/>
      <w:color w:val="58595B" w:themeColor="accent2"/>
      <w:sz w:val="16"/>
      <w:szCs w:val="16"/>
    </w:rPr>
  </w:style>
  <w:style w:type="paragraph" w:styleId="E-mailSignature">
    <w:name w:val="E-mail Signature"/>
    <w:basedOn w:val="Normal"/>
    <w:link w:val="E-mailSignatureChar"/>
    <w:uiPriority w:val="99"/>
    <w:semiHidden/>
    <w:unhideWhenUsed/>
    <w:rsid w:val="00CA7F44"/>
    <w:pPr>
      <w:spacing w:after="0"/>
    </w:pPr>
  </w:style>
  <w:style w:type="character" w:customStyle="1" w:styleId="E-mailSignatureChar">
    <w:name w:val="E-mail Signature Char"/>
    <w:basedOn w:val="DefaultParagraphFont"/>
    <w:link w:val="E-mailSignature"/>
    <w:uiPriority w:val="99"/>
    <w:semiHidden/>
    <w:rsid w:val="00CA7F44"/>
    <w:rPr>
      <w:rFonts w:ascii="Calibri Light" w:hAnsi="Calibri Light"/>
      <w:color w:val="58595B" w:themeColor="accent2"/>
      <w:sz w:val="20"/>
    </w:rPr>
  </w:style>
  <w:style w:type="paragraph" w:styleId="EndnoteText">
    <w:name w:val="endnote text"/>
    <w:basedOn w:val="Normal"/>
    <w:link w:val="EndnoteTextChar"/>
    <w:uiPriority w:val="99"/>
    <w:semiHidden/>
    <w:unhideWhenUsed/>
    <w:rsid w:val="00CA7F44"/>
    <w:pPr>
      <w:spacing w:after="0"/>
    </w:pPr>
    <w:rPr>
      <w:szCs w:val="20"/>
    </w:rPr>
  </w:style>
  <w:style w:type="character" w:customStyle="1" w:styleId="EndnoteTextChar">
    <w:name w:val="Endnote Text Char"/>
    <w:basedOn w:val="DefaultParagraphFont"/>
    <w:link w:val="EndnoteText"/>
    <w:uiPriority w:val="99"/>
    <w:semiHidden/>
    <w:rsid w:val="00CA7F44"/>
    <w:rPr>
      <w:rFonts w:ascii="Calibri Light" w:hAnsi="Calibri Light"/>
      <w:color w:val="58595B" w:themeColor="accent2"/>
      <w:sz w:val="20"/>
      <w:szCs w:val="20"/>
    </w:rPr>
  </w:style>
  <w:style w:type="paragraph" w:styleId="EnvelopeAddress">
    <w:name w:val="envelope address"/>
    <w:basedOn w:val="Normal"/>
    <w:uiPriority w:val="99"/>
    <w:semiHidden/>
    <w:unhideWhenUsed/>
    <w:rsid w:val="00CA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44"/>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rsid w:val="00CA7F44"/>
    <w:rPr>
      <w:rFonts w:asciiTheme="majorHAnsi" w:eastAsiaTheme="majorEastAsia" w:hAnsiTheme="majorHAnsi" w:cstheme="majorBidi"/>
      <w:color w:val="000000" w:themeColor="accent1" w:themeShade="7F"/>
      <w:sz w:val="20"/>
    </w:rPr>
  </w:style>
  <w:style w:type="character" w:customStyle="1" w:styleId="Heading7Char">
    <w:name w:val="Heading 7 Char"/>
    <w:basedOn w:val="DefaultParagraphFont"/>
    <w:link w:val="Heading7"/>
    <w:uiPriority w:val="9"/>
    <w:rsid w:val="00CA7F44"/>
    <w:rPr>
      <w:rFonts w:asciiTheme="majorHAnsi" w:eastAsiaTheme="majorEastAsia" w:hAnsiTheme="majorHAnsi" w:cstheme="majorBidi"/>
      <w:i/>
      <w:iCs/>
      <w:color w:val="000000" w:themeColor="accent1" w:themeShade="7F"/>
      <w:sz w:val="20"/>
    </w:rPr>
  </w:style>
  <w:style w:type="character" w:customStyle="1" w:styleId="Heading8Char">
    <w:name w:val="Heading 8 Char"/>
    <w:basedOn w:val="DefaultParagraphFont"/>
    <w:link w:val="Heading8"/>
    <w:uiPriority w:val="9"/>
    <w:semiHidden/>
    <w:rsid w:val="00CA7F44"/>
    <w:rPr>
      <w:rFonts w:asciiTheme="majorHAnsi" w:eastAsiaTheme="majorEastAsia" w:hAnsiTheme="majorHAnsi" w:cstheme="majorBidi"/>
      <w:color w:val="5D5C5F" w:themeColor="text1" w:themeTint="D8"/>
      <w:sz w:val="21"/>
      <w:szCs w:val="21"/>
    </w:rPr>
  </w:style>
  <w:style w:type="character" w:customStyle="1" w:styleId="Heading9Char">
    <w:name w:val="Heading 9 Char"/>
    <w:basedOn w:val="DefaultParagraphFont"/>
    <w:link w:val="Heading9"/>
    <w:uiPriority w:val="9"/>
    <w:semiHidden/>
    <w:rsid w:val="00CA7F44"/>
    <w:rPr>
      <w:rFonts w:asciiTheme="majorHAnsi" w:eastAsiaTheme="majorEastAsia" w:hAnsiTheme="majorHAnsi" w:cstheme="majorBidi"/>
      <w:i/>
      <w:iCs/>
      <w:color w:val="5D5C5F" w:themeColor="text1" w:themeTint="D8"/>
      <w:sz w:val="21"/>
      <w:szCs w:val="21"/>
    </w:rPr>
  </w:style>
  <w:style w:type="paragraph" w:styleId="HTMLAddress">
    <w:name w:val="HTML Address"/>
    <w:basedOn w:val="Normal"/>
    <w:link w:val="HTMLAddressChar"/>
    <w:uiPriority w:val="99"/>
    <w:semiHidden/>
    <w:unhideWhenUsed/>
    <w:rsid w:val="00CA7F44"/>
    <w:pPr>
      <w:spacing w:after="0"/>
    </w:pPr>
    <w:rPr>
      <w:i/>
      <w:iCs/>
    </w:rPr>
  </w:style>
  <w:style w:type="character" w:customStyle="1" w:styleId="HTMLAddressChar">
    <w:name w:val="HTML Address Char"/>
    <w:basedOn w:val="DefaultParagraphFont"/>
    <w:link w:val="HTMLAddress"/>
    <w:uiPriority w:val="99"/>
    <w:semiHidden/>
    <w:rsid w:val="00CA7F44"/>
    <w:rPr>
      <w:rFonts w:ascii="Calibri Light" w:hAnsi="Calibri Light"/>
      <w:i/>
      <w:iCs/>
      <w:color w:val="58595B" w:themeColor="accent2"/>
      <w:sz w:val="20"/>
    </w:rPr>
  </w:style>
  <w:style w:type="paragraph" w:styleId="HTMLPreformatted">
    <w:name w:val="HTML Preformatted"/>
    <w:basedOn w:val="Normal"/>
    <w:link w:val="HTMLPreformattedChar"/>
    <w:uiPriority w:val="99"/>
    <w:semiHidden/>
    <w:unhideWhenUsed/>
    <w:rsid w:val="00CA7F4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A7F44"/>
    <w:rPr>
      <w:rFonts w:ascii="Consolas" w:hAnsi="Consolas"/>
      <w:color w:val="58595B" w:themeColor="accent2"/>
      <w:sz w:val="20"/>
      <w:szCs w:val="20"/>
    </w:rPr>
  </w:style>
  <w:style w:type="paragraph" w:styleId="Index1">
    <w:name w:val="index 1"/>
    <w:basedOn w:val="Normal"/>
    <w:next w:val="Normal"/>
    <w:autoRedefine/>
    <w:uiPriority w:val="99"/>
    <w:semiHidden/>
    <w:unhideWhenUsed/>
    <w:rsid w:val="00CA7F44"/>
    <w:pPr>
      <w:spacing w:after="0"/>
      <w:ind w:left="200" w:hanging="200"/>
    </w:pPr>
  </w:style>
  <w:style w:type="paragraph" w:styleId="Index2">
    <w:name w:val="index 2"/>
    <w:basedOn w:val="Normal"/>
    <w:next w:val="Normal"/>
    <w:autoRedefine/>
    <w:uiPriority w:val="99"/>
    <w:semiHidden/>
    <w:unhideWhenUsed/>
    <w:rsid w:val="00CA7F44"/>
    <w:pPr>
      <w:spacing w:after="0"/>
      <w:ind w:left="400" w:hanging="200"/>
    </w:pPr>
  </w:style>
  <w:style w:type="paragraph" w:styleId="Index3">
    <w:name w:val="index 3"/>
    <w:basedOn w:val="Normal"/>
    <w:next w:val="Normal"/>
    <w:autoRedefine/>
    <w:uiPriority w:val="99"/>
    <w:semiHidden/>
    <w:unhideWhenUsed/>
    <w:rsid w:val="00CA7F44"/>
    <w:pPr>
      <w:spacing w:after="0"/>
      <w:ind w:left="600" w:hanging="200"/>
    </w:pPr>
  </w:style>
  <w:style w:type="paragraph" w:styleId="Index4">
    <w:name w:val="index 4"/>
    <w:basedOn w:val="Normal"/>
    <w:next w:val="Normal"/>
    <w:autoRedefine/>
    <w:uiPriority w:val="99"/>
    <w:semiHidden/>
    <w:unhideWhenUsed/>
    <w:rsid w:val="00CA7F44"/>
    <w:pPr>
      <w:spacing w:after="0"/>
      <w:ind w:left="800" w:hanging="200"/>
    </w:pPr>
  </w:style>
  <w:style w:type="paragraph" w:styleId="Index5">
    <w:name w:val="index 5"/>
    <w:basedOn w:val="Normal"/>
    <w:next w:val="Normal"/>
    <w:autoRedefine/>
    <w:uiPriority w:val="99"/>
    <w:semiHidden/>
    <w:unhideWhenUsed/>
    <w:rsid w:val="00CA7F44"/>
    <w:pPr>
      <w:spacing w:after="0"/>
      <w:ind w:left="1000" w:hanging="200"/>
    </w:pPr>
  </w:style>
  <w:style w:type="paragraph" w:styleId="Index6">
    <w:name w:val="index 6"/>
    <w:basedOn w:val="Normal"/>
    <w:next w:val="Normal"/>
    <w:autoRedefine/>
    <w:uiPriority w:val="99"/>
    <w:semiHidden/>
    <w:unhideWhenUsed/>
    <w:rsid w:val="00CA7F44"/>
    <w:pPr>
      <w:spacing w:after="0"/>
      <w:ind w:left="1200" w:hanging="200"/>
    </w:pPr>
  </w:style>
  <w:style w:type="paragraph" w:styleId="Index7">
    <w:name w:val="index 7"/>
    <w:basedOn w:val="Normal"/>
    <w:next w:val="Normal"/>
    <w:autoRedefine/>
    <w:uiPriority w:val="99"/>
    <w:semiHidden/>
    <w:unhideWhenUsed/>
    <w:rsid w:val="00CA7F44"/>
    <w:pPr>
      <w:spacing w:after="0"/>
      <w:ind w:left="1400" w:hanging="200"/>
    </w:pPr>
  </w:style>
  <w:style w:type="paragraph" w:styleId="Index8">
    <w:name w:val="index 8"/>
    <w:basedOn w:val="Normal"/>
    <w:next w:val="Normal"/>
    <w:autoRedefine/>
    <w:uiPriority w:val="99"/>
    <w:semiHidden/>
    <w:unhideWhenUsed/>
    <w:rsid w:val="00CA7F44"/>
    <w:pPr>
      <w:spacing w:after="0"/>
      <w:ind w:left="1600" w:hanging="200"/>
    </w:pPr>
  </w:style>
  <w:style w:type="paragraph" w:styleId="Index9">
    <w:name w:val="index 9"/>
    <w:basedOn w:val="Normal"/>
    <w:next w:val="Normal"/>
    <w:autoRedefine/>
    <w:uiPriority w:val="99"/>
    <w:semiHidden/>
    <w:unhideWhenUsed/>
    <w:rsid w:val="00CA7F44"/>
    <w:pPr>
      <w:spacing w:after="0"/>
      <w:ind w:left="1800" w:hanging="200"/>
    </w:pPr>
  </w:style>
  <w:style w:type="paragraph" w:styleId="IndexHeading">
    <w:name w:val="index heading"/>
    <w:basedOn w:val="Normal"/>
    <w:next w:val="Index1"/>
    <w:uiPriority w:val="99"/>
    <w:semiHidden/>
    <w:unhideWhenUsed/>
    <w:rsid w:val="00CA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7F44"/>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CA7F44"/>
    <w:rPr>
      <w:rFonts w:ascii="Calibri Light" w:hAnsi="Calibri Light"/>
      <w:i/>
      <w:iCs/>
      <w:color w:val="000000" w:themeColor="accent1"/>
      <w:sz w:val="20"/>
    </w:rPr>
  </w:style>
  <w:style w:type="paragraph" w:styleId="List">
    <w:name w:val="List"/>
    <w:basedOn w:val="Normal"/>
    <w:uiPriority w:val="99"/>
    <w:semiHidden/>
    <w:unhideWhenUsed/>
    <w:rsid w:val="00CA7F44"/>
    <w:pPr>
      <w:ind w:left="283" w:hanging="283"/>
      <w:contextualSpacing/>
    </w:pPr>
  </w:style>
  <w:style w:type="paragraph" w:styleId="List2">
    <w:name w:val="List 2"/>
    <w:basedOn w:val="Normal"/>
    <w:uiPriority w:val="99"/>
    <w:semiHidden/>
    <w:unhideWhenUsed/>
    <w:rsid w:val="00CA7F44"/>
    <w:pPr>
      <w:ind w:left="566" w:hanging="283"/>
      <w:contextualSpacing/>
    </w:pPr>
  </w:style>
  <w:style w:type="paragraph" w:styleId="List3">
    <w:name w:val="List 3"/>
    <w:basedOn w:val="Normal"/>
    <w:uiPriority w:val="99"/>
    <w:semiHidden/>
    <w:unhideWhenUsed/>
    <w:rsid w:val="00CA7F44"/>
    <w:pPr>
      <w:ind w:left="849" w:hanging="283"/>
      <w:contextualSpacing/>
    </w:pPr>
  </w:style>
  <w:style w:type="paragraph" w:styleId="List4">
    <w:name w:val="List 4"/>
    <w:basedOn w:val="Normal"/>
    <w:uiPriority w:val="99"/>
    <w:semiHidden/>
    <w:unhideWhenUsed/>
    <w:rsid w:val="00CA7F44"/>
    <w:pPr>
      <w:ind w:left="1132" w:hanging="283"/>
      <w:contextualSpacing/>
    </w:pPr>
  </w:style>
  <w:style w:type="paragraph" w:styleId="List5">
    <w:name w:val="List 5"/>
    <w:basedOn w:val="Normal"/>
    <w:uiPriority w:val="99"/>
    <w:semiHidden/>
    <w:unhideWhenUsed/>
    <w:rsid w:val="00CA7F44"/>
    <w:pPr>
      <w:ind w:left="1415" w:hanging="283"/>
      <w:contextualSpacing/>
    </w:pPr>
  </w:style>
  <w:style w:type="paragraph" w:styleId="ListBullet">
    <w:name w:val="List Bullet"/>
    <w:basedOn w:val="Normal"/>
    <w:uiPriority w:val="99"/>
    <w:semiHidden/>
    <w:unhideWhenUsed/>
    <w:rsid w:val="00CA7F44"/>
    <w:pPr>
      <w:numPr>
        <w:numId w:val="33"/>
      </w:numPr>
      <w:contextualSpacing/>
    </w:pPr>
  </w:style>
  <w:style w:type="paragraph" w:styleId="ListBullet2">
    <w:name w:val="List Bullet 2"/>
    <w:basedOn w:val="Normal"/>
    <w:uiPriority w:val="99"/>
    <w:semiHidden/>
    <w:unhideWhenUsed/>
    <w:rsid w:val="00CA7F44"/>
    <w:pPr>
      <w:numPr>
        <w:numId w:val="34"/>
      </w:numPr>
      <w:contextualSpacing/>
    </w:pPr>
  </w:style>
  <w:style w:type="paragraph" w:styleId="ListBullet3">
    <w:name w:val="List Bullet 3"/>
    <w:basedOn w:val="Normal"/>
    <w:uiPriority w:val="99"/>
    <w:semiHidden/>
    <w:unhideWhenUsed/>
    <w:rsid w:val="00CA7F44"/>
    <w:pPr>
      <w:numPr>
        <w:numId w:val="35"/>
      </w:numPr>
      <w:contextualSpacing/>
    </w:pPr>
  </w:style>
  <w:style w:type="paragraph" w:styleId="ListBullet4">
    <w:name w:val="List Bullet 4"/>
    <w:basedOn w:val="Normal"/>
    <w:uiPriority w:val="99"/>
    <w:semiHidden/>
    <w:unhideWhenUsed/>
    <w:rsid w:val="00CA7F44"/>
    <w:pPr>
      <w:numPr>
        <w:numId w:val="36"/>
      </w:numPr>
      <w:contextualSpacing/>
    </w:pPr>
  </w:style>
  <w:style w:type="paragraph" w:styleId="ListBullet5">
    <w:name w:val="List Bullet 5"/>
    <w:basedOn w:val="Normal"/>
    <w:uiPriority w:val="99"/>
    <w:semiHidden/>
    <w:unhideWhenUsed/>
    <w:rsid w:val="00CA7F44"/>
    <w:pPr>
      <w:numPr>
        <w:numId w:val="37"/>
      </w:numPr>
      <w:contextualSpacing/>
    </w:pPr>
  </w:style>
  <w:style w:type="paragraph" w:styleId="ListContinue">
    <w:name w:val="List Continue"/>
    <w:basedOn w:val="Normal"/>
    <w:uiPriority w:val="99"/>
    <w:semiHidden/>
    <w:unhideWhenUsed/>
    <w:rsid w:val="00CA7F44"/>
    <w:pPr>
      <w:spacing w:after="120"/>
      <w:ind w:left="283"/>
      <w:contextualSpacing/>
    </w:pPr>
  </w:style>
  <w:style w:type="paragraph" w:styleId="ListContinue2">
    <w:name w:val="List Continue 2"/>
    <w:basedOn w:val="Normal"/>
    <w:uiPriority w:val="99"/>
    <w:semiHidden/>
    <w:unhideWhenUsed/>
    <w:rsid w:val="00CA7F44"/>
    <w:pPr>
      <w:spacing w:after="120"/>
      <w:ind w:left="566"/>
      <w:contextualSpacing/>
    </w:pPr>
  </w:style>
  <w:style w:type="paragraph" w:styleId="ListContinue3">
    <w:name w:val="List Continue 3"/>
    <w:basedOn w:val="Normal"/>
    <w:uiPriority w:val="99"/>
    <w:semiHidden/>
    <w:unhideWhenUsed/>
    <w:rsid w:val="00CA7F44"/>
    <w:pPr>
      <w:spacing w:after="120"/>
      <w:ind w:left="849"/>
      <w:contextualSpacing/>
    </w:pPr>
  </w:style>
  <w:style w:type="paragraph" w:styleId="ListContinue4">
    <w:name w:val="List Continue 4"/>
    <w:basedOn w:val="Normal"/>
    <w:uiPriority w:val="99"/>
    <w:semiHidden/>
    <w:unhideWhenUsed/>
    <w:rsid w:val="00CA7F44"/>
    <w:pPr>
      <w:spacing w:after="120"/>
      <w:ind w:left="1132"/>
      <w:contextualSpacing/>
    </w:pPr>
  </w:style>
  <w:style w:type="paragraph" w:styleId="ListContinue5">
    <w:name w:val="List Continue 5"/>
    <w:basedOn w:val="Normal"/>
    <w:uiPriority w:val="99"/>
    <w:semiHidden/>
    <w:unhideWhenUsed/>
    <w:rsid w:val="00CA7F44"/>
    <w:pPr>
      <w:spacing w:after="120"/>
      <w:ind w:left="1415"/>
      <w:contextualSpacing/>
    </w:pPr>
  </w:style>
  <w:style w:type="paragraph" w:styleId="ListNumber">
    <w:name w:val="List Number"/>
    <w:basedOn w:val="Normal"/>
    <w:uiPriority w:val="99"/>
    <w:semiHidden/>
    <w:unhideWhenUsed/>
    <w:rsid w:val="00CA7F44"/>
    <w:pPr>
      <w:numPr>
        <w:numId w:val="38"/>
      </w:numPr>
      <w:contextualSpacing/>
    </w:pPr>
  </w:style>
  <w:style w:type="paragraph" w:styleId="ListNumber2">
    <w:name w:val="List Number 2"/>
    <w:basedOn w:val="Normal"/>
    <w:uiPriority w:val="99"/>
    <w:semiHidden/>
    <w:unhideWhenUsed/>
    <w:rsid w:val="00CA7F44"/>
    <w:pPr>
      <w:numPr>
        <w:numId w:val="39"/>
      </w:numPr>
      <w:contextualSpacing/>
    </w:pPr>
  </w:style>
  <w:style w:type="paragraph" w:styleId="ListNumber3">
    <w:name w:val="List Number 3"/>
    <w:basedOn w:val="Normal"/>
    <w:uiPriority w:val="99"/>
    <w:semiHidden/>
    <w:unhideWhenUsed/>
    <w:rsid w:val="00CA7F44"/>
    <w:pPr>
      <w:numPr>
        <w:numId w:val="40"/>
      </w:numPr>
      <w:contextualSpacing/>
    </w:pPr>
  </w:style>
  <w:style w:type="paragraph" w:styleId="ListNumber4">
    <w:name w:val="List Number 4"/>
    <w:basedOn w:val="Normal"/>
    <w:uiPriority w:val="99"/>
    <w:semiHidden/>
    <w:unhideWhenUsed/>
    <w:rsid w:val="00CA7F44"/>
    <w:pPr>
      <w:numPr>
        <w:numId w:val="41"/>
      </w:numPr>
      <w:contextualSpacing/>
    </w:pPr>
  </w:style>
  <w:style w:type="paragraph" w:styleId="ListNumber5">
    <w:name w:val="List Number 5"/>
    <w:basedOn w:val="Normal"/>
    <w:uiPriority w:val="99"/>
    <w:semiHidden/>
    <w:unhideWhenUsed/>
    <w:rsid w:val="00CA7F44"/>
    <w:pPr>
      <w:numPr>
        <w:numId w:val="42"/>
      </w:numPr>
      <w:contextualSpacing/>
    </w:pPr>
  </w:style>
  <w:style w:type="paragraph" w:styleId="MacroText">
    <w:name w:val="macro"/>
    <w:link w:val="MacroTextChar"/>
    <w:uiPriority w:val="99"/>
    <w:semiHidden/>
    <w:unhideWhenUsed/>
    <w:rsid w:val="00CA7F44"/>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nsolas" w:hAnsi="Consolas"/>
      <w:color w:val="58595B" w:themeColor="accent2"/>
      <w:sz w:val="20"/>
      <w:szCs w:val="20"/>
    </w:rPr>
  </w:style>
  <w:style w:type="character" w:customStyle="1" w:styleId="MacroTextChar">
    <w:name w:val="Macro Text Char"/>
    <w:basedOn w:val="DefaultParagraphFont"/>
    <w:link w:val="MacroText"/>
    <w:uiPriority w:val="99"/>
    <w:semiHidden/>
    <w:rsid w:val="00CA7F44"/>
    <w:rPr>
      <w:rFonts w:ascii="Consolas" w:hAnsi="Consolas"/>
      <w:color w:val="58595B" w:themeColor="accent2"/>
      <w:sz w:val="20"/>
      <w:szCs w:val="20"/>
    </w:rPr>
  </w:style>
  <w:style w:type="paragraph" w:styleId="MessageHeader">
    <w:name w:val="Message Header"/>
    <w:basedOn w:val="Normal"/>
    <w:link w:val="MessageHeaderChar"/>
    <w:uiPriority w:val="99"/>
    <w:semiHidden/>
    <w:unhideWhenUsed/>
    <w:rsid w:val="00CA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44"/>
    <w:rPr>
      <w:rFonts w:asciiTheme="majorHAnsi" w:eastAsiaTheme="majorEastAsia" w:hAnsiTheme="majorHAnsi" w:cstheme="majorBidi"/>
      <w:color w:val="58595B" w:themeColor="accent2"/>
      <w:sz w:val="24"/>
      <w:szCs w:val="24"/>
      <w:shd w:val="pct20" w:color="auto" w:fill="auto"/>
    </w:rPr>
  </w:style>
  <w:style w:type="paragraph" w:styleId="NormalIndent">
    <w:name w:val="Normal Indent"/>
    <w:basedOn w:val="Normal"/>
    <w:uiPriority w:val="99"/>
    <w:semiHidden/>
    <w:unhideWhenUsed/>
    <w:rsid w:val="00CA7F44"/>
    <w:pPr>
      <w:ind w:left="720"/>
    </w:pPr>
  </w:style>
  <w:style w:type="paragraph" w:styleId="NoteHeading">
    <w:name w:val="Note Heading"/>
    <w:basedOn w:val="Normal"/>
    <w:next w:val="Normal"/>
    <w:link w:val="NoteHeadingChar"/>
    <w:uiPriority w:val="99"/>
    <w:semiHidden/>
    <w:unhideWhenUsed/>
    <w:rsid w:val="00CA7F44"/>
    <w:pPr>
      <w:spacing w:after="0"/>
    </w:pPr>
  </w:style>
  <w:style w:type="character" w:customStyle="1" w:styleId="NoteHeadingChar">
    <w:name w:val="Note Heading Char"/>
    <w:basedOn w:val="DefaultParagraphFont"/>
    <w:link w:val="NoteHeading"/>
    <w:uiPriority w:val="99"/>
    <w:semiHidden/>
    <w:rsid w:val="00CA7F44"/>
    <w:rPr>
      <w:rFonts w:ascii="Calibri Light" w:hAnsi="Calibri Light"/>
      <w:color w:val="58595B" w:themeColor="accent2"/>
      <w:sz w:val="20"/>
    </w:rPr>
  </w:style>
  <w:style w:type="paragraph" w:styleId="PlainText">
    <w:name w:val="Plain Text"/>
    <w:basedOn w:val="Normal"/>
    <w:link w:val="PlainTextChar"/>
    <w:uiPriority w:val="99"/>
    <w:semiHidden/>
    <w:unhideWhenUsed/>
    <w:rsid w:val="00CA7F4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A7F44"/>
    <w:rPr>
      <w:rFonts w:ascii="Consolas" w:hAnsi="Consolas"/>
      <w:color w:val="58595B" w:themeColor="accent2"/>
      <w:sz w:val="21"/>
      <w:szCs w:val="21"/>
    </w:rPr>
  </w:style>
  <w:style w:type="paragraph" w:styleId="Salutation">
    <w:name w:val="Salutation"/>
    <w:basedOn w:val="Normal"/>
    <w:next w:val="Normal"/>
    <w:link w:val="SalutationChar"/>
    <w:uiPriority w:val="99"/>
    <w:semiHidden/>
    <w:unhideWhenUsed/>
    <w:rsid w:val="00CA7F44"/>
  </w:style>
  <w:style w:type="character" w:customStyle="1" w:styleId="SalutationChar">
    <w:name w:val="Salutation Char"/>
    <w:basedOn w:val="DefaultParagraphFont"/>
    <w:link w:val="Salutation"/>
    <w:uiPriority w:val="99"/>
    <w:semiHidden/>
    <w:rsid w:val="00CA7F44"/>
    <w:rPr>
      <w:rFonts w:ascii="Calibri Light" w:hAnsi="Calibri Light"/>
      <w:color w:val="58595B" w:themeColor="accent2"/>
      <w:sz w:val="20"/>
    </w:rPr>
  </w:style>
  <w:style w:type="paragraph" w:styleId="Signature">
    <w:name w:val="Signature"/>
    <w:basedOn w:val="Normal"/>
    <w:link w:val="SignatureChar"/>
    <w:uiPriority w:val="99"/>
    <w:semiHidden/>
    <w:unhideWhenUsed/>
    <w:rsid w:val="00CA7F44"/>
    <w:pPr>
      <w:spacing w:after="0"/>
      <w:ind w:left="4252"/>
    </w:pPr>
  </w:style>
  <w:style w:type="character" w:customStyle="1" w:styleId="SignatureChar">
    <w:name w:val="Signature Char"/>
    <w:basedOn w:val="DefaultParagraphFont"/>
    <w:link w:val="Signature"/>
    <w:uiPriority w:val="99"/>
    <w:semiHidden/>
    <w:rsid w:val="00CA7F44"/>
    <w:rPr>
      <w:rFonts w:ascii="Calibri Light" w:hAnsi="Calibri Light"/>
      <w:color w:val="58595B" w:themeColor="accent2"/>
      <w:sz w:val="20"/>
    </w:rPr>
  </w:style>
  <w:style w:type="paragraph" w:styleId="Subtitle">
    <w:name w:val="Subtitle"/>
    <w:basedOn w:val="Normal"/>
    <w:next w:val="Normal"/>
    <w:link w:val="SubtitleChar"/>
    <w:uiPriority w:val="11"/>
    <w:qFormat/>
    <w:rsid w:val="00CA7F44"/>
    <w:pPr>
      <w:numPr>
        <w:ilvl w:val="1"/>
      </w:numPr>
    </w:pPr>
    <w:rPr>
      <w:rFonts w:asciiTheme="minorHAnsi" w:eastAsiaTheme="minorEastAsia" w:hAnsiTheme="minorHAnsi"/>
      <w:color w:val="838286" w:themeColor="text1" w:themeTint="A5"/>
      <w:spacing w:val="15"/>
      <w:sz w:val="22"/>
    </w:rPr>
  </w:style>
  <w:style w:type="character" w:customStyle="1" w:styleId="SubtitleChar">
    <w:name w:val="Subtitle Char"/>
    <w:basedOn w:val="DefaultParagraphFont"/>
    <w:link w:val="Subtitle"/>
    <w:uiPriority w:val="11"/>
    <w:rsid w:val="00CA7F44"/>
    <w:rPr>
      <w:rFonts w:asciiTheme="minorHAnsi" w:eastAsiaTheme="minorEastAsia" w:hAnsiTheme="minorHAnsi"/>
      <w:color w:val="838286" w:themeColor="text1" w:themeTint="A5"/>
      <w:spacing w:val="15"/>
    </w:rPr>
  </w:style>
  <w:style w:type="paragraph" w:styleId="TableofAuthorities">
    <w:name w:val="table of authorities"/>
    <w:basedOn w:val="Normal"/>
    <w:next w:val="Normal"/>
    <w:uiPriority w:val="99"/>
    <w:semiHidden/>
    <w:unhideWhenUsed/>
    <w:rsid w:val="00CA7F44"/>
    <w:pPr>
      <w:spacing w:after="0"/>
      <w:ind w:left="200" w:hanging="200"/>
    </w:pPr>
  </w:style>
  <w:style w:type="paragraph" w:styleId="TableofFigures">
    <w:name w:val="table of figures"/>
    <w:basedOn w:val="Normal"/>
    <w:next w:val="Normal"/>
    <w:uiPriority w:val="99"/>
    <w:semiHidden/>
    <w:unhideWhenUsed/>
    <w:rsid w:val="00CA7F44"/>
    <w:pPr>
      <w:spacing w:after="0"/>
    </w:pPr>
  </w:style>
  <w:style w:type="paragraph" w:styleId="TOAHeading">
    <w:name w:val="toa heading"/>
    <w:basedOn w:val="Normal"/>
    <w:next w:val="Normal"/>
    <w:uiPriority w:val="99"/>
    <w:semiHidden/>
    <w:unhideWhenUsed/>
    <w:rsid w:val="00CA7F4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A7F44"/>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CA7F44"/>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CA7F44"/>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CA7F44"/>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CA7F44"/>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CA7F44"/>
    <w:pPr>
      <w:spacing w:after="0"/>
      <w:ind w:left="1600"/>
    </w:pPr>
    <w:rPr>
      <w:rFonts w:asciiTheme="minorHAnsi" w:hAnsiTheme="minorHAnsi" w:cstheme="minorHAnsi"/>
      <w:sz w:val="18"/>
      <w:szCs w:val="18"/>
    </w:rPr>
  </w:style>
  <w:style w:type="table" w:customStyle="1" w:styleId="TableGrid1">
    <w:name w:val="Table Grid1"/>
    <w:basedOn w:val="TableNormal"/>
    <w:next w:val="TableGrid"/>
    <w:uiPriority w:val="59"/>
    <w:rsid w:val="00CA7F44"/>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b">
    <w:name w:val="Heading 4b"/>
    <w:basedOn w:val="Heading4"/>
    <w:next w:val="Normal"/>
    <w:link w:val="Heading4bChar"/>
    <w:qFormat/>
    <w:rsid w:val="00F215BB"/>
    <w:pPr>
      <w:pBdr>
        <w:top w:val="single" w:sz="4" w:space="1" w:color="auto"/>
      </w:pBdr>
      <w:spacing w:after="60"/>
    </w:pPr>
    <w:rPr>
      <w:noProof/>
    </w:rPr>
  </w:style>
  <w:style w:type="paragraph" w:customStyle="1" w:styleId="Heading3white">
    <w:name w:val="Heading 3 white"/>
    <w:basedOn w:val="Heading3"/>
    <w:next w:val="Default"/>
    <w:uiPriority w:val="99"/>
    <w:qFormat/>
    <w:rsid w:val="008D6E15"/>
    <w:rPr>
      <w:b w:val="0"/>
      <w:bCs w:val="0"/>
      <w:color w:val="FFFFFF" w:themeColor="background1"/>
      <w:szCs w:val="24"/>
    </w:rPr>
  </w:style>
  <w:style w:type="character" w:customStyle="1" w:styleId="Heading4bChar">
    <w:name w:val="Heading 4b Char"/>
    <w:basedOn w:val="TableheaderChar"/>
    <w:link w:val="Heading4b"/>
    <w:rsid w:val="00F215BB"/>
    <w:rPr>
      <w:rFonts w:cs="Calibri"/>
      <w:b/>
      <w:bCs/>
      <w:noProof/>
      <w:color w:val="414042" w:themeColor="text1"/>
      <w:sz w:val="20"/>
      <w:szCs w:val="18"/>
      <w:lang w:val="en-US"/>
    </w:rPr>
  </w:style>
  <w:style w:type="paragraph" w:customStyle="1" w:styleId="Headingthreewhite">
    <w:name w:val="Heading three white"/>
    <w:basedOn w:val="Heading3"/>
    <w:uiPriority w:val="99"/>
    <w:qFormat/>
    <w:rsid w:val="008D6E15"/>
    <w:rPr>
      <w:color w:val="FFFFFF" w:themeColor="background1"/>
      <w:sz w:val="20"/>
      <w:szCs w:val="20"/>
    </w:rPr>
  </w:style>
  <w:style w:type="table" w:styleId="GridTable1Light-Accent6">
    <w:name w:val="Grid Table 1 Light Accent 6"/>
    <w:basedOn w:val="TableNormal"/>
    <w:uiPriority w:val="46"/>
    <w:rsid w:val="00C40331"/>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paragraph" w:customStyle="1" w:styleId="msonormal0">
    <w:name w:val="msonormal"/>
    <w:basedOn w:val="Normal"/>
    <w:uiPriority w:val="99"/>
    <w:semiHidden/>
    <w:rsid w:val="003834FC"/>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field">
    <w:name w:val="field"/>
    <w:basedOn w:val="DefaultParagraphFont"/>
    <w:rsid w:val="009418D0"/>
  </w:style>
  <w:style w:type="paragraph" w:customStyle="1" w:styleId="TalkingPoints">
    <w:name w:val="Talking Points"/>
    <w:basedOn w:val="ListParagraph"/>
    <w:qFormat/>
    <w:rsid w:val="00E24006"/>
    <w:pPr>
      <w:spacing w:after="120" w:line="259" w:lineRule="auto"/>
      <w:contextualSpacing w:val="0"/>
    </w:pPr>
    <w:rPr>
      <w:rFonts w:ascii="Arial" w:hAnsi="Arial" w:cs="Arial"/>
      <w:color w:val="auto"/>
      <w:sz w:val="24"/>
      <w:szCs w:val="24"/>
    </w:rPr>
  </w:style>
  <w:style w:type="table" w:customStyle="1" w:styleId="Sectiontable">
    <w:name w:val="Section table"/>
    <w:basedOn w:val="TableNormal"/>
    <w:uiPriority w:val="99"/>
    <w:rsid w:val="0028234C"/>
    <w:pPr>
      <w:spacing w:before="0" w:line="240" w:lineRule="auto"/>
    </w:pPr>
    <w:rPr>
      <w:rFonts w:asciiTheme="minorHAnsi" w:hAnsiTheme="minorHAnsi"/>
    </w:rPr>
    <w:tblPr>
      <w:tblStyleRowBandSize w:val="1"/>
    </w:tblPr>
    <w:tblStylePr w:type="band1Horz">
      <w:tblPr/>
      <w:tcPr>
        <w:shd w:val="clear" w:color="auto" w:fill="E6E7E8" w:themeFill="background2"/>
      </w:tcPr>
    </w:tblStylePr>
  </w:style>
  <w:style w:type="paragraph" w:customStyle="1" w:styleId="BODY">
    <w:name w:val="BODY"/>
    <w:basedOn w:val="Normal"/>
    <w:link w:val="BODYChar"/>
    <w:qFormat/>
    <w:rsid w:val="00ED2CF9"/>
    <w:pPr>
      <w:spacing w:before="120" w:after="120" w:line="260" w:lineRule="exact"/>
      <w:jc w:val="both"/>
    </w:pPr>
    <w:rPr>
      <w:rFonts w:eastAsia="Times New Roman" w:cs="Calibri Light"/>
      <w:snapToGrid w:val="0"/>
      <w:color w:val="auto"/>
      <w:sz w:val="19"/>
      <w:szCs w:val="18"/>
    </w:rPr>
  </w:style>
  <w:style w:type="character" w:customStyle="1" w:styleId="BODYChar">
    <w:name w:val="BODY Char"/>
    <w:basedOn w:val="DefaultParagraphFont"/>
    <w:link w:val="BODY"/>
    <w:rsid w:val="00ED2CF9"/>
    <w:rPr>
      <w:rFonts w:ascii="Calibri Light" w:eastAsia="Times New Roman" w:hAnsi="Calibri Light" w:cs="Calibri Light"/>
      <w:snapToGrid w:val="0"/>
      <w:sz w:val="19"/>
      <w:szCs w:val="18"/>
    </w:rPr>
  </w:style>
  <w:style w:type="paragraph" w:customStyle="1" w:styleId="xmsonormal">
    <w:name w:val="x_msonormal"/>
    <w:basedOn w:val="Normal"/>
    <w:rsid w:val="00CC231A"/>
    <w:pPr>
      <w:spacing w:after="0"/>
    </w:pPr>
    <w:rPr>
      <w:rFonts w:ascii="Calibri" w:eastAsiaTheme="minorEastAsia" w:hAnsi="Calibri" w:cs="Calibri"/>
      <w:color w:val="auto"/>
      <w:sz w:val="22"/>
      <w:lang w:eastAsia="zh-CN"/>
    </w:rPr>
  </w:style>
  <w:style w:type="paragraph" w:customStyle="1" w:styleId="PageNumber1">
    <w:name w:val="Page Number1"/>
    <w:basedOn w:val="BasicParagraph"/>
    <w:link w:val="PagenumberChar"/>
    <w:qFormat/>
    <w:rsid w:val="009846B4"/>
    <w:pPr>
      <w:spacing w:after="0" w:line="240" w:lineRule="auto"/>
      <w:jc w:val="center"/>
    </w:pPr>
    <w:rPr>
      <w:rFonts w:asciiTheme="minorHAnsi" w:hAnsiTheme="minorHAnsi" w:cstheme="minorHAnsi"/>
      <w:b/>
      <w:bCs/>
      <w:color w:val="414042" w:themeColor="text1"/>
      <w:sz w:val="20"/>
      <w:szCs w:val="20"/>
      <w:lang w:val="en-AU"/>
    </w:rPr>
  </w:style>
  <w:style w:type="paragraph" w:customStyle="1" w:styleId="Bullets2">
    <w:name w:val="Bullets 2"/>
    <w:basedOn w:val="Bulletlist"/>
    <w:link w:val="Bullets2Char"/>
    <w:qFormat/>
    <w:rsid w:val="001E33A3"/>
    <w:pPr>
      <w:numPr>
        <w:numId w:val="48"/>
      </w:numPr>
      <w:spacing w:after="80"/>
    </w:pPr>
  </w:style>
  <w:style w:type="character" w:customStyle="1" w:styleId="BasicParagraphChar">
    <w:name w:val="[Basic Paragraph] Char"/>
    <w:basedOn w:val="DefaultParagraphFont"/>
    <w:link w:val="BasicParagraph"/>
    <w:uiPriority w:val="99"/>
    <w:rsid w:val="009846B4"/>
    <w:rPr>
      <w:rFonts w:ascii="MinionPro-Regular" w:hAnsi="MinionPro-Regular" w:cs="MinionPro-Regular"/>
      <w:color w:val="000000"/>
      <w:sz w:val="24"/>
      <w:szCs w:val="24"/>
      <w:lang w:val="en-US"/>
    </w:rPr>
  </w:style>
  <w:style w:type="character" w:customStyle="1" w:styleId="PagenumberChar">
    <w:name w:val="Page number Char"/>
    <w:basedOn w:val="BasicParagraphChar"/>
    <w:link w:val="PageNumber1"/>
    <w:rsid w:val="009846B4"/>
    <w:rPr>
      <w:rFonts w:asciiTheme="minorHAnsi" w:hAnsiTheme="minorHAnsi" w:cstheme="minorHAnsi"/>
      <w:b/>
      <w:bCs/>
      <w:color w:val="414042" w:themeColor="text1"/>
      <w:sz w:val="20"/>
      <w:szCs w:val="20"/>
      <w:lang w:val="en-US"/>
    </w:rPr>
  </w:style>
  <w:style w:type="paragraph" w:customStyle="1" w:styleId="Bulletscondensed">
    <w:name w:val="Bullets condensed"/>
    <w:basedOn w:val="Bulletlist"/>
    <w:qFormat/>
    <w:rsid w:val="001267E4"/>
    <w:pPr>
      <w:spacing w:before="80" w:after="60"/>
      <w:ind w:left="360" w:hanging="360"/>
    </w:pPr>
  </w:style>
  <w:style w:type="character" w:customStyle="1" w:styleId="Bullets2Char">
    <w:name w:val="Bullets 2 Char"/>
    <w:basedOn w:val="BulletlistChar"/>
    <w:link w:val="Bullets2"/>
    <w:rsid w:val="001E33A3"/>
    <w:rPr>
      <w:rFonts w:ascii="Calibri Light" w:hAnsi="Calibri Light" w:cs="Calibri Light"/>
      <w:bCs/>
      <w:color w:val="58595B" w:themeColor="accent2"/>
      <w:spacing w:val="-4"/>
      <w:sz w:val="20"/>
      <w:szCs w:val="20"/>
      <w:u w:color="E6E7E8" w:themeColor="background2"/>
    </w:rPr>
  </w:style>
  <w:style w:type="paragraph" w:customStyle="1" w:styleId="NormalItalics">
    <w:name w:val="Normal Italics"/>
    <w:basedOn w:val="Bulletlist"/>
    <w:qFormat/>
    <w:rsid w:val="00333242"/>
    <w:rPr>
      <w:i/>
    </w:rPr>
  </w:style>
  <w:style w:type="paragraph" w:customStyle="1" w:styleId="Bulletlist3">
    <w:name w:val="Bullet list 3"/>
    <w:basedOn w:val="Bulletscondensed"/>
    <w:next w:val="Bullets"/>
    <w:autoRedefine/>
    <w:rsid w:val="00BD5534"/>
    <w:pPr>
      <w:spacing w:before="0" w:after="20"/>
    </w:pPr>
  </w:style>
  <w:style w:type="paragraph" w:customStyle="1" w:styleId="Heading42">
    <w:name w:val="Heading 4 2"/>
    <w:basedOn w:val="Heading4"/>
    <w:qFormat/>
    <w:rsid w:val="00BD5534"/>
    <w:pPr>
      <w:spacing w:before="40" w:after="0"/>
    </w:pPr>
    <w:rPr>
      <w:noProof/>
    </w:rPr>
  </w:style>
  <w:style w:type="paragraph" w:customStyle="1" w:styleId="Bulletlist1">
    <w:name w:val="Bullet list 1"/>
    <w:basedOn w:val="Bulletlist"/>
    <w:autoRedefine/>
    <w:rsid w:val="00DA63C4"/>
    <w:rPr>
      <w:bCs w:val="0"/>
    </w:rPr>
  </w:style>
  <w:style w:type="paragraph" w:customStyle="1" w:styleId="Bullets">
    <w:name w:val="Bullets"/>
    <w:basedOn w:val="Normal"/>
    <w:qFormat/>
    <w:rsid w:val="00DA63C4"/>
    <w:pPr>
      <w:numPr>
        <w:numId w:val="50"/>
      </w:numPr>
      <w:spacing w:after="120"/>
    </w:pPr>
  </w:style>
  <w:style w:type="paragraph" w:customStyle="1" w:styleId="Bullets3">
    <w:name w:val="Bullets 3"/>
    <w:basedOn w:val="Bullets"/>
    <w:qFormat/>
    <w:rsid w:val="00C571FA"/>
    <w:pPr>
      <w:spacing w:after="20"/>
    </w:pPr>
    <w:rPr>
      <w:sz w:val="18"/>
    </w:rPr>
  </w:style>
  <w:style w:type="paragraph" w:customStyle="1" w:styleId="Bulletlistcondensed">
    <w:name w:val="Bullet list condensed"/>
    <w:basedOn w:val="Bulletlist"/>
    <w:rsid w:val="00C571FA"/>
  </w:style>
  <w:style w:type="table" w:customStyle="1" w:styleId="TableGrid2">
    <w:name w:val="Table Grid2"/>
    <w:basedOn w:val="TableNormal"/>
    <w:next w:val="TableGrid"/>
    <w:rsid w:val="000A31FB"/>
    <w:pPr>
      <w:widowControl w:val="0"/>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
    <w:name w:val="Table 1 style1"/>
    <w:basedOn w:val="TableNormal"/>
    <w:next w:val="TableGridLight"/>
    <w:uiPriority w:val="40"/>
    <w:rsid w:val="001535C1"/>
    <w:pPr>
      <w:spacing w:before="0" w:line="240" w:lineRule="auto"/>
    </w:pPr>
    <w:rPr>
      <w: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cPr>
    <w:tblStylePr w:type="firstRow">
      <w:pPr>
        <w:jc w:val="left"/>
      </w:pPr>
      <w:rPr>
        <w:rFonts w:ascii="Calibri" w:hAnsi="Calibri"/>
        <w:b/>
        <w:sz w:val="22"/>
      </w:rPr>
      <w:tblPr/>
      <w:tcPr>
        <w:shd w:val="clear" w:color="auto" w:fill="BDE6F5"/>
      </w:tcPr>
    </w:tblStylePr>
    <w:tblStylePr w:type="lastRow">
      <w:rPr>
        <w:rFonts w:ascii="Calibri" w:hAnsi="Calibri"/>
        <w:b/>
        <w:sz w:val="22"/>
      </w:rPr>
    </w:tblStylePr>
    <w:tblStylePr w:type="band1Horz">
      <w:rPr>
        <w:rFonts w:ascii="Calibri" w:hAnsi="Calibri"/>
        <w:b w:val="0"/>
        <w:sz w:val="22"/>
      </w:rPr>
      <w:tblPr/>
      <w:tcPr>
        <w:shd w:val="clear" w:color="auto" w:fill="F2F2F2"/>
      </w:tcPr>
    </w:tblStylePr>
    <w:tblStylePr w:type="band2Horz">
      <w:rPr>
        <w:rFonts w:ascii="Calibri" w:hAnsi="Calibri"/>
        <w:b w:val="0"/>
        <w:sz w:val="22"/>
      </w:rPr>
      <w:tblPr/>
      <w:tcPr>
        <w:shd w:val="clear" w:color="auto" w:fill="D9D9D9"/>
      </w:tcPr>
    </w:tblStylePr>
  </w:style>
  <w:style w:type="table" w:customStyle="1" w:styleId="TableGrid3">
    <w:name w:val="Table Grid3"/>
    <w:basedOn w:val="TableNormal"/>
    <w:next w:val="TableGrid"/>
    <w:rsid w:val="00554EA5"/>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2DA"/>
    <w:pPr>
      <w:widowControl w:val="0"/>
      <w:autoSpaceDE w:val="0"/>
      <w:autoSpaceDN w:val="0"/>
      <w:adjustRightInd w:val="0"/>
      <w:spacing w:after="0"/>
      <w:jc w:val="right"/>
    </w:pPr>
    <w:rPr>
      <w:rFonts w:ascii="Calibri" w:eastAsiaTheme="minorEastAsia" w:hAnsi="Calibri" w:cs="Calibri"/>
      <w:color w:val="auto"/>
      <w:sz w:val="24"/>
      <w:szCs w:val="24"/>
      <w:lang w:eastAsia="en-AU"/>
    </w:rPr>
  </w:style>
  <w:style w:type="paragraph" w:customStyle="1" w:styleId="Bullets2b">
    <w:name w:val="Bullets 2b"/>
    <w:basedOn w:val="Bullets2"/>
    <w:rsid w:val="00143E30"/>
  </w:style>
  <w:style w:type="paragraph" w:customStyle="1" w:styleId="Bullets2c">
    <w:name w:val="Bullets 2c"/>
    <w:basedOn w:val="Normal"/>
    <w:qFormat/>
    <w:rsid w:val="001E33A3"/>
    <w:pPr>
      <w:numPr>
        <w:numId w:val="55"/>
      </w:numPr>
      <w:spacing w:after="80"/>
    </w:pPr>
  </w:style>
  <w:style w:type="paragraph" w:customStyle="1" w:styleId="Heading4b0">
    <w:name w:val="Heading 4 b"/>
    <w:basedOn w:val="Heading4"/>
    <w:link w:val="Heading4bChar0"/>
    <w:qFormat/>
    <w:rsid w:val="00B01FF4"/>
    <w:rPr>
      <w:noProof/>
    </w:rPr>
  </w:style>
  <w:style w:type="character" w:customStyle="1" w:styleId="Heading4bChar0">
    <w:name w:val="Heading 4 b Char"/>
    <w:basedOn w:val="Heading4Char"/>
    <w:link w:val="Heading4b0"/>
    <w:rsid w:val="00B01FF4"/>
    <w:rPr>
      <w:rFonts w:cs="Calibri"/>
      <w:b/>
      <w:bCs/>
      <w:noProof/>
      <w:color w:val="414042" w:themeColor="text1"/>
      <w:spacing w:val="6"/>
      <w:sz w:val="20"/>
      <w:szCs w:val="20"/>
    </w:rPr>
  </w:style>
  <w:style w:type="paragraph" w:customStyle="1" w:styleId="Bullets4">
    <w:name w:val="Bullets 4"/>
    <w:basedOn w:val="Bullets"/>
    <w:qFormat/>
    <w:rsid w:val="007357E9"/>
    <w:pPr>
      <w:spacing w:after="80"/>
    </w:pPr>
    <w:rPr>
      <w:spacing w:val="-4"/>
    </w:rPr>
  </w:style>
  <w:style w:type="paragraph" w:customStyle="1" w:styleId="Heading4leftaligned">
    <w:name w:val="Heading 4 left aligned"/>
    <w:basedOn w:val="Heading4"/>
    <w:link w:val="Heading4leftalignedChar"/>
    <w:autoRedefine/>
    <w:qFormat/>
    <w:rsid w:val="00BE57E9"/>
    <w:pPr>
      <w:outlineLvl w:val="9"/>
    </w:pPr>
    <w:rPr>
      <w:b w:val="0"/>
      <w:bCs w:val="0"/>
      <w:noProof/>
    </w:rPr>
  </w:style>
  <w:style w:type="character" w:customStyle="1" w:styleId="Heading4leftalignedChar">
    <w:name w:val="Heading 4 left aligned Char"/>
    <w:basedOn w:val="Heading4Char"/>
    <w:link w:val="Heading4leftaligned"/>
    <w:rsid w:val="00BE57E9"/>
    <w:rPr>
      <w:rFonts w:cs="Calibri"/>
      <w:b w:val="0"/>
      <w:bCs w:val="0"/>
      <w:noProof/>
      <w:color w:val="414042" w:themeColor="text1"/>
      <w:sz w:val="20"/>
      <w:szCs w:val="18"/>
    </w:rPr>
  </w:style>
  <w:style w:type="paragraph" w:customStyle="1" w:styleId="Pa5">
    <w:name w:val="Pa5"/>
    <w:basedOn w:val="Default"/>
    <w:next w:val="Default"/>
    <w:uiPriority w:val="99"/>
    <w:rsid w:val="008A0EA3"/>
    <w:pPr>
      <w:spacing w:line="281" w:lineRule="atLeast"/>
    </w:pPr>
    <w:rPr>
      <w:rFonts w:ascii="Calibri" w:hAnsi="Calibri" w:cs="Calibri"/>
      <w:color w:val="auto"/>
      <w14:ligatures w14:val="standardContextual"/>
    </w:rPr>
  </w:style>
  <w:style w:type="paragraph" w:customStyle="1" w:styleId="Pa19">
    <w:name w:val="Pa19"/>
    <w:basedOn w:val="Default"/>
    <w:next w:val="Default"/>
    <w:uiPriority w:val="99"/>
    <w:rsid w:val="008A0EA3"/>
    <w:pPr>
      <w:spacing w:line="221" w:lineRule="atLeast"/>
    </w:pPr>
    <w:rPr>
      <w:rFonts w:ascii="Calibri" w:hAnsi="Calibri" w:cs="Calibri"/>
      <w:color w:val="auto"/>
      <w14:ligatures w14:val="standardContextual"/>
    </w:rPr>
  </w:style>
  <w:style w:type="table" w:customStyle="1" w:styleId="Annualreport2020-211">
    <w:name w:val="Annual report 2020-211"/>
    <w:basedOn w:val="TableNormal"/>
    <w:uiPriority w:val="99"/>
    <w:rsid w:val="005C2096"/>
    <w:pPr>
      <w:spacing w:before="0" w:line="240" w:lineRule="auto"/>
      <w:jc w:val="center"/>
    </w:pPr>
    <w:rPr>
      <w:color w:val="414042"/>
      <w:sz w:val="20"/>
    </w:rPr>
    <w:tblPr>
      <w:tblBorders>
        <w:bottom w:val="single" w:sz="8" w:space="0" w:color="auto"/>
        <w:insideH w:val="single" w:sz="8" w:space="0" w:color="414042"/>
        <w:insideV w:val="single" w:sz="8" w:space="0" w:color="414042"/>
      </w:tblBorders>
      <w:tblCellMar>
        <w:top w:w="28" w:type="dxa"/>
        <w:bottom w:w="28" w:type="dxa"/>
      </w:tblCellMar>
    </w:tblPr>
    <w:tcPr>
      <w:shd w:val="clear" w:color="auto" w:fill="FFFFFF"/>
      <w:vAlign w:val="center"/>
    </w:tcPr>
    <w:tblStylePr w:type="firstRow">
      <w:pPr>
        <w:jc w:val="center"/>
      </w:pPr>
      <w:rPr>
        <w:rFonts w:ascii="Calibri" w:hAnsi="Calibri"/>
        <w:b/>
        <w:color w:val="414042"/>
        <w:sz w:val="20"/>
      </w:rPr>
      <w:tblPr/>
      <w:tcPr>
        <w:shd w:val="clear" w:color="auto" w:fill="E6E7E8"/>
      </w:tcPr>
    </w:tblStylePr>
    <w:tblStylePr w:type="lastRow">
      <w:pPr>
        <w:jc w:val="center"/>
      </w:pPr>
      <w:rPr>
        <w:rFonts w:ascii="Calibri" w:hAnsi="Calibri"/>
        <w:sz w:val="20"/>
      </w:rPr>
      <w:tblPr/>
      <w:tcPr>
        <w:shd w:val="clear" w:color="auto" w:fill="FFFFFF"/>
      </w:tcPr>
    </w:tblStylePr>
  </w:style>
  <w:style w:type="table" w:customStyle="1" w:styleId="GridTable1Light-Accent61">
    <w:name w:val="Grid Table 1 Light - Accent 61"/>
    <w:basedOn w:val="TableNormal"/>
    <w:next w:val="GridTable1Light-Accent6"/>
    <w:uiPriority w:val="46"/>
    <w:rsid w:val="00F844DE"/>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36712A"/>
  </w:style>
  <w:style w:type="character" w:customStyle="1" w:styleId="cf01">
    <w:name w:val="cf01"/>
    <w:basedOn w:val="DefaultParagraphFont"/>
    <w:rsid w:val="00E61D6B"/>
    <w:rPr>
      <w:rFonts w:ascii="Segoe UI" w:hAnsi="Segoe UI" w:cs="Segoe UI" w:hint="default"/>
      <w:color w:val="58595B"/>
      <w:sz w:val="18"/>
      <w:szCs w:val="18"/>
    </w:rPr>
  </w:style>
  <w:style w:type="character" w:customStyle="1" w:styleId="cf11">
    <w:name w:val="cf11"/>
    <w:basedOn w:val="DefaultParagraphFont"/>
    <w:rsid w:val="00E61D6B"/>
    <w:rPr>
      <w:rFonts w:ascii="Segoe UI" w:hAnsi="Segoe UI" w:cs="Segoe UI" w:hint="default"/>
      <w:b/>
      <w:bCs/>
      <w:i/>
      <w:iCs/>
      <w:color w:val="58595B"/>
      <w:sz w:val="18"/>
      <w:szCs w:val="18"/>
    </w:rPr>
  </w:style>
  <w:style w:type="character" w:customStyle="1" w:styleId="cf21">
    <w:name w:val="cf21"/>
    <w:basedOn w:val="DefaultParagraphFont"/>
    <w:rsid w:val="00E61D6B"/>
    <w:rPr>
      <w:rFonts w:ascii="Segoe UI" w:hAnsi="Segoe UI" w:cs="Segoe UI" w:hint="default"/>
      <w:i/>
      <w:iCs/>
      <w:color w:val="58595B"/>
      <w:sz w:val="18"/>
      <w:szCs w:val="18"/>
    </w:rPr>
  </w:style>
  <w:style w:type="character" w:styleId="Strong">
    <w:name w:val="Strong"/>
    <w:basedOn w:val="DefaultParagraphFont"/>
    <w:uiPriority w:val="22"/>
    <w:qFormat/>
    <w:rsid w:val="00FD0FB1"/>
    <w:rPr>
      <w:b/>
      <w:bCs/>
    </w:rPr>
  </w:style>
  <w:style w:type="paragraph" w:customStyle="1" w:styleId="Objectivesubs">
    <w:name w:val="Objective subs"/>
    <w:basedOn w:val="Heading4"/>
    <w:link w:val="ObjectivesubsChar"/>
    <w:qFormat/>
    <w:rsid w:val="00533BB5"/>
  </w:style>
  <w:style w:type="character" w:customStyle="1" w:styleId="ObjectivesubsChar">
    <w:name w:val="Objective subs Char"/>
    <w:basedOn w:val="Heading4Char"/>
    <w:link w:val="Objectivesubs"/>
    <w:rsid w:val="00533BB5"/>
    <w:rPr>
      <w:rFonts w:cs="Calibri"/>
      <w:b/>
      <w:bCs/>
      <w:color w:val="414042"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9876">
      <w:bodyDiv w:val="1"/>
      <w:marLeft w:val="0"/>
      <w:marRight w:val="0"/>
      <w:marTop w:val="0"/>
      <w:marBottom w:val="0"/>
      <w:divBdr>
        <w:top w:val="none" w:sz="0" w:space="0" w:color="auto"/>
        <w:left w:val="none" w:sz="0" w:space="0" w:color="auto"/>
        <w:bottom w:val="none" w:sz="0" w:space="0" w:color="auto"/>
        <w:right w:val="none" w:sz="0" w:space="0" w:color="auto"/>
      </w:divBdr>
    </w:div>
    <w:div w:id="86659625">
      <w:bodyDiv w:val="1"/>
      <w:marLeft w:val="0"/>
      <w:marRight w:val="0"/>
      <w:marTop w:val="0"/>
      <w:marBottom w:val="0"/>
      <w:divBdr>
        <w:top w:val="none" w:sz="0" w:space="0" w:color="auto"/>
        <w:left w:val="none" w:sz="0" w:space="0" w:color="auto"/>
        <w:bottom w:val="none" w:sz="0" w:space="0" w:color="auto"/>
        <w:right w:val="none" w:sz="0" w:space="0" w:color="auto"/>
      </w:divBdr>
    </w:div>
    <w:div w:id="106048215">
      <w:bodyDiv w:val="1"/>
      <w:marLeft w:val="0"/>
      <w:marRight w:val="0"/>
      <w:marTop w:val="0"/>
      <w:marBottom w:val="0"/>
      <w:divBdr>
        <w:top w:val="none" w:sz="0" w:space="0" w:color="auto"/>
        <w:left w:val="none" w:sz="0" w:space="0" w:color="auto"/>
        <w:bottom w:val="none" w:sz="0" w:space="0" w:color="auto"/>
        <w:right w:val="none" w:sz="0" w:space="0" w:color="auto"/>
      </w:divBdr>
    </w:div>
    <w:div w:id="176965729">
      <w:bodyDiv w:val="1"/>
      <w:marLeft w:val="0"/>
      <w:marRight w:val="0"/>
      <w:marTop w:val="0"/>
      <w:marBottom w:val="0"/>
      <w:divBdr>
        <w:top w:val="none" w:sz="0" w:space="0" w:color="auto"/>
        <w:left w:val="none" w:sz="0" w:space="0" w:color="auto"/>
        <w:bottom w:val="none" w:sz="0" w:space="0" w:color="auto"/>
        <w:right w:val="none" w:sz="0" w:space="0" w:color="auto"/>
      </w:divBdr>
    </w:div>
    <w:div w:id="204224713">
      <w:bodyDiv w:val="1"/>
      <w:marLeft w:val="0"/>
      <w:marRight w:val="0"/>
      <w:marTop w:val="0"/>
      <w:marBottom w:val="0"/>
      <w:divBdr>
        <w:top w:val="none" w:sz="0" w:space="0" w:color="auto"/>
        <w:left w:val="none" w:sz="0" w:space="0" w:color="auto"/>
        <w:bottom w:val="none" w:sz="0" w:space="0" w:color="auto"/>
        <w:right w:val="none" w:sz="0" w:space="0" w:color="auto"/>
      </w:divBdr>
    </w:div>
    <w:div w:id="226574547">
      <w:bodyDiv w:val="1"/>
      <w:marLeft w:val="0"/>
      <w:marRight w:val="0"/>
      <w:marTop w:val="0"/>
      <w:marBottom w:val="0"/>
      <w:divBdr>
        <w:top w:val="none" w:sz="0" w:space="0" w:color="auto"/>
        <w:left w:val="none" w:sz="0" w:space="0" w:color="auto"/>
        <w:bottom w:val="none" w:sz="0" w:space="0" w:color="auto"/>
        <w:right w:val="none" w:sz="0" w:space="0" w:color="auto"/>
      </w:divBdr>
    </w:div>
    <w:div w:id="227695464">
      <w:bodyDiv w:val="1"/>
      <w:marLeft w:val="0"/>
      <w:marRight w:val="0"/>
      <w:marTop w:val="0"/>
      <w:marBottom w:val="0"/>
      <w:divBdr>
        <w:top w:val="none" w:sz="0" w:space="0" w:color="auto"/>
        <w:left w:val="none" w:sz="0" w:space="0" w:color="auto"/>
        <w:bottom w:val="none" w:sz="0" w:space="0" w:color="auto"/>
        <w:right w:val="none" w:sz="0" w:space="0" w:color="auto"/>
      </w:divBdr>
    </w:div>
    <w:div w:id="332222878">
      <w:bodyDiv w:val="1"/>
      <w:marLeft w:val="0"/>
      <w:marRight w:val="0"/>
      <w:marTop w:val="0"/>
      <w:marBottom w:val="0"/>
      <w:divBdr>
        <w:top w:val="none" w:sz="0" w:space="0" w:color="auto"/>
        <w:left w:val="none" w:sz="0" w:space="0" w:color="auto"/>
        <w:bottom w:val="none" w:sz="0" w:space="0" w:color="auto"/>
        <w:right w:val="none" w:sz="0" w:space="0" w:color="auto"/>
      </w:divBdr>
    </w:div>
    <w:div w:id="388723910">
      <w:bodyDiv w:val="1"/>
      <w:marLeft w:val="0"/>
      <w:marRight w:val="0"/>
      <w:marTop w:val="0"/>
      <w:marBottom w:val="0"/>
      <w:divBdr>
        <w:top w:val="none" w:sz="0" w:space="0" w:color="auto"/>
        <w:left w:val="none" w:sz="0" w:space="0" w:color="auto"/>
        <w:bottom w:val="none" w:sz="0" w:space="0" w:color="auto"/>
        <w:right w:val="none" w:sz="0" w:space="0" w:color="auto"/>
      </w:divBdr>
    </w:div>
    <w:div w:id="408310411">
      <w:bodyDiv w:val="1"/>
      <w:marLeft w:val="0"/>
      <w:marRight w:val="0"/>
      <w:marTop w:val="0"/>
      <w:marBottom w:val="0"/>
      <w:divBdr>
        <w:top w:val="none" w:sz="0" w:space="0" w:color="auto"/>
        <w:left w:val="none" w:sz="0" w:space="0" w:color="auto"/>
        <w:bottom w:val="none" w:sz="0" w:space="0" w:color="auto"/>
        <w:right w:val="none" w:sz="0" w:space="0" w:color="auto"/>
      </w:divBdr>
    </w:div>
    <w:div w:id="408506852">
      <w:bodyDiv w:val="1"/>
      <w:marLeft w:val="0"/>
      <w:marRight w:val="0"/>
      <w:marTop w:val="0"/>
      <w:marBottom w:val="0"/>
      <w:divBdr>
        <w:top w:val="none" w:sz="0" w:space="0" w:color="auto"/>
        <w:left w:val="none" w:sz="0" w:space="0" w:color="auto"/>
        <w:bottom w:val="none" w:sz="0" w:space="0" w:color="auto"/>
        <w:right w:val="none" w:sz="0" w:space="0" w:color="auto"/>
      </w:divBdr>
    </w:div>
    <w:div w:id="418019513">
      <w:bodyDiv w:val="1"/>
      <w:marLeft w:val="0"/>
      <w:marRight w:val="0"/>
      <w:marTop w:val="0"/>
      <w:marBottom w:val="0"/>
      <w:divBdr>
        <w:top w:val="none" w:sz="0" w:space="0" w:color="auto"/>
        <w:left w:val="none" w:sz="0" w:space="0" w:color="auto"/>
        <w:bottom w:val="none" w:sz="0" w:space="0" w:color="auto"/>
        <w:right w:val="none" w:sz="0" w:space="0" w:color="auto"/>
      </w:divBdr>
    </w:div>
    <w:div w:id="431751587">
      <w:bodyDiv w:val="1"/>
      <w:marLeft w:val="0"/>
      <w:marRight w:val="0"/>
      <w:marTop w:val="0"/>
      <w:marBottom w:val="0"/>
      <w:divBdr>
        <w:top w:val="none" w:sz="0" w:space="0" w:color="auto"/>
        <w:left w:val="none" w:sz="0" w:space="0" w:color="auto"/>
        <w:bottom w:val="none" w:sz="0" w:space="0" w:color="auto"/>
        <w:right w:val="none" w:sz="0" w:space="0" w:color="auto"/>
      </w:divBdr>
    </w:div>
    <w:div w:id="501942122">
      <w:bodyDiv w:val="1"/>
      <w:marLeft w:val="0"/>
      <w:marRight w:val="0"/>
      <w:marTop w:val="0"/>
      <w:marBottom w:val="0"/>
      <w:divBdr>
        <w:top w:val="none" w:sz="0" w:space="0" w:color="auto"/>
        <w:left w:val="none" w:sz="0" w:space="0" w:color="auto"/>
        <w:bottom w:val="none" w:sz="0" w:space="0" w:color="auto"/>
        <w:right w:val="none" w:sz="0" w:space="0" w:color="auto"/>
      </w:divBdr>
    </w:div>
    <w:div w:id="516189551">
      <w:bodyDiv w:val="1"/>
      <w:marLeft w:val="0"/>
      <w:marRight w:val="0"/>
      <w:marTop w:val="0"/>
      <w:marBottom w:val="0"/>
      <w:divBdr>
        <w:top w:val="none" w:sz="0" w:space="0" w:color="auto"/>
        <w:left w:val="none" w:sz="0" w:space="0" w:color="auto"/>
        <w:bottom w:val="none" w:sz="0" w:space="0" w:color="auto"/>
        <w:right w:val="none" w:sz="0" w:space="0" w:color="auto"/>
      </w:divBdr>
    </w:div>
    <w:div w:id="540482924">
      <w:bodyDiv w:val="1"/>
      <w:marLeft w:val="0"/>
      <w:marRight w:val="0"/>
      <w:marTop w:val="0"/>
      <w:marBottom w:val="0"/>
      <w:divBdr>
        <w:top w:val="none" w:sz="0" w:space="0" w:color="auto"/>
        <w:left w:val="none" w:sz="0" w:space="0" w:color="auto"/>
        <w:bottom w:val="none" w:sz="0" w:space="0" w:color="auto"/>
        <w:right w:val="none" w:sz="0" w:space="0" w:color="auto"/>
      </w:divBdr>
    </w:div>
    <w:div w:id="574707718">
      <w:bodyDiv w:val="1"/>
      <w:marLeft w:val="0"/>
      <w:marRight w:val="0"/>
      <w:marTop w:val="0"/>
      <w:marBottom w:val="0"/>
      <w:divBdr>
        <w:top w:val="none" w:sz="0" w:space="0" w:color="auto"/>
        <w:left w:val="none" w:sz="0" w:space="0" w:color="auto"/>
        <w:bottom w:val="none" w:sz="0" w:space="0" w:color="auto"/>
        <w:right w:val="none" w:sz="0" w:space="0" w:color="auto"/>
      </w:divBdr>
    </w:div>
    <w:div w:id="598414607">
      <w:bodyDiv w:val="1"/>
      <w:marLeft w:val="0"/>
      <w:marRight w:val="0"/>
      <w:marTop w:val="0"/>
      <w:marBottom w:val="0"/>
      <w:divBdr>
        <w:top w:val="none" w:sz="0" w:space="0" w:color="auto"/>
        <w:left w:val="none" w:sz="0" w:space="0" w:color="auto"/>
        <w:bottom w:val="none" w:sz="0" w:space="0" w:color="auto"/>
        <w:right w:val="none" w:sz="0" w:space="0" w:color="auto"/>
      </w:divBdr>
    </w:div>
    <w:div w:id="660692430">
      <w:bodyDiv w:val="1"/>
      <w:marLeft w:val="0"/>
      <w:marRight w:val="0"/>
      <w:marTop w:val="0"/>
      <w:marBottom w:val="0"/>
      <w:divBdr>
        <w:top w:val="none" w:sz="0" w:space="0" w:color="auto"/>
        <w:left w:val="none" w:sz="0" w:space="0" w:color="auto"/>
        <w:bottom w:val="none" w:sz="0" w:space="0" w:color="auto"/>
        <w:right w:val="none" w:sz="0" w:space="0" w:color="auto"/>
      </w:divBdr>
    </w:div>
    <w:div w:id="691539222">
      <w:bodyDiv w:val="1"/>
      <w:marLeft w:val="0"/>
      <w:marRight w:val="0"/>
      <w:marTop w:val="0"/>
      <w:marBottom w:val="0"/>
      <w:divBdr>
        <w:top w:val="none" w:sz="0" w:space="0" w:color="auto"/>
        <w:left w:val="none" w:sz="0" w:space="0" w:color="auto"/>
        <w:bottom w:val="none" w:sz="0" w:space="0" w:color="auto"/>
        <w:right w:val="none" w:sz="0" w:space="0" w:color="auto"/>
      </w:divBdr>
    </w:div>
    <w:div w:id="704869469">
      <w:bodyDiv w:val="1"/>
      <w:marLeft w:val="0"/>
      <w:marRight w:val="0"/>
      <w:marTop w:val="0"/>
      <w:marBottom w:val="0"/>
      <w:divBdr>
        <w:top w:val="none" w:sz="0" w:space="0" w:color="auto"/>
        <w:left w:val="none" w:sz="0" w:space="0" w:color="auto"/>
        <w:bottom w:val="none" w:sz="0" w:space="0" w:color="auto"/>
        <w:right w:val="none" w:sz="0" w:space="0" w:color="auto"/>
      </w:divBdr>
    </w:div>
    <w:div w:id="710034444">
      <w:bodyDiv w:val="1"/>
      <w:marLeft w:val="0"/>
      <w:marRight w:val="0"/>
      <w:marTop w:val="0"/>
      <w:marBottom w:val="0"/>
      <w:divBdr>
        <w:top w:val="none" w:sz="0" w:space="0" w:color="auto"/>
        <w:left w:val="none" w:sz="0" w:space="0" w:color="auto"/>
        <w:bottom w:val="none" w:sz="0" w:space="0" w:color="auto"/>
        <w:right w:val="none" w:sz="0" w:space="0" w:color="auto"/>
      </w:divBdr>
    </w:div>
    <w:div w:id="712000370">
      <w:bodyDiv w:val="1"/>
      <w:marLeft w:val="0"/>
      <w:marRight w:val="0"/>
      <w:marTop w:val="0"/>
      <w:marBottom w:val="0"/>
      <w:divBdr>
        <w:top w:val="none" w:sz="0" w:space="0" w:color="auto"/>
        <w:left w:val="none" w:sz="0" w:space="0" w:color="auto"/>
        <w:bottom w:val="none" w:sz="0" w:space="0" w:color="auto"/>
        <w:right w:val="none" w:sz="0" w:space="0" w:color="auto"/>
      </w:divBdr>
    </w:div>
    <w:div w:id="770079075">
      <w:bodyDiv w:val="1"/>
      <w:marLeft w:val="0"/>
      <w:marRight w:val="0"/>
      <w:marTop w:val="0"/>
      <w:marBottom w:val="0"/>
      <w:divBdr>
        <w:top w:val="none" w:sz="0" w:space="0" w:color="auto"/>
        <w:left w:val="none" w:sz="0" w:space="0" w:color="auto"/>
        <w:bottom w:val="none" w:sz="0" w:space="0" w:color="auto"/>
        <w:right w:val="none" w:sz="0" w:space="0" w:color="auto"/>
      </w:divBdr>
    </w:div>
    <w:div w:id="812403959">
      <w:bodyDiv w:val="1"/>
      <w:marLeft w:val="0"/>
      <w:marRight w:val="0"/>
      <w:marTop w:val="0"/>
      <w:marBottom w:val="0"/>
      <w:divBdr>
        <w:top w:val="none" w:sz="0" w:space="0" w:color="auto"/>
        <w:left w:val="none" w:sz="0" w:space="0" w:color="auto"/>
        <w:bottom w:val="none" w:sz="0" w:space="0" w:color="auto"/>
        <w:right w:val="none" w:sz="0" w:space="0" w:color="auto"/>
      </w:divBdr>
    </w:div>
    <w:div w:id="837573271">
      <w:bodyDiv w:val="1"/>
      <w:marLeft w:val="0"/>
      <w:marRight w:val="0"/>
      <w:marTop w:val="0"/>
      <w:marBottom w:val="0"/>
      <w:divBdr>
        <w:top w:val="none" w:sz="0" w:space="0" w:color="auto"/>
        <w:left w:val="none" w:sz="0" w:space="0" w:color="auto"/>
        <w:bottom w:val="none" w:sz="0" w:space="0" w:color="auto"/>
        <w:right w:val="none" w:sz="0" w:space="0" w:color="auto"/>
      </w:divBdr>
    </w:div>
    <w:div w:id="854810266">
      <w:bodyDiv w:val="1"/>
      <w:marLeft w:val="0"/>
      <w:marRight w:val="0"/>
      <w:marTop w:val="0"/>
      <w:marBottom w:val="0"/>
      <w:divBdr>
        <w:top w:val="none" w:sz="0" w:space="0" w:color="auto"/>
        <w:left w:val="none" w:sz="0" w:space="0" w:color="auto"/>
        <w:bottom w:val="none" w:sz="0" w:space="0" w:color="auto"/>
        <w:right w:val="none" w:sz="0" w:space="0" w:color="auto"/>
      </w:divBdr>
    </w:div>
    <w:div w:id="973409687">
      <w:bodyDiv w:val="1"/>
      <w:marLeft w:val="0"/>
      <w:marRight w:val="0"/>
      <w:marTop w:val="0"/>
      <w:marBottom w:val="0"/>
      <w:divBdr>
        <w:top w:val="none" w:sz="0" w:space="0" w:color="auto"/>
        <w:left w:val="none" w:sz="0" w:space="0" w:color="auto"/>
        <w:bottom w:val="none" w:sz="0" w:space="0" w:color="auto"/>
        <w:right w:val="none" w:sz="0" w:space="0" w:color="auto"/>
      </w:divBdr>
    </w:div>
    <w:div w:id="1081878917">
      <w:bodyDiv w:val="1"/>
      <w:marLeft w:val="0"/>
      <w:marRight w:val="0"/>
      <w:marTop w:val="0"/>
      <w:marBottom w:val="0"/>
      <w:divBdr>
        <w:top w:val="none" w:sz="0" w:space="0" w:color="auto"/>
        <w:left w:val="none" w:sz="0" w:space="0" w:color="auto"/>
        <w:bottom w:val="none" w:sz="0" w:space="0" w:color="auto"/>
        <w:right w:val="none" w:sz="0" w:space="0" w:color="auto"/>
      </w:divBdr>
    </w:div>
    <w:div w:id="1107389136">
      <w:bodyDiv w:val="1"/>
      <w:marLeft w:val="0"/>
      <w:marRight w:val="0"/>
      <w:marTop w:val="0"/>
      <w:marBottom w:val="0"/>
      <w:divBdr>
        <w:top w:val="none" w:sz="0" w:space="0" w:color="auto"/>
        <w:left w:val="none" w:sz="0" w:space="0" w:color="auto"/>
        <w:bottom w:val="none" w:sz="0" w:space="0" w:color="auto"/>
        <w:right w:val="none" w:sz="0" w:space="0" w:color="auto"/>
      </w:divBdr>
    </w:div>
    <w:div w:id="1113090485">
      <w:bodyDiv w:val="1"/>
      <w:marLeft w:val="0"/>
      <w:marRight w:val="0"/>
      <w:marTop w:val="0"/>
      <w:marBottom w:val="0"/>
      <w:divBdr>
        <w:top w:val="none" w:sz="0" w:space="0" w:color="auto"/>
        <w:left w:val="none" w:sz="0" w:space="0" w:color="auto"/>
        <w:bottom w:val="none" w:sz="0" w:space="0" w:color="auto"/>
        <w:right w:val="none" w:sz="0" w:space="0" w:color="auto"/>
      </w:divBdr>
    </w:div>
    <w:div w:id="1148593625">
      <w:bodyDiv w:val="1"/>
      <w:marLeft w:val="0"/>
      <w:marRight w:val="0"/>
      <w:marTop w:val="0"/>
      <w:marBottom w:val="0"/>
      <w:divBdr>
        <w:top w:val="none" w:sz="0" w:space="0" w:color="auto"/>
        <w:left w:val="none" w:sz="0" w:space="0" w:color="auto"/>
        <w:bottom w:val="none" w:sz="0" w:space="0" w:color="auto"/>
        <w:right w:val="none" w:sz="0" w:space="0" w:color="auto"/>
      </w:divBdr>
    </w:div>
    <w:div w:id="1155145170">
      <w:bodyDiv w:val="1"/>
      <w:marLeft w:val="0"/>
      <w:marRight w:val="0"/>
      <w:marTop w:val="0"/>
      <w:marBottom w:val="0"/>
      <w:divBdr>
        <w:top w:val="none" w:sz="0" w:space="0" w:color="auto"/>
        <w:left w:val="none" w:sz="0" w:space="0" w:color="auto"/>
        <w:bottom w:val="none" w:sz="0" w:space="0" w:color="auto"/>
        <w:right w:val="none" w:sz="0" w:space="0" w:color="auto"/>
      </w:divBdr>
    </w:div>
    <w:div w:id="1156923069">
      <w:bodyDiv w:val="1"/>
      <w:marLeft w:val="0"/>
      <w:marRight w:val="0"/>
      <w:marTop w:val="0"/>
      <w:marBottom w:val="0"/>
      <w:divBdr>
        <w:top w:val="none" w:sz="0" w:space="0" w:color="auto"/>
        <w:left w:val="none" w:sz="0" w:space="0" w:color="auto"/>
        <w:bottom w:val="none" w:sz="0" w:space="0" w:color="auto"/>
        <w:right w:val="none" w:sz="0" w:space="0" w:color="auto"/>
      </w:divBdr>
    </w:div>
    <w:div w:id="1213346760">
      <w:bodyDiv w:val="1"/>
      <w:marLeft w:val="0"/>
      <w:marRight w:val="0"/>
      <w:marTop w:val="0"/>
      <w:marBottom w:val="0"/>
      <w:divBdr>
        <w:top w:val="none" w:sz="0" w:space="0" w:color="auto"/>
        <w:left w:val="none" w:sz="0" w:space="0" w:color="auto"/>
        <w:bottom w:val="none" w:sz="0" w:space="0" w:color="auto"/>
        <w:right w:val="none" w:sz="0" w:space="0" w:color="auto"/>
      </w:divBdr>
    </w:div>
    <w:div w:id="1219124530">
      <w:bodyDiv w:val="1"/>
      <w:marLeft w:val="0"/>
      <w:marRight w:val="0"/>
      <w:marTop w:val="0"/>
      <w:marBottom w:val="0"/>
      <w:divBdr>
        <w:top w:val="none" w:sz="0" w:space="0" w:color="auto"/>
        <w:left w:val="none" w:sz="0" w:space="0" w:color="auto"/>
        <w:bottom w:val="none" w:sz="0" w:space="0" w:color="auto"/>
        <w:right w:val="none" w:sz="0" w:space="0" w:color="auto"/>
      </w:divBdr>
    </w:div>
    <w:div w:id="1223642559">
      <w:bodyDiv w:val="1"/>
      <w:marLeft w:val="0"/>
      <w:marRight w:val="0"/>
      <w:marTop w:val="0"/>
      <w:marBottom w:val="0"/>
      <w:divBdr>
        <w:top w:val="none" w:sz="0" w:space="0" w:color="auto"/>
        <w:left w:val="none" w:sz="0" w:space="0" w:color="auto"/>
        <w:bottom w:val="none" w:sz="0" w:space="0" w:color="auto"/>
        <w:right w:val="none" w:sz="0" w:space="0" w:color="auto"/>
      </w:divBdr>
    </w:div>
    <w:div w:id="1243831232">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322734388">
      <w:bodyDiv w:val="1"/>
      <w:marLeft w:val="0"/>
      <w:marRight w:val="0"/>
      <w:marTop w:val="0"/>
      <w:marBottom w:val="0"/>
      <w:divBdr>
        <w:top w:val="none" w:sz="0" w:space="0" w:color="auto"/>
        <w:left w:val="none" w:sz="0" w:space="0" w:color="auto"/>
        <w:bottom w:val="none" w:sz="0" w:space="0" w:color="auto"/>
        <w:right w:val="none" w:sz="0" w:space="0" w:color="auto"/>
      </w:divBdr>
    </w:div>
    <w:div w:id="1328434985">
      <w:bodyDiv w:val="1"/>
      <w:marLeft w:val="0"/>
      <w:marRight w:val="0"/>
      <w:marTop w:val="0"/>
      <w:marBottom w:val="0"/>
      <w:divBdr>
        <w:top w:val="none" w:sz="0" w:space="0" w:color="auto"/>
        <w:left w:val="none" w:sz="0" w:space="0" w:color="auto"/>
        <w:bottom w:val="none" w:sz="0" w:space="0" w:color="auto"/>
        <w:right w:val="none" w:sz="0" w:space="0" w:color="auto"/>
      </w:divBdr>
    </w:div>
    <w:div w:id="1366178152">
      <w:bodyDiv w:val="1"/>
      <w:marLeft w:val="0"/>
      <w:marRight w:val="0"/>
      <w:marTop w:val="0"/>
      <w:marBottom w:val="0"/>
      <w:divBdr>
        <w:top w:val="none" w:sz="0" w:space="0" w:color="auto"/>
        <w:left w:val="none" w:sz="0" w:space="0" w:color="auto"/>
        <w:bottom w:val="none" w:sz="0" w:space="0" w:color="auto"/>
        <w:right w:val="none" w:sz="0" w:space="0" w:color="auto"/>
      </w:divBdr>
    </w:div>
    <w:div w:id="1369719828">
      <w:bodyDiv w:val="1"/>
      <w:marLeft w:val="0"/>
      <w:marRight w:val="0"/>
      <w:marTop w:val="0"/>
      <w:marBottom w:val="0"/>
      <w:divBdr>
        <w:top w:val="none" w:sz="0" w:space="0" w:color="auto"/>
        <w:left w:val="none" w:sz="0" w:space="0" w:color="auto"/>
        <w:bottom w:val="none" w:sz="0" w:space="0" w:color="auto"/>
        <w:right w:val="none" w:sz="0" w:space="0" w:color="auto"/>
      </w:divBdr>
    </w:div>
    <w:div w:id="1457526638">
      <w:bodyDiv w:val="1"/>
      <w:marLeft w:val="0"/>
      <w:marRight w:val="0"/>
      <w:marTop w:val="0"/>
      <w:marBottom w:val="0"/>
      <w:divBdr>
        <w:top w:val="none" w:sz="0" w:space="0" w:color="auto"/>
        <w:left w:val="none" w:sz="0" w:space="0" w:color="auto"/>
        <w:bottom w:val="none" w:sz="0" w:space="0" w:color="auto"/>
        <w:right w:val="none" w:sz="0" w:space="0" w:color="auto"/>
      </w:divBdr>
    </w:div>
    <w:div w:id="1459378537">
      <w:bodyDiv w:val="1"/>
      <w:marLeft w:val="0"/>
      <w:marRight w:val="0"/>
      <w:marTop w:val="0"/>
      <w:marBottom w:val="0"/>
      <w:divBdr>
        <w:top w:val="none" w:sz="0" w:space="0" w:color="auto"/>
        <w:left w:val="none" w:sz="0" w:space="0" w:color="auto"/>
        <w:bottom w:val="none" w:sz="0" w:space="0" w:color="auto"/>
        <w:right w:val="none" w:sz="0" w:space="0" w:color="auto"/>
      </w:divBdr>
    </w:div>
    <w:div w:id="1543442036">
      <w:bodyDiv w:val="1"/>
      <w:marLeft w:val="0"/>
      <w:marRight w:val="0"/>
      <w:marTop w:val="0"/>
      <w:marBottom w:val="0"/>
      <w:divBdr>
        <w:top w:val="none" w:sz="0" w:space="0" w:color="auto"/>
        <w:left w:val="none" w:sz="0" w:space="0" w:color="auto"/>
        <w:bottom w:val="none" w:sz="0" w:space="0" w:color="auto"/>
        <w:right w:val="none" w:sz="0" w:space="0" w:color="auto"/>
      </w:divBdr>
    </w:div>
    <w:div w:id="1554002018">
      <w:bodyDiv w:val="1"/>
      <w:marLeft w:val="0"/>
      <w:marRight w:val="0"/>
      <w:marTop w:val="0"/>
      <w:marBottom w:val="0"/>
      <w:divBdr>
        <w:top w:val="none" w:sz="0" w:space="0" w:color="auto"/>
        <w:left w:val="none" w:sz="0" w:space="0" w:color="auto"/>
        <w:bottom w:val="none" w:sz="0" w:space="0" w:color="auto"/>
        <w:right w:val="none" w:sz="0" w:space="0" w:color="auto"/>
      </w:divBdr>
    </w:div>
    <w:div w:id="156443979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615552481">
      <w:bodyDiv w:val="1"/>
      <w:marLeft w:val="0"/>
      <w:marRight w:val="0"/>
      <w:marTop w:val="0"/>
      <w:marBottom w:val="0"/>
      <w:divBdr>
        <w:top w:val="none" w:sz="0" w:space="0" w:color="auto"/>
        <w:left w:val="none" w:sz="0" w:space="0" w:color="auto"/>
        <w:bottom w:val="none" w:sz="0" w:space="0" w:color="auto"/>
        <w:right w:val="none" w:sz="0" w:space="0" w:color="auto"/>
      </w:divBdr>
    </w:div>
    <w:div w:id="1634670901">
      <w:bodyDiv w:val="1"/>
      <w:marLeft w:val="0"/>
      <w:marRight w:val="0"/>
      <w:marTop w:val="0"/>
      <w:marBottom w:val="0"/>
      <w:divBdr>
        <w:top w:val="none" w:sz="0" w:space="0" w:color="auto"/>
        <w:left w:val="none" w:sz="0" w:space="0" w:color="auto"/>
        <w:bottom w:val="none" w:sz="0" w:space="0" w:color="auto"/>
        <w:right w:val="none" w:sz="0" w:space="0" w:color="auto"/>
      </w:divBdr>
    </w:div>
    <w:div w:id="1708292988">
      <w:bodyDiv w:val="1"/>
      <w:marLeft w:val="0"/>
      <w:marRight w:val="0"/>
      <w:marTop w:val="0"/>
      <w:marBottom w:val="0"/>
      <w:divBdr>
        <w:top w:val="none" w:sz="0" w:space="0" w:color="auto"/>
        <w:left w:val="none" w:sz="0" w:space="0" w:color="auto"/>
        <w:bottom w:val="none" w:sz="0" w:space="0" w:color="auto"/>
        <w:right w:val="none" w:sz="0" w:space="0" w:color="auto"/>
      </w:divBdr>
    </w:div>
    <w:div w:id="1757893968">
      <w:bodyDiv w:val="1"/>
      <w:marLeft w:val="0"/>
      <w:marRight w:val="0"/>
      <w:marTop w:val="0"/>
      <w:marBottom w:val="0"/>
      <w:divBdr>
        <w:top w:val="none" w:sz="0" w:space="0" w:color="auto"/>
        <w:left w:val="none" w:sz="0" w:space="0" w:color="auto"/>
        <w:bottom w:val="none" w:sz="0" w:space="0" w:color="auto"/>
        <w:right w:val="none" w:sz="0" w:space="0" w:color="auto"/>
      </w:divBdr>
    </w:div>
    <w:div w:id="1774204813">
      <w:bodyDiv w:val="1"/>
      <w:marLeft w:val="0"/>
      <w:marRight w:val="0"/>
      <w:marTop w:val="0"/>
      <w:marBottom w:val="0"/>
      <w:divBdr>
        <w:top w:val="none" w:sz="0" w:space="0" w:color="auto"/>
        <w:left w:val="none" w:sz="0" w:space="0" w:color="auto"/>
        <w:bottom w:val="none" w:sz="0" w:space="0" w:color="auto"/>
        <w:right w:val="none" w:sz="0" w:space="0" w:color="auto"/>
      </w:divBdr>
    </w:div>
    <w:div w:id="1860311372">
      <w:bodyDiv w:val="1"/>
      <w:marLeft w:val="0"/>
      <w:marRight w:val="0"/>
      <w:marTop w:val="0"/>
      <w:marBottom w:val="0"/>
      <w:divBdr>
        <w:top w:val="none" w:sz="0" w:space="0" w:color="auto"/>
        <w:left w:val="none" w:sz="0" w:space="0" w:color="auto"/>
        <w:bottom w:val="none" w:sz="0" w:space="0" w:color="auto"/>
        <w:right w:val="none" w:sz="0" w:space="0" w:color="auto"/>
      </w:divBdr>
    </w:div>
    <w:div w:id="1864398180">
      <w:bodyDiv w:val="1"/>
      <w:marLeft w:val="0"/>
      <w:marRight w:val="0"/>
      <w:marTop w:val="0"/>
      <w:marBottom w:val="0"/>
      <w:divBdr>
        <w:top w:val="none" w:sz="0" w:space="0" w:color="auto"/>
        <w:left w:val="none" w:sz="0" w:space="0" w:color="auto"/>
        <w:bottom w:val="none" w:sz="0" w:space="0" w:color="auto"/>
        <w:right w:val="none" w:sz="0" w:space="0" w:color="auto"/>
      </w:divBdr>
    </w:div>
    <w:div w:id="1882747285">
      <w:bodyDiv w:val="1"/>
      <w:marLeft w:val="0"/>
      <w:marRight w:val="0"/>
      <w:marTop w:val="0"/>
      <w:marBottom w:val="0"/>
      <w:divBdr>
        <w:top w:val="none" w:sz="0" w:space="0" w:color="auto"/>
        <w:left w:val="none" w:sz="0" w:space="0" w:color="auto"/>
        <w:bottom w:val="none" w:sz="0" w:space="0" w:color="auto"/>
        <w:right w:val="none" w:sz="0" w:space="0" w:color="auto"/>
      </w:divBdr>
    </w:div>
    <w:div w:id="1897156488">
      <w:bodyDiv w:val="1"/>
      <w:marLeft w:val="0"/>
      <w:marRight w:val="0"/>
      <w:marTop w:val="0"/>
      <w:marBottom w:val="0"/>
      <w:divBdr>
        <w:top w:val="none" w:sz="0" w:space="0" w:color="auto"/>
        <w:left w:val="none" w:sz="0" w:space="0" w:color="auto"/>
        <w:bottom w:val="none" w:sz="0" w:space="0" w:color="auto"/>
        <w:right w:val="none" w:sz="0" w:space="0" w:color="auto"/>
      </w:divBdr>
    </w:div>
    <w:div w:id="1908033021">
      <w:bodyDiv w:val="1"/>
      <w:marLeft w:val="0"/>
      <w:marRight w:val="0"/>
      <w:marTop w:val="0"/>
      <w:marBottom w:val="0"/>
      <w:divBdr>
        <w:top w:val="none" w:sz="0" w:space="0" w:color="auto"/>
        <w:left w:val="none" w:sz="0" w:space="0" w:color="auto"/>
        <w:bottom w:val="none" w:sz="0" w:space="0" w:color="auto"/>
        <w:right w:val="none" w:sz="0" w:space="0" w:color="auto"/>
      </w:divBdr>
    </w:div>
    <w:div w:id="1913613829">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2045059475">
      <w:bodyDiv w:val="1"/>
      <w:marLeft w:val="0"/>
      <w:marRight w:val="0"/>
      <w:marTop w:val="0"/>
      <w:marBottom w:val="0"/>
      <w:divBdr>
        <w:top w:val="none" w:sz="0" w:space="0" w:color="auto"/>
        <w:left w:val="none" w:sz="0" w:space="0" w:color="auto"/>
        <w:bottom w:val="none" w:sz="0" w:space="0" w:color="auto"/>
        <w:right w:val="none" w:sz="0" w:space="0" w:color="auto"/>
      </w:divBdr>
    </w:div>
    <w:div w:id="2067609535">
      <w:bodyDiv w:val="1"/>
      <w:marLeft w:val="0"/>
      <w:marRight w:val="0"/>
      <w:marTop w:val="0"/>
      <w:marBottom w:val="0"/>
      <w:divBdr>
        <w:top w:val="none" w:sz="0" w:space="0" w:color="auto"/>
        <w:left w:val="none" w:sz="0" w:space="0" w:color="auto"/>
        <w:bottom w:val="none" w:sz="0" w:space="0" w:color="auto"/>
        <w:right w:val="none" w:sz="0" w:space="0" w:color="auto"/>
      </w:divBdr>
    </w:div>
    <w:div w:id="2074311498">
      <w:bodyDiv w:val="1"/>
      <w:marLeft w:val="0"/>
      <w:marRight w:val="0"/>
      <w:marTop w:val="0"/>
      <w:marBottom w:val="0"/>
      <w:divBdr>
        <w:top w:val="none" w:sz="0" w:space="0" w:color="auto"/>
        <w:left w:val="none" w:sz="0" w:space="0" w:color="auto"/>
        <w:bottom w:val="none" w:sz="0" w:space="0" w:color="auto"/>
        <w:right w:val="none" w:sz="0" w:space="0" w:color="auto"/>
      </w:divBdr>
    </w:div>
    <w:div w:id="2131580846">
      <w:bodyDiv w:val="1"/>
      <w:marLeft w:val="0"/>
      <w:marRight w:val="0"/>
      <w:marTop w:val="0"/>
      <w:marBottom w:val="0"/>
      <w:divBdr>
        <w:top w:val="none" w:sz="0" w:space="0" w:color="auto"/>
        <w:left w:val="none" w:sz="0" w:space="0" w:color="auto"/>
        <w:bottom w:val="none" w:sz="0" w:space="0" w:color="auto"/>
        <w:right w:val="none" w:sz="0" w:space="0" w:color="auto"/>
      </w:divBdr>
    </w:div>
    <w:div w:id="214310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3.xml"/><Relationship Id="rId299" Type="http://schemas.openxmlformats.org/officeDocument/2006/relationships/header" Target="header214.xml"/><Relationship Id="rId21" Type="http://schemas.openxmlformats.org/officeDocument/2006/relationships/header" Target="header5.xml"/><Relationship Id="rId63" Type="http://schemas.openxmlformats.org/officeDocument/2006/relationships/image" Target="media/image15.png"/><Relationship Id="rId159" Type="http://schemas.openxmlformats.org/officeDocument/2006/relationships/header" Target="header96.xml"/><Relationship Id="rId324" Type="http://schemas.openxmlformats.org/officeDocument/2006/relationships/header" Target="header235.xml"/><Relationship Id="rId366" Type="http://schemas.openxmlformats.org/officeDocument/2006/relationships/image" Target="media/image43.png"/><Relationship Id="rId170" Type="http://schemas.openxmlformats.org/officeDocument/2006/relationships/header" Target="header103.xml"/><Relationship Id="rId191" Type="http://schemas.openxmlformats.org/officeDocument/2006/relationships/header" Target="header117.xml"/><Relationship Id="rId205" Type="http://schemas.openxmlformats.org/officeDocument/2006/relationships/header" Target="header130.xml"/><Relationship Id="rId226" Type="http://schemas.openxmlformats.org/officeDocument/2006/relationships/header" Target="header148.xml"/><Relationship Id="rId247" Type="http://schemas.openxmlformats.org/officeDocument/2006/relationships/header" Target="header167.xml"/><Relationship Id="rId107" Type="http://schemas.openxmlformats.org/officeDocument/2006/relationships/chart" Target="charts/chart6.xml"/><Relationship Id="rId268" Type="http://schemas.openxmlformats.org/officeDocument/2006/relationships/header" Target="header185.xml"/><Relationship Id="rId289" Type="http://schemas.openxmlformats.org/officeDocument/2006/relationships/header" Target="header204.xml"/><Relationship Id="rId11" Type="http://schemas.microsoft.com/office/2007/relationships/hdphoto" Target="media/hdphoto1.wdp"/><Relationship Id="rId32" Type="http://schemas.openxmlformats.org/officeDocument/2006/relationships/header" Target="header8.xml"/><Relationship Id="rId53" Type="http://schemas.openxmlformats.org/officeDocument/2006/relationships/header" Target="header22.xml"/><Relationship Id="rId74" Type="http://schemas.openxmlformats.org/officeDocument/2006/relationships/header" Target="header34.xml"/><Relationship Id="rId128" Type="http://schemas.openxmlformats.org/officeDocument/2006/relationships/header" Target="header68.xml"/><Relationship Id="rId149" Type="http://schemas.openxmlformats.org/officeDocument/2006/relationships/header" Target="header86.xml"/><Relationship Id="rId314" Type="http://schemas.openxmlformats.org/officeDocument/2006/relationships/header" Target="header228.xml"/><Relationship Id="rId335" Type="http://schemas.openxmlformats.org/officeDocument/2006/relationships/header" Target="header246.xml"/><Relationship Id="rId356" Type="http://schemas.openxmlformats.org/officeDocument/2006/relationships/header" Target="header261.xml"/><Relationship Id="rId377" Type="http://schemas.openxmlformats.org/officeDocument/2006/relationships/image" Target="media/image51.png"/><Relationship Id="rId5" Type="http://schemas.openxmlformats.org/officeDocument/2006/relationships/settings" Target="settings.xml"/><Relationship Id="rId95" Type="http://schemas.openxmlformats.org/officeDocument/2006/relationships/header" Target="header51.xml"/><Relationship Id="rId160" Type="http://schemas.openxmlformats.org/officeDocument/2006/relationships/header" Target="header97.xml"/><Relationship Id="rId181" Type="http://schemas.openxmlformats.org/officeDocument/2006/relationships/header" Target="header108.xml"/><Relationship Id="rId216" Type="http://schemas.openxmlformats.org/officeDocument/2006/relationships/header" Target="header140.xml"/><Relationship Id="rId237" Type="http://schemas.openxmlformats.org/officeDocument/2006/relationships/footer" Target="footer27.xml"/><Relationship Id="rId258" Type="http://schemas.openxmlformats.org/officeDocument/2006/relationships/header" Target="header176.xml"/><Relationship Id="rId279" Type="http://schemas.openxmlformats.org/officeDocument/2006/relationships/header" Target="header194.xml"/><Relationship Id="rId22" Type="http://schemas.openxmlformats.org/officeDocument/2006/relationships/footer" Target="footer4.xml"/><Relationship Id="rId43" Type="http://schemas.openxmlformats.org/officeDocument/2006/relationships/footer" Target="footer10.xml"/><Relationship Id="rId64" Type="http://schemas.openxmlformats.org/officeDocument/2006/relationships/image" Target="media/image16.png"/><Relationship Id="rId118" Type="http://schemas.openxmlformats.org/officeDocument/2006/relationships/chart" Target="charts/chart14.xml"/><Relationship Id="rId139" Type="http://schemas.openxmlformats.org/officeDocument/2006/relationships/header" Target="header76.xml"/><Relationship Id="rId290" Type="http://schemas.openxmlformats.org/officeDocument/2006/relationships/header" Target="header205.xml"/><Relationship Id="rId304" Type="http://schemas.openxmlformats.org/officeDocument/2006/relationships/header" Target="header219.xml"/><Relationship Id="rId325" Type="http://schemas.openxmlformats.org/officeDocument/2006/relationships/header" Target="header236.xml"/><Relationship Id="rId346" Type="http://schemas.openxmlformats.org/officeDocument/2006/relationships/header" Target="header254.xml"/><Relationship Id="rId367" Type="http://schemas.openxmlformats.org/officeDocument/2006/relationships/image" Target="media/image44.svg"/><Relationship Id="rId388" Type="http://schemas.openxmlformats.org/officeDocument/2006/relationships/hyperlink" Target="https://www.linkedin.com/company/crime-and-corruption-commission-queensland/" TargetMode="External"/><Relationship Id="rId85" Type="http://schemas.openxmlformats.org/officeDocument/2006/relationships/header" Target="header42.xml"/><Relationship Id="rId150" Type="http://schemas.openxmlformats.org/officeDocument/2006/relationships/header" Target="header87.xml"/><Relationship Id="rId171" Type="http://schemas.openxmlformats.org/officeDocument/2006/relationships/header" Target="header104.xml"/><Relationship Id="rId192" Type="http://schemas.openxmlformats.org/officeDocument/2006/relationships/header" Target="header118.xml"/><Relationship Id="rId206" Type="http://schemas.openxmlformats.org/officeDocument/2006/relationships/header" Target="header131.xml"/><Relationship Id="rId227" Type="http://schemas.openxmlformats.org/officeDocument/2006/relationships/header" Target="header149.xml"/><Relationship Id="rId248" Type="http://schemas.openxmlformats.org/officeDocument/2006/relationships/header" Target="header168.xml"/><Relationship Id="rId269" Type="http://schemas.openxmlformats.org/officeDocument/2006/relationships/header" Target="header186.xml"/><Relationship Id="rId12" Type="http://schemas.openxmlformats.org/officeDocument/2006/relationships/hyperlink" Target="mailto:mailbox@ccc.qld.gov.au" TargetMode="External"/><Relationship Id="rId33" Type="http://schemas.openxmlformats.org/officeDocument/2006/relationships/footer" Target="footer7.xml"/><Relationship Id="rId108" Type="http://schemas.openxmlformats.org/officeDocument/2006/relationships/chart" Target="charts/chart7.xml"/><Relationship Id="rId129" Type="http://schemas.openxmlformats.org/officeDocument/2006/relationships/header" Target="header69.xml"/><Relationship Id="rId280" Type="http://schemas.openxmlformats.org/officeDocument/2006/relationships/header" Target="header195.xml"/><Relationship Id="rId315" Type="http://schemas.openxmlformats.org/officeDocument/2006/relationships/header" Target="header229.xml"/><Relationship Id="rId336" Type="http://schemas.openxmlformats.org/officeDocument/2006/relationships/header" Target="header247.xml"/><Relationship Id="rId357" Type="http://schemas.openxmlformats.org/officeDocument/2006/relationships/header" Target="header262.xml"/><Relationship Id="rId54" Type="http://schemas.openxmlformats.org/officeDocument/2006/relationships/header" Target="header23.xml"/><Relationship Id="rId75" Type="http://schemas.openxmlformats.org/officeDocument/2006/relationships/header" Target="header35.xml"/><Relationship Id="rId96" Type="http://schemas.openxmlformats.org/officeDocument/2006/relationships/header" Target="header52.xml"/><Relationship Id="rId140" Type="http://schemas.openxmlformats.org/officeDocument/2006/relationships/header" Target="header77.xml"/><Relationship Id="rId161" Type="http://schemas.openxmlformats.org/officeDocument/2006/relationships/header" Target="header98.xml"/><Relationship Id="rId182" Type="http://schemas.openxmlformats.org/officeDocument/2006/relationships/header" Target="header109.xml"/><Relationship Id="rId217" Type="http://schemas.openxmlformats.org/officeDocument/2006/relationships/header" Target="header141.xml"/><Relationship Id="rId378" Type="http://schemas.openxmlformats.org/officeDocument/2006/relationships/hyperlink" Target="https://www.facebook.com/CrimeandCorruptionCommission/" TargetMode="External"/><Relationship Id="rId6" Type="http://schemas.openxmlformats.org/officeDocument/2006/relationships/webSettings" Target="webSettings.xml"/><Relationship Id="rId238" Type="http://schemas.openxmlformats.org/officeDocument/2006/relationships/header" Target="header159.xml"/><Relationship Id="rId259" Type="http://schemas.openxmlformats.org/officeDocument/2006/relationships/header" Target="header177.xml"/><Relationship Id="rId23" Type="http://schemas.openxmlformats.org/officeDocument/2006/relationships/footer" Target="footer5.xml"/><Relationship Id="rId119" Type="http://schemas.openxmlformats.org/officeDocument/2006/relationships/chart" Target="charts/chart15.xml"/><Relationship Id="rId270" Type="http://schemas.openxmlformats.org/officeDocument/2006/relationships/header" Target="header187.xml"/><Relationship Id="rId291" Type="http://schemas.openxmlformats.org/officeDocument/2006/relationships/header" Target="header206.xml"/><Relationship Id="rId305" Type="http://schemas.openxmlformats.org/officeDocument/2006/relationships/image" Target="media/image2.png"/><Relationship Id="rId326" Type="http://schemas.openxmlformats.org/officeDocument/2006/relationships/header" Target="header237.xml"/><Relationship Id="rId347" Type="http://schemas.openxmlformats.org/officeDocument/2006/relationships/header" Target="header255.xml"/><Relationship Id="rId44" Type="http://schemas.openxmlformats.org/officeDocument/2006/relationships/header" Target="header16.xml"/><Relationship Id="rId65" Type="http://schemas.openxmlformats.org/officeDocument/2006/relationships/image" Target="media/image17.png"/><Relationship Id="rId86" Type="http://schemas.openxmlformats.org/officeDocument/2006/relationships/header" Target="header43.xml"/><Relationship Id="rId130" Type="http://schemas.openxmlformats.org/officeDocument/2006/relationships/header" Target="header70.xml"/><Relationship Id="rId151" Type="http://schemas.openxmlformats.org/officeDocument/2006/relationships/header" Target="header88.xml"/><Relationship Id="rId368" Type="http://schemas.openxmlformats.org/officeDocument/2006/relationships/hyperlink" Target="http://www.ccc.qld.gov.au" TargetMode="External"/><Relationship Id="rId389" Type="http://schemas.openxmlformats.org/officeDocument/2006/relationships/image" Target="media/image59.jpg"/><Relationship Id="rId172" Type="http://schemas.openxmlformats.org/officeDocument/2006/relationships/header" Target="header105.xml"/><Relationship Id="rId193" Type="http://schemas.openxmlformats.org/officeDocument/2006/relationships/header" Target="header119.xml"/><Relationship Id="rId207" Type="http://schemas.openxmlformats.org/officeDocument/2006/relationships/header" Target="header132.xml"/><Relationship Id="rId228" Type="http://schemas.openxmlformats.org/officeDocument/2006/relationships/header" Target="header150.xml"/><Relationship Id="rId249" Type="http://schemas.openxmlformats.org/officeDocument/2006/relationships/header" Target="header169.xml"/><Relationship Id="rId13" Type="http://schemas.openxmlformats.org/officeDocument/2006/relationships/header" Target="header1.xml"/><Relationship Id="rId109" Type="http://schemas.openxmlformats.org/officeDocument/2006/relationships/header" Target="header58.xml"/><Relationship Id="rId260" Type="http://schemas.openxmlformats.org/officeDocument/2006/relationships/chart" Target="charts/chart31.xml"/><Relationship Id="rId281" Type="http://schemas.openxmlformats.org/officeDocument/2006/relationships/header" Target="header196.xml"/><Relationship Id="rId316" Type="http://schemas.openxmlformats.org/officeDocument/2006/relationships/header" Target="header230.xml"/><Relationship Id="rId337" Type="http://schemas.openxmlformats.org/officeDocument/2006/relationships/header" Target="header248.xml"/><Relationship Id="rId34" Type="http://schemas.openxmlformats.org/officeDocument/2006/relationships/header" Target="header9.xml"/><Relationship Id="rId55" Type="http://schemas.openxmlformats.org/officeDocument/2006/relationships/footer" Target="footer14.xml"/><Relationship Id="rId76" Type="http://schemas.openxmlformats.org/officeDocument/2006/relationships/footer" Target="footer16.xml"/><Relationship Id="rId97" Type="http://schemas.openxmlformats.org/officeDocument/2006/relationships/header" Target="header53.xml"/><Relationship Id="rId120" Type="http://schemas.openxmlformats.org/officeDocument/2006/relationships/header" Target="header61.xml"/><Relationship Id="rId141" Type="http://schemas.openxmlformats.org/officeDocument/2006/relationships/header" Target="header78.xml"/><Relationship Id="rId358" Type="http://schemas.openxmlformats.org/officeDocument/2006/relationships/header" Target="header263.xml"/><Relationship Id="rId379" Type="http://schemas.openxmlformats.org/officeDocument/2006/relationships/image" Target="media/image52.png"/><Relationship Id="rId7" Type="http://schemas.openxmlformats.org/officeDocument/2006/relationships/footnotes" Target="footnotes.xml"/><Relationship Id="rId162" Type="http://schemas.openxmlformats.org/officeDocument/2006/relationships/header" Target="header99.xml"/><Relationship Id="rId183" Type="http://schemas.openxmlformats.org/officeDocument/2006/relationships/header" Target="header110.xml"/><Relationship Id="rId218" Type="http://schemas.openxmlformats.org/officeDocument/2006/relationships/header" Target="header142.xml"/><Relationship Id="rId239" Type="http://schemas.openxmlformats.org/officeDocument/2006/relationships/header" Target="header160.xml"/><Relationship Id="rId390" Type="http://schemas.openxmlformats.org/officeDocument/2006/relationships/header" Target="header268.xml"/><Relationship Id="rId250" Type="http://schemas.openxmlformats.org/officeDocument/2006/relationships/header" Target="header170.xml"/><Relationship Id="rId271" Type="http://schemas.openxmlformats.org/officeDocument/2006/relationships/header" Target="header188.xml"/><Relationship Id="rId292" Type="http://schemas.openxmlformats.org/officeDocument/2006/relationships/header" Target="header207.xml"/><Relationship Id="rId306" Type="http://schemas.openxmlformats.org/officeDocument/2006/relationships/header" Target="header220.xml"/><Relationship Id="rId24" Type="http://schemas.openxmlformats.org/officeDocument/2006/relationships/header" Target="header6.xml"/><Relationship Id="rId45" Type="http://schemas.openxmlformats.org/officeDocument/2006/relationships/header" Target="header17.xml"/><Relationship Id="rId66" Type="http://schemas.openxmlformats.org/officeDocument/2006/relationships/image" Target="media/image18.png"/><Relationship Id="rId87" Type="http://schemas.openxmlformats.org/officeDocument/2006/relationships/header" Target="header44.xml"/><Relationship Id="rId110" Type="http://schemas.openxmlformats.org/officeDocument/2006/relationships/header" Target="header59.xml"/><Relationship Id="rId131" Type="http://schemas.openxmlformats.org/officeDocument/2006/relationships/header" Target="header71.xml"/><Relationship Id="rId327" Type="http://schemas.openxmlformats.org/officeDocument/2006/relationships/header" Target="header238.xml"/><Relationship Id="rId348" Type="http://schemas.openxmlformats.org/officeDocument/2006/relationships/image" Target="media/image36.png"/><Relationship Id="rId369" Type="http://schemas.openxmlformats.org/officeDocument/2006/relationships/image" Target="media/image45.png"/><Relationship Id="rId152" Type="http://schemas.openxmlformats.org/officeDocument/2006/relationships/header" Target="header89.xml"/><Relationship Id="rId173" Type="http://schemas.openxmlformats.org/officeDocument/2006/relationships/chart" Target="charts/chart23.xml"/><Relationship Id="rId194" Type="http://schemas.openxmlformats.org/officeDocument/2006/relationships/header" Target="header120.xml"/><Relationship Id="rId208" Type="http://schemas.openxmlformats.org/officeDocument/2006/relationships/header" Target="header133.xml"/><Relationship Id="rId229" Type="http://schemas.openxmlformats.org/officeDocument/2006/relationships/header" Target="header151.xml"/><Relationship Id="rId380" Type="http://schemas.openxmlformats.org/officeDocument/2006/relationships/image" Target="media/image53.svg"/><Relationship Id="rId240" Type="http://schemas.openxmlformats.org/officeDocument/2006/relationships/header" Target="header161.xml"/><Relationship Id="rId261" Type="http://schemas.openxmlformats.org/officeDocument/2006/relationships/header" Target="header178.xml"/><Relationship Id="rId14" Type="http://schemas.openxmlformats.org/officeDocument/2006/relationships/header" Target="header2.xml"/><Relationship Id="rId35" Type="http://schemas.openxmlformats.org/officeDocument/2006/relationships/header" Target="header10.xml"/><Relationship Id="rId56" Type="http://schemas.openxmlformats.org/officeDocument/2006/relationships/header" Target="header24.xml"/><Relationship Id="rId77" Type="http://schemas.openxmlformats.org/officeDocument/2006/relationships/header" Target="header36.xml"/><Relationship Id="rId100" Type="http://schemas.openxmlformats.org/officeDocument/2006/relationships/header" Target="header56.xml"/><Relationship Id="rId282" Type="http://schemas.openxmlformats.org/officeDocument/2006/relationships/header" Target="header197.xml"/><Relationship Id="rId317" Type="http://schemas.openxmlformats.org/officeDocument/2006/relationships/footer" Target="footer29.xml"/><Relationship Id="rId338" Type="http://schemas.openxmlformats.org/officeDocument/2006/relationships/footer" Target="footer32.xml"/><Relationship Id="rId359" Type="http://schemas.openxmlformats.org/officeDocument/2006/relationships/header" Target="header264.xml"/><Relationship Id="rId8" Type="http://schemas.openxmlformats.org/officeDocument/2006/relationships/endnotes" Target="endnotes.xml"/><Relationship Id="rId98" Type="http://schemas.openxmlformats.org/officeDocument/2006/relationships/header" Target="header54.xml"/><Relationship Id="rId121" Type="http://schemas.openxmlformats.org/officeDocument/2006/relationships/header" Target="header62.xml"/><Relationship Id="rId142" Type="http://schemas.openxmlformats.org/officeDocument/2006/relationships/header" Target="header79.xml"/><Relationship Id="rId163" Type="http://schemas.openxmlformats.org/officeDocument/2006/relationships/header" Target="header100.xml"/><Relationship Id="rId184" Type="http://schemas.openxmlformats.org/officeDocument/2006/relationships/header" Target="header111.xml"/><Relationship Id="rId219" Type="http://schemas.openxmlformats.org/officeDocument/2006/relationships/header" Target="header143.xml"/><Relationship Id="rId370" Type="http://schemas.openxmlformats.org/officeDocument/2006/relationships/image" Target="media/image46.png"/><Relationship Id="rId391" Type="http://schemas.openxmlformats.org/officeDocument/2006/relationships/header" Target="header269.xml"/><Relationship Id="rId230" Type="http://schemas.openxmlformats.org/officeDocument/2006/relationships/header" Target="header152.xml"/><Relationship Id="rId251" Type="http://schemas.openxmlformats.org/officeDocument/2006/relationships/header" Target="header171.xml"/><Relationship Id="rId25" Type="http://schemas.openxmlformats.org/officeDocument/2006/relationships/footer" Target="footer6.xml"/><Relationship Id="rId46" Type="http://schemas.openxmlformats.org/officeDocument/2006/relationships/header" Target="header18.xml"/><Relationship Id="rId67" Type="http://schemas.openxmlformats.org/officeDocument/2006/relationships/image" Target="media/image19.svg"/><Relationship Id="rId272" Type="http://schemas.openxmlformats.org/officeDocument/2006/relationships/footer" Target="footer28.xml"/><Relationship Id="rId293" Type="http://schemas.openxmlformats.org/officeDocument/2006/relationships/header" Target="header208.xml"/><Relationship Id="rId307" Type="http://schemas.openxmlformats.org/officeDocument/2006/relationships/header" Target="header221.xml"/><Relationship Id="rId328" Type="http://schemas.openxmlformats.org/officeDocument/2006/relationships/header" Target="header239.xml"/><Relationship Id="rId349" Type="http://schemas.openxmlformats.org/officeDocument/2006/relationships/header" Target="header256.xml"/><Relationship Id="rId88" Type="http://schemas.openxmlformats.org/officeDocument/2006/relationships/footer" Target="footer19.xml"/><Relationship Id="rId111" Type="http://schemas.openxmlformats.org/officeDocument/2006/relationships/header" Target="header60.xml"/><Relationship Id="rId132" Type="http://schemas.openxmlformats.org/officeDocument/2006/relationships/header" Target="header72.xml"/><Relationship Id="rId153" Type="http://schemas.openxmlformats.org/officeDocument/2006/relationships/header" Target="header90.xml"/><Relationship Id="rId174" Type="http://schemas.openxmlformats.org/officeDocument/2006/relationships/chart" Target="charts/chart24.xml"/><Relationship Id="rId195" Type="http://schemas.openxmlformats.org/officeDocument/2006/relationships/header" Target="header121.xml"/><Relationship Id="rId209" Type="http://schemas.openxmlformats.org/officeDocument/2006/relationships/header" Target="header134.xml"/><Relationship Id="rId360" Type="http://schemas.openxmlformats.org/officeDocument/2006/relationships/header" Target="header265.xml"/><Relationship Id="rId381" Type="http://schemas.openxmlformats.org/officeDocument/2006/relationships/image" Target="media/image54.png"/><Relationship Id="rId220" Type="http://schemas.openxmlformats.org/officeDocument/2006/relationships/footer" Target="footer25.xml"/><Relationship Id="rId241" Type="http://schemas.openxmlformats.org/officeDocument/2006/relationships/header" Target="header162.xml"/><Relationship Id="rId15" Type="http://schemas.openxmlformats.org/officeDocument/2006/relationships/footer" Target="footer1.xml"/><Relationship Id="rId36" Type="http://schemas.openxmlformats.org/officeDocument/2006/relationships/header" Target="header11.xml"/><Relationship Id="rId57" Type="http://schemas.openxmlformats.org/officeDocument/2006/relationships/header" Target="header25.xml"/><Relationship Id="rId262" Type="http://schemas.openxmlformats.org/officeDocument/2006/relationships/header" Target="header179.xml"/><Relationship Id="rId283" Type="http://schemas.openxmlformats.org/officeDocument/2006/relationships/header" Target="header198.xml"/><Relationship Id="rId318" Type="http://schemas.openxmlformats.org/officeDocument/2006/relationships/header" Target="header231.xml"/><Relationship Id="rId339" Type="http://schemas.openxmlformats.org/officeDocument/2006/relationships/footer" Target="footer33.xml"/><Relationship Id="rId78" Type="http://schemas.openxmlformats.org/officeDocument/2006/relationships/header" Target="header37.xml"/><Relationship Id="rId99" Type="http://schemas.openxmlformats.org/officeDocument/2006/relationships/header" Target="header55.xml"/><Relationship Id="rId101" Type="http://schemas.openxmlformats.org/officeDocument/2006/relationships/header" Target="header57.xml"/><Relationship Id="rId122" Type="http://schemas.openxmlformats.org/officeDocument/2006/relationships/footer" Target="footer20.xml"/><Relationship Id="rId143" Type="http://schemas.openxmlformats.org/officeDocument/2006/relationships/header" Target="header80.xml"/><Relationship Id="rId164" Type="http://schemas.openxmlformats.org/officeDocument/2006/relationships/header" Target="header101.xml"/><Relationship Id="rId185" Type="http://schemas.openxmlformats.org/officeDocument/2006/relationships/header" Target="header112.xml"/><Relationship Id="rId350" Type="http://schemas.openxmlformats.org/officeDocument/2006/relationships/header" Target="header257.xml"/><Relationship Id="rId371" Type="http://schemas.openxmlformats.org/officeDocument/2006/relationships/image" Target="media/image47.png"/><Relationship Id="rId9" Type="http://schemas.openxmlformats.org/officeDocument/2006/relationships/hyperlink" Target="http://creativecommons.org/licenses/by/4.0/" TargetMode="External"/><Relationship Id="rId210" Type="http://schemas.openxmlformats.org/officeDocument/2006/relationships/footer" Target="footer24.xml"/><Relationship Id="rId392" Type="http://schemas.openxmlformats.org/officeDocument/2006/relationships/footer" Target="footer38.xml"/><Relationship Id="rId26" Type="http://schemas.openxmlformats.org/officeDocument/2006/relationships/image" Target="media/image8.png"/><Relationship Id="rId231" Type="http://schemas.openxmlformats.org/officeDocument/2006/relationships/header" Target="header153.xml"/><Relationship Id="rId252" Type="http://schemas.openxmlformats.org/officeDocument/2006/relationships/header" Target="header172.xml"/><Relationship Id="rId273" Type="http://schemas.openxmlformats.org/officeDocument/2006/relationships/header" Target="header189.xml"/><Relationship Id="rId294" Type="http://schemas.openxmlformats.org/officeDocument/2006/relationships/header" Target="header209.xml"/><Relationship Id="rId308" Type="http://schemas.openxmlformats.org/officeDocument/2006/relationships/header" Target="header222.xml"/><Relationship Id="rId329" Type="http://schemas.openxmlformats.org/officeDocument/2006/relationships/header" Target="header240.xml"/><Relationship Id="rId47" Type="http://schemas.openxmlformats.org/officeDocument/2006/relationships/header" Target="header19.xml"/><Relationship Id="rId68" Type="http://schemas.openxmlformats.org/officeDocument/2006/relationships/header" Target="header28.xml"/><Relationship Id="rId89" Type="http://schemas.openxmlformats.org/officeDocument/2006/relationships/header" Target="header45.xml"/><Relationship Id="rId112" Type="http://schemas.openxmlformats.org/officeDocument/2006/relationships/chart" Target="charts/chart8.xml"/><Relationship Id="rId133" Type="http://schemas.openxmlformats.org/officeDocument/2006/relationships/header" Target="header73.xml"/><Relationship Id="rId154" Type="http://schemas.openxmlformats.org/officeDocument/2006/relationships/header" Target="header91.xml"/><Relationship Id="rId175" Type="http://schemas.openxmlformats.org/officeDocument/2006/relationships/chart" Target="charts/chart25.xml"/><Relationship Id="rId340" Type="http://schemas.openxmlformats.org/officeDocument/2006/relationships/header" Target="header249.xml"/><Relationship Id="rId361" Type="http://schemas.openxmlformats.org/officeDocument/2006/relationships/header" Target="header266.xml"/><Relationship Id="rId196" Type="http://schemas.openxmlformats.org/officeDocument/2006/relationships/header" Target="header122.xml"/><Relationship Id="rId200" Type="http://schemas.openxmlformats.org/officeDocument/2006/relationships/header" Target="header126.xml"/><Relationship Id="rId382" Type="http://schemas.openxmlformats.org/officeDocument/2006/relationships/hyperlink" Target="https://www.youtube.com/channel/UCmkYI2wABDiCzZJh4Hx6KMg" TargetMode="External"/><Relationship Id="rId16" Type="http://schemas.openxmlformats.org/officeDocument/2006/relationships/footer" Target="footer2.xml"/><Relationship Id="rId221" Type="http://schemas.openxmlformats.org/officeDocument/2006/relationships/header" Target="header144.xml"/><Relationship Id="rId242" Type="http://schemas.openxmlformats.org/officeDocument/2006/relationships/chart" Target="charts/chart28.xml"/><Relationship Id="rId263" Type="http://schemas.openxmlformats.org/officeDocument/2006/relationships/header" Target="header180.xml"/><Relationship Id="rId284" Type="http://schemas.openxmlformats.org/officeDocument/2006/relationships/header" Target="header199.xml"/><Relationship Id="rId319" Type="http://schemas.openxmlformats.org/officeDocument/2006/relationships/footer" Target="footer30.xml"/><Relationship Id="rId37" Type="http://schemas.openxmlformats.org/officeDocument/2006/relationships/header" Target="header12.xml"/><Relationship Id="rId58" Type="http://schemas.openxmlformats.org/officeDocument/2006/relationships/header" Target="header26.xml"/><Relationship Id="rId79" Type="http://schemas.openxmlformats.org/officeDocument/2006/relationships/header" Target="header38.xml"/><Relationship Id="rId102" Type="http://schemas.openxmlformats.org/officeDocument/2006/relationships/chart" Target="charts/chart1.xml"/><Relationship Id="rId123" Type="http://schemas.openxmlformats.org/officeDocument/2006/relationships/header" Target="header63.xml"/><Relationship Id="rId144" Type="http://schemas.openxmlformats.org/officeDocument/2006/relationships/header" Target="header81.xml"/><Relationship Id="rId330" Type="http://schemas.openxmlformats.org/officeDocument/2006/relationships/header" Target="header241.xml"/><Relationship Id="rId90" Type="http://schemas.openxmlformats.org/officeDocument/2006/relationships/header" Target="header46.xml"/><Relationship Id="rId165" Type="http://schemas.openxmlformats.org/officeDocument/2006/relationships/header" Target="header102.xml"/><Relationship Id="rId186" Type="http://schemas.openxmlformats.org/officeDocument/2006/relationships/header" Target="header113.xml"/><Relationship Id="rId351" Type="http://schemas.openxmlformats.org/officeDocument/2006/relationships/header" Target="header258.xml"/><Relationship Id="rId372" Type="http://schemas.openxmlformats.org/officeDocument/2006/relationships/image" Target="media/image48.svg"/><Relationship Id="rId393" Type="http://schemas.openxmlformats.org/officeDocument/2006/relationships/footer" Target="footer39.xml"/><Relationship Id="rId211" Type="http://schemas.openxmlformats.org/officeDocument/2006/relationships/header" Target="header135.xml"/><Relationship Id="rId232" Type="http://schemas.openxmlformats.org/officeDocument/2006/relationships/header" Target="header154.xml"/><Relationship Id="rId253" Type="http://schemas.openxmlformats.org/officeDocument/2006/relationships/header" Target="header173.xml"/><Relationship Id="rId274" Type="http://schemas.openxmlformats.org/officeDocument/2006/relationships/header" Target="header190.xml"/><Relationship Id="rId295" Type="http://schemas.openxmlformats.org/officeDocument/2006/relationships/header" Target="header210.xml"/><Relationship Id="rId309" Type="http://schemas.openxmlformats.org/officeDocument/2006/relationships/header" Target="header223.xml"/><Relationship Id="rId27" Type="http://schemas.microsoft.com/office/2007/relationships/hdphoto" Target="media/hdphoto2.wdp"/><Relationship Id="rId48" Type="http://schemas.openxmlformats.org/officeDocument/2006/relationships/header" Target="header20.xml"/><Relationship Id="rId69" Type="http://schemas.openxmlformats.org/officeDocument/2006/relationships/header" Target="header29.xml"/><Relationship Id="rId113" Type="http://schemas.openxmlformats.org/officeDocument/2006/relationships/chart" Target="charts/chart9.xml"/><Relationship Id="rId134" Type="http://schemas.openxmlformats.org/officeDocument/2006/relationships/header" Target="header74.xml"/><Relationship Id="rId320" Type="http://schemas.openxmlformats.org/officeDocument/2006/relationships/header" Target="header232.xml"/><Relationship Id="rId80" Type="http://schemas.openxmlformats.org/officeDocument/2006/relationships/footer" Target="footer17.xml"/><Relationship Id="rId155" Type="http://schemas.openxmlformats.org/officeDocument/2006/relationships/header" Target="header92.xml"/><Relationship Id="rId176" Type="http://schemas.openxmlformats.org/officeDocument/2006/relationships/chart" Target="charts/chart26.xml"/><Relationship Id="rId197" Type="http://schemas.openxmlformats.org/officeDocument/2006/relationships/header" Target="header123.xml"/><Relationship Id="rId341" Type="http://schemas.openxmlformats.org/officeDocument/2006/relationships/header" Target="header250.xml"/><Relationship Id="rId362" Type="http://schemas.openxmlformats.org/officeDocument/2006/relationships/footer" Target="footer37.xml"/><Relationship Id="rId383" Type="http://schemas.openxmlformats.org/officeDocument/2006/relationships/image" Target="media/image55.png"/><Relationship Id="rId201" Type="http://schemas.openxmlformats.org/officeDocument/2006/relationships/header" Target="header127.xml"/><Relationship Id="rId222" Type="http://schemas.openxmlformats.org/officeDocument/2006/relationships/header" Target="header145.xml"/><Relationship Id="rId243" Type="http://schemas.openxmlformats.org/officeDocument/2006/relationships/header" Target="header163.xml"/><Relationship Id="rId264" Type="http://schemas.openxmlformats.org/officeDocument/2006/relationships/header" Target="header181.xml"/><Relationship Id="rId285" Type="http://schemas.openxmlformats.org/officeDocument/2006/relationships/header" Target="header200.xml"/><Relationship Id="rId17" Type="http://schemas.openxmlformats.org/officeDocument/2006/relationships/header" Target="header3.xml"/><Relationship Id="rId38" Type="http://schemas.openxmlformats.org/officeDocument/2006/relationships/header" Target="header13.xml"/><Relationship Id="rId59" Type="http://schemas.openxmlformats.org/officeDocument/2006/relationships/footer" Target="footer15.xml"/><Relationship Id="rId103" Type="http://schemas.openxmlformats.org/officeDocument/2006/relationships/chart" Target="charts/chart2.xml"/><Relationship Id="rId124" Type="http://schemas.openxmlformats.org/officeDocument/2006/relationships/header" Target="header64.xml"/><Relationship Id="rId310" Type="http://schemas.openxmlformats.org/officeDocument/2006/relationships/header" Target="header224.xml"/><Relationship Id="rId70" Type="http://schemas.openxmlformats.org/officeDocument/2006/relationships/header" Target="header30.xml"/><Relationship Id="rId91" Type="http://schemas.openxmlformats.org/officeDocument/2006/relationships/header" Target="header47.xml"/><Relationship Id="rId145" Type="http://schemas.openxmlformats.org/officeDocument/2006/relationships/header" Target="header82.xml"/><Relationship Id="rId166" Type="http://schemas.openxmlformats.org/officeDocument/2006/relationships/chart" Target="charts/chart19.xml"/><Relationship Id="rId187" Type="http://schemas.openxmlformats.org/officeDocument/2006/relationships/header" Target="header114.xml"/><Relationship Id="rId331" Type="http://schemas.openxmlformats.org/officeDocument/2006/relationships/header" Target="header242.xml"/><Relationship Id="rId352" Type="http://schemas.openxmlformats.org/officeDocument/2006/relationships/header" Target="header259.xml"/><Relationship Id="rId373" Type="http://schemas.openxmlformats.org/officeDocument/2006/relationships/hyperlink" Target="mailto:mailbox@ccc.qld.gov.au" TargetMode="External"/><Relationship Id="rId394" Type="http://schemas.openxmlformats.org/officeDocument/2006/relationships/header" Target="header270.xml"/><Relationship Id="rId1" Type="http://schemas.openxmlformats.org/officeDocument/2006/relationships/customXml" Target="../customXml/item1.xml"/><Relationship Id="rId212" Type="http://schemas.openxmlformats.org/officeDocument/2006/relationships/header" Target="header136.xml"/><Relationship Id="rId233" Type="http://schemas.openxmlformats.org/officeDocument/2006/relationships/header" Target="header155.xml"/><Relationship Id="rId254" Type="http://schemas.openxmlformats.org/officeDocument/2006/relationships/header" Target="header174.xml"/><Relationship Id="rId28" Type="http://schemas.openxmlformats.org/officeDocument/2006/relationships/hyperlink" Target="http://www.ccc.qld.gov.au/annualreport" TargetMode="External"/><Relationship Id="rId49" Type="http://schemas.openxmlformats.org/officeDocument/2006/relationships/footer" Target="footer11.xml"/><Relationship Id="rId114" Type="http://schemas.openxmlformats.org/officeDocument/2006/relationships/chart" Target="charts/chart10.xml"/><Relationship Id="rId275" Type="http://schemas.openxmlformats.org/officeDocument/2006/relationships/header" Target="header191.xml"/><Relationship Id="rId296" Type="http://schemas.openxmlformats.org/officeDocument/2006/relationships/header" Target="header211.xml"/><Relationship Id="rId300" Type="http://schemas.openxmlformats.org/officeDocument/2006/relationships/header" Target="header215.xml"/><Relationship Id="rId60" Type="http://schemas.openxmlformats.org/officeDocument/2006/relationships/header" Target="header27.xml"/><Relationship Id="rId81" Type="http://schemas.openxmlformats.org/officeDocument/2006/relationships/header" Target="header39.xml"/><Relationship Id="rId135" Type="http://schemas.openxmlformats.org/officeDocument/2006/relationships/header" Target="header75.xml"/><Relationship Id="rId156" Type="http://schemas.openxmlformats.org/officeDocument/2006/relationships/header" Target="header93.xml"/><Relationship Id="rId177" Type="http://schemas.openxmlformats.org/officeDocument/2006/relationships/chart" Target="charts/chart27.xml"/><Relationship Id="rId198" Type="http://schemas.openxmlformats.org/officeDocument/2006/relationships/header" Target="header124.xml"/><Relationship Id="rId321" Type="http://schemas.openxmlformats.org/officeDocument/2006/relationships/header" Target="header233.xml"/><Relationship Id="rId342" Type="http://schemas.openxmlformats.org/officeDocument/2006/relationships/header" Target="header251.xml"/><Relationship Id="rId363" Type="http://schemas.openxmlformats.org/officeDocument/2006/relationships/header" Target="header267.xml"/><Relationship Id="rId384" Type="http://schemas.openxmlformats.org/officeDocument/2006/relationships/image" Target="media/image56.svg"/><Relationship Id="rId202" Type="http://schemas.openxmlformats.org/officeDocument/2006/relationships/header" Target="header128.xml"/><Relationship Id="rId223" Type="http://schemas.openxmlformats.org/officeDocument/2006/relationships/header" Target="header146.xml"/><Relationship Id="rId244" Type="http://schemas.openxmlformats.org/officeDocument/2006/relationships/header" Target="header164.xml"/><Relationship Id="rId18" Type="http://schemas.openxmlformats.org/officeDocument/2006/relationships/footer" Target="footer3.xml"/><Relationship Id="rId39" Type="http://schemas.openxmlformats.org/officeDocument/2006/relationships/header" Target="header14.xml"/><Relationship Id="rId265" Type="http://schemas.openxmlformats.org/officeDocument/2006/relationships/header" Target="header182.xml"/><Relationship Id="rId286" Type="http://schemas.openxmlformats.org/officeDocument/2006/relationships/header" Target="header201.xml"/><Relationship Id="rId50" Type="http://schemas.openxmlformats.org/officeDocument/2006/relationships/footer" Target="footer12.xml"/><Relationship Id="rId104" Type="http://schemas.openxmlformats.org/officeDocument/2006/relationships/chart" Target="charts/chart3.xml"/><Relationship Id="rId125" Type="http://schemas.openxmlformats.org/officeDocument/2006/relationships/header" Target="header65.xml"/><Relationship Id="rId146" Type="http://schemas.openxmlformats.org/officeDocument/2006/relationships/header" Target="header83.xml"/><Relationship Id="rId167" Type="http://schemas.openxmlformats.org/officeDocument/2006/relationships/chart" Target="charts/chart20.xml"/><Relationship Id="rId188" Type="http://schemas.openxmlformats.org/officeDocument/2006/relationships/header" Target="header115.xml"/><Relationship Id="rId311" Type="http://schemas.openxmlformats.org/officeDocument/2006/relationships/header" Target="header225.xml"/><Relationship Id="rId332" Type="http://schemas.openxmlformats.org/officeDocument/2006/relationships/header" Target="header243.xml"/><Relationship Id="rId353" Type="http://schemas.openxmlformats.org/officeDocument/2006/relationships/header" Target="header260.xml"/><Relationship Id="rId374" Type="http://schemas.openxmlformats.org/officeDocument/2006/relationships/hyperlink" Target="https://twitter.com/CCC_QLD" TargetMode="External"/><Relationship Id="rId395" Type="http://schemas.openxmlformats.org/officeDocument/2006/relationships/fontTable" Target="fontTable.xml"/><Relationship Id="rId71" Type="http://schemas.openxmlformats.org/officeDocument/2006/relationships/header" Target="header31.xml"/><Relationship Id="rId92" Type="http://schemas.openxmlformats.org/officeDocument/2006/relationships/header" Target="header48.xml"/><Relationship Id="rId213" Type="http://schemas.openxmlformats.org/officeDocument/2006/relationships/header" Target="header137.xml"/><Relationship Id="rId234" Type="http://schemas.openxmlformats.org/officeDocument/2006/relationships/header" Target="header156.xml"/><Relationship Id="rId2" Type="http://schemas.openxmlformats.org/officeDocument/2006/relationships/customXml" Target="../customXml/item2.xml"/><Relationship Id="rId29" Type="http://schemas.openxmlformats.org/officeDocument/2006/relationships/hyperlink" Target="http://www.data.qld.gov.au" TargetMode="External"/><Relationship Id="rId255" Type="http://schemas.openxmlformats.org/officeDocument/2006/relationships/chart" Target="charts/chart29.xml"/><Relationship Id="rId276" Type="http://schemas.openxmlformats.org/officeDocument/2006/relationships/header" Target="header192.xml"/><Relationship Id="rId297" Type="http://schemas.openxmlformats.org/officeDocument/2006/relationships/header" Target="header212.xml"/><Relationship Id="rId40" Type="http://schemas.openxmlformats.org/officeDocument/2006/relationships/footer" Target="footer8.xml"/><Relationship Id="rId115" Type="http://schemas.openxmlformats.org/officeDocument/2006/relationships/chart" Target="charts/chart11.xml"/><Relationship Id="rId136" Type="http://schemas.openxmlformats.org/officeDocument/2006/relationships/chart" Target="charts/chart16.xml"/><Relationship Id="rId157" Type="http://schemas.openxmlformats.org/officeDocument/2006/relationships/header" Target="header94.xml"/><Relationship Id="rId178" Type="http://schemas.openxmlformats.org/officeDocument/2006/relationships/header" Target="header106.xml"/><Relationship Id="rId301" Type="http://schemas.openxmlformats.org/officeDocument/2006/relationships/header" Target="header216.xml"/><Relationship Id="rId322" Type="http://schemas.openxmlformats.org/officeDocument/2006/relationships/footer" Target="footer31.xml"/><Relationship Id="rId343" Type="http://schemas.openxmlformats.org/officeDocument/2006/relationships/footer" Target="footer34.xml"/><Relationship Id="rId364" Type="http://schemas.openxmlformats.org/officeDocument/2006/relationships/image" Target="media/image41.png"/><Relationship Id="rId61" Type="http://schemas.openxmlformats.org/officeDocument/2006/relationships/image" Target="media/image13.png"/><Relationship Id="rId82" Type="http://schemas.openxmlformats.org/officeDocument/2006/relationships/header" Target="header40.xml"/><Relationship Id="rId199" Type="http://schemas.openxmlformats.org/officeDocument/2006/relationships/header" Target="header125.xml"/><Relationship Id="rId203" Type="http://schemas.openxmlformats.org/officeDocument/2006/relationships/footer" Target="footer23.xml"/><Relationship Id="rId385" Type="http://schemas.openxmlformats.org/officeDocument/2006/relationships/image" Target="media/image57.png"/><Relationship Id="rId19" Type="http://schemas.openxmlformats.org/officeDocument/2006/relationships/hyperlink" Target="http://www.ccc.qld.gov.au" TargetMode="External"/><Relationship Id="rId224" Type="http://schemas.openxmlformats.org/officeDocument/2006/relationships/footer" Target="footer26.xml"/><Relationship Id="rId245" Type="http://schemas.openxmlformats.org/officeDocument/2006/relationships/header" Target="header165.xml"/><Relationship Id="rId266" Type="http://schemas.openxmlformats.org/officeDocument/2006/relationships/header" Target="header183.xml"/><Relationship Id="rId287" Type="http://schemas.openxmlformats.org/officeDocument/2006/relationships/header" Target="header202.xml"/><Relationship Id="rId30" Type="http://schemas.openxmlformats.org/officeDocument/2006/relationships/image" Target="media/image9.png"/><Relationship Id="rId105" Type="http://schemas.openxmlformats.org/officeDocument/2006/relationships/chart" Target="charts/chart4.xml"/><Relationship Id="rId126" Type="http://schemas.openxmlformats.org/officeDocument/2006/relationships/header" Target="header66.xml"/><Relationship Id="rId147" Type="http://schemas.openxmlformats.org/officeDocument/2006/relationships/header" Target="header84.xml"/><Relationship Id="rId168" Type="http://schemas.openxmlformats.org/officeDocument/2006/relationships/chart" Target="charts/chart21.xml"/><Relationship Id="rId312" Type="http://schemas.openxmlformats.org/officeDocument/2006/relationships/header" Target="header226.xml"/><Relationship Id="rId333" Type="http://schemas.openxmlformats.org/officeDocument/2006/relationships/header" Target="header244.xml"/><Relationship Id="rId354" Type="http://schemas.openxmlformats.org/officeDocument/2006/relationships/footer" Target="footer35.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9.xml"/><Relationship Id="rId189" Type="http://schemas.openxmlformats.org/officeDocument/2006/relationships/header" Target="header116.xml"/><Relationship Id="rId375" Type="http://schemas.openxmlformats.org/officeDocument/2006/relationships/image" Target="media/image49.png"/><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eader" Target="header138.xml"/><Relationship Id="rId235" Type="http://schemas.openxmlformats.org/officeDocument/2006/relationships/header" Target="header157.xml"/><Relationship Id="rId256" Type="http://schemas.openxmlformats.org/officeDocument/2006/relationships/chart" Target="charts/chart30.xml"/><Relationship Id="rId277" Type="http://schemas.openxmlformats.org/officeDocument/2006/relationships/hyperlink" Target="http://www.data.qld.gov.au" TargetMode="External"/><Relationship Id="rId298" Type="http://schemas.openxmlformats.org/officeDocument/2006/relationships/header" Target="header213.xml"/><Relationship Id="rId116" Type="http://schemas.openxmlformats.org/officeDocument/2006/relationships/chart" Target="charts/chart12.xml"/><Relationship Id="rId137" Type="http://schemas.openxmlformats.org/officeDocument/2006/relationships/chart" Target="charts/chart17.xml"/><Relationship Id="rId158" Type="http://schemas.openxmlformats.org/officeDocument/2006/relationships/header" Target="header95.xml"/><Relationship Id="rId302" Type="http://schemas.openxmlformats.org/officeDocument/2006/relationships/header" Target="header217.xml"/><Relationship Id="rId323" Type="http://schemas.openxmlformats.org/officeDocument/2006/relationships/header" Target="header234.xml"/><Relationship Id="rId344" Type="http://schemas.openxmlformats.org/officeDocument/2006/relationships/header" Target="header252.xml"/><Relationship Id="rId20" Type="http://schemas.openxmlformats.org/officeDocument/2006/relationships/header" Target="header4.xml"/><Relationship Id="rId41" Type="http://schemas.openxmlformats.org/officeDocument/2006/relationships/footer" Target="footer9.xml"/><Relationship Id="rId62" Type="http://schemas.openxmlformats.org/officeDocument/2006/relationships/image" Target="media/image14.png"/><Relationship Id="rId83" Type="http://schemas.openxmlformats.org/officeDocument/2006/relationships/header" Target="header41.xml"/><Relationship Id="rId179" Type="http://schemas.openxmlformats.org/officeDocument/2006/relationships/header" Target="header107.xml"/><Relationship Id="rId365" Type="http://schemas.openxmlformats.org/officeDocument/2006/relationships/image" Target="media/image42.svg"/><Relationship Id="rId386" Type="http://schemas.openxmlformats.org/officeDocument/2006/relationships/hyperlink" Target="http://www.ccc.qld.gov.au/subscribe" TargetMode="External"/><Relationship Id="rId190" Type="http://schemas.openxmlformats.org/officeDocument/2006/relationships/footer" Target="footer22.xml"/><Relationship Id="rId204" Type="http://schemas.openxmlformats.org/officeDocument/2006/relationships/header" Target="header129.xml"/><Relationship Id="rId225" Type="http://schemas.openxmlformats.org/officeDocument/2006/relationships/header" Target="header147.xml"/><Relationship Id="rId246" Type="http://schemas.openxmlformats.org/officeDocument/2006/relationships/header" Target="header166.xml"/><Relationship Id="rId267" Type="http://schemas.openxmlformats.org/officeDocument/2006/relationships/header" Target="header184.xml"/><Relationship Id="rId288" Type="http://schemas.openxmlformats.org/officeDocument/2006/relationships/header" Target="header203.xml"/><Relationship Id="rId106" Type="http://schemas.openxmlformats.org/officeDocument/2006/relationships/chart" Target="charts/chart5.xml"/><Relationship Id="rId127" Type="http://schemas.openxmlformats.org/officeDocument/2006/relationships/header" Target="header67.xml"/><Relationship Id="rId313" Type="http://schemas.openxmlformats.org/officeDocument/2006/relationships/header" Target="header227.xml"/><Relationship Id="rId10" Type="http://schemas.openxmlformats.org/officeDocument/2006/relationships/image" Target="media/image1.png"/><Relationship Id="rId31" Type="http://schemas.openxmlformats.org/officeDocument/2006/relationships/header" Target="header7.xml"/><Relationship Id="rId52" Type="http://schemas.openxmlformats.org/officeDocument/2006/relationships/footer" Target="footer13.xml"/><Relationship Id="rId73" Type="http://schemas.openxmlformats.org/officeDocument/2006/relationships/header" Target="header33.xml"/><Relationship Id="rId94" Type="http://schemas.openxmlformats.org/officeDocument/2006/relationships/header" Target="header50.xml"/><Relationship Id="rId148" Type="http://schemas.openxmlformats.org/officeDocument/2006/relationships/header" Target="header85.xml"/><Relationship Id="rId169" Type="http://schemas.openxmlformats.org/officeDocument/2006/relationships/chart" Target="charts/chart22.xml"/><Relationship Id="rId334" Type="http://schemas.openxmlformats.org/officeDocument/2006/relationships/header" Target="header245.xml"/><Relationship Id="rId355" Type="http://schemas.openxmlformats.org/officeDocument/2006/relationships/footer" Target="footer36.xml"/><Relationship Id="rId376" Type="http://schemas.openxmlformats.org/officeDocument/2006/relationships/image" Target="media/image50.svg"/><Relationship Id="rId4" Type="http://schemas.openxmlformats.org/officeDocument/2006/relationships/styles" Target="styles.xml"/><Relationship Id="rId180" Type="http://schemas.openxmlformats.org/officeDocument/2006/relationships/footer" Target="footer21.xml"/><Relationship Id="rId215" Type="http://schemas.openxmlformats.org/officeDocument/2006/relationships/header" Target="header139.xml"/><Relationship Id="rId236" Type="http://schemas.openxmlformats.org/officeDocument/2006/relationships/header" Target="header158.xml"/><Relationship Id="rId257" Type="http://schemas.openxmlformats.org/officeDocument/2006/relationships/header" Target="header175.xml"/><Relationship Id="rId278" Type="http://schemas.openxmlformats.org/officeDocument/2006/relationships/header" Target="header193.xml"/><Relationship Id="rId303" Type="http://schemas.openxmlformats.org/officeDocument/2006/relationships/header" Target="header218.xml"/><Relationship Id="rId42" Type="http://schemas.openxmlformats.org/officeDocument/2006/relationships/header" Target="header15.xml"/><Relationship Id="rId84" Type="http://schemas.openxmlformats.org/officeDocument/2006/relationships/footer" Target="footer18.xml"/><Relationship Id="rId138" Type="http://schemas.openxmlformats.org/officeDocument/2006/relationships/chart" Target="charts/chart18.xml"/><Relationship Id="rId345" Type="http://schemas.openxmlformats.org/officeDocument/2006/relationships/header" Target="header253.xml"/><Relationship Id="rId387" Type="http://schemas.openxmlformats.org/officeDocument/2006/relationships/image" Target="media/image58.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ccc.qld.gov.au/publications/ccc-strategic-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1.jp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1.jp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2.jp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6.jpg"/></Relationships>
</file>

<file path=word/_rels/header125.xml.rels><?xml version="1.0" encoding="UTF-8" standalone="yes"?>
<Relationships xmlns="http://schemas.openxmlformats.org/package/2006/relationships"><Relationship Id="rId1" Type="http://schemas.openxmlformats.org/officeDocument/2006/relationships/image" Target="media/image5.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5.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5.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5.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5.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5.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11.jpg"/></Relationships>
</file>

<file path=word/_rels/header155.xml.rels><?xml version="1.0" encoding="UTF-8" standalone="yes"?>
<Relationships xmlns="http://schemas.openxmlformats.org/package/2006/relationships"><Relationship Id="rId1" Type="http://schemas.openxmlformats.org/officeDocument/2006/relationships/image" Target="media/image11.jp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5.png"/></Relationships>
</file>

<file path=word/_rels/header161.xml.rels><?xml version="1.0" encoding="UTF-8" standalone="yes"?>
<Relationships xmlns="http://schemas.openxmlformats.org/package/2006/relationships"><Relationship Id="rId1" Type="http://schemas.openxmlformats.org/officeDocument/2006/relationships/image" Target="media/image5.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5.png"/></Relationships>
</file>

<file path=word/_rels/header166.xml.rels><?xml version="1.0" encoding="UTF-8" standalone="yes"?>
<Relationships xmlns="http://schemas.openxmlformats.org/package/2006/relationships"><Relationship Id="rId1" Type="http://schemas.openxmlformats.org/officeDocument/2006/relationships/image" Target="media/image11.jpg"/></Relationships>
</file>

<file path=word/_rels/header167.xml.rels><?xml version="1.0" encoding="UTF-8" standalone="yes"?>
<Relationships xmlns="http://schemas.openxmlformats.org/package/2006/relationships"><Relationship Id="rId1" Type="http://schemas.openxmlformats.org/officeDocument/2006/relationships/image" Target="media/image11.jp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70.xml.rels><?xml version="1.0" encoding="UTF-8" standalone="yes"?>
<Relationships xmlns="http://schemas.openxmlformats.org/package/2006/relationships"><Relationship Id="rId1" Type="http://schemas.openxmlformats.org/officeDocument/2006/relationships/image" Target="media/image5.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5.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5.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5.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5.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5.png"/></Relationships>
</file>

<file path=word/_rels/header193.xml.rels><?xml version="1.0" encoding="UTF-8" standalone="yes"?>
<Relationships xmlns="http://schemas.openxmlformats.org/package/2006/relationships"><Relationship Id="rId1" Type="http://schemas.openxmlformats.org/officeDocument/2006/relationships/image" Target="media/image11.jpg"/></Relationships>
</file>

<file path=word/_rels/header194.xml.rels><?xml version="1.0" encoding="UTF-8" standalone="yes"?>
<Relationships xmlns="http://schemas.openxmlformats.org/package/2006/relationships"><Relationship Id="rId1" Type="http://schemas.openxmlformats.org/officeDocument/2006/relationships/image" Target="media/image11.jpg"/></Relationships>
</file>

<file path=word/_rels/header196.xml.rels><?xml version="1.0" encoding="UTF-8" standalone="yes"?>
<Relationships xmlns="http://schemas.openxmlformats.org/package/2006/relationships"><Relationship Id="rId1" Type="http://schemas.openxmlformats.org/officeDocument/2006/relationships/image" Target="media/image11.jp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5.png"/></Relationships>
</file>

<file path=word/_rels/header203.xml.rels><?xml version="1.0" encoding="UTF-8" standalone="yes"?>
<Relationships xmlns="http://schemas.openxmlformats.org/package/2006/relationships"><Relationship Id="rId1" Type="http://schemas.openxmlformats.org/officeDocument/2006/relationships/image" Target="media/image5.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5.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5.png"/></Relationships>
</file>

<file path=word/_rels/header218.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20.xml.rels><?xml version="1.0" encoding="UTF-8" standalone="yes"?>
<Relationships xmlns="http://schemas.openxmlformats.org/package/2006/relationships"><Relationship Id="rId1" Type="http://schemas.openxmlformats.org/officeDocument/2006/relationships/image" Target="media/image11.jpg"/></Relationships>
</file>

<file path=word/_rels/header221.xml.rels><?xml version="1.0" encoding="UTF-8" standalone="yes"?>
<Relationships xmlns="http://schemas.openxmlformats.org/package/2006/relationships"><Relationship Id="rId1" Type="http://schemas.openxmlformats.org/officeDocument/2006/relationships/image" Target="media/image11.jp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5.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3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35.png"/><Relationship Id="rId3" Type="http://schemas.openxmlformats.org/officeDocument/2006/relationships/image" Target="media/image25.png"/><Relationship Id="rId7" Type="http://schemas.openxmlformats.org/officeDocument/2006/relationships/image" Target="media/image29.jpeg"/><Relationship Id="rId12" Type="http://schemas.openxmlformats.org/officeDocument/2006/relationships/image" Target="media/image34.png"/><Relationship Id="rId2" Type="http://schemas.openxmlformats.org/officeDocument/2006/relationships/image" Target="media/image24.png"/><Relationship Id="rId16" Type="http://schemas.openxmlformats.org/officeDocument/2006/relationships/image" Target="media/image38.jpeg"/><Relationship Id="rId1" Type="http://schemas.openxmlformats.org/officeDocument/2006/relationships/image" Target="media/image23.png"/><Relationship Id="rId6" Type="http://schemas.openxmlformats.org/officeDocument/2006/relationships/image" Target="media/image28.jpeg"/><Relationship Id="rId11" Type="http://schemas.openxmlformats.org/officeDocument/2006/relationships/image" Target="media/image33.png"/><Relationship Id="rId5" Type="http://schemas.openxmlformats.org/officeDocument/2006/relationships/image" Target="media/image27.png"/><Relationship Id="rId15" Type="http://schemas.openxmlformats.org/officeDocument/2006/relationships/image" Target="media/image37.jpeg"/><Relationship Id="rId10" Type="http://schemas.openxmlformats.org/officeDocument/2006/relationships/image" Target="media/image32.png"/><Relationship Id="rId4" Type="http://schemas.openxmlformats.org/officeDocument/2006/relationships/image" Target="media/image26.png"/><Relationship Id="rId9" Type="http://schemas.openxmlformats.org/officeDocument/2006/relationships/image" Target="media/image31.png"/><Relationship Id="rId14" Type="http://schemas.openxmlformats.org/officeDocument/2006/relationships/image" Target="media/image36.jpeg"/></Relationships>
</file>

<file path=word/_rels/header256.xml.rels><?xml version="1.0" encoding="UTF-8" standalone="yes"?>
<Relationships xmlns="http://schemas.openxmlformats.org/package/2006/relationships"><Relationship Id="rId1" Type="http://schemas.openxmlformats.org/officeDocument/2006/relationships/image" Target="media/image39.jpeg"/></Relationships>
</file>

<file path=word/_rels/header257.xml.rels><?xml version="1.0" encoding="UTF-8" standalone="yes"?>
<Relationships xmlns="http://schemas.openxmlformats.org/package/2006/relationships"><Relationship Id="rId1" Type="http://schemas.openxmlformats.org/officeDocument/2006/relationships/image" Target="media/image39.jpeg"/></Relationships>
</file>

<file path=word/_rels/header259.xml.rels><?xml version="1.0" encoding="UTF-8" standalone="yes"?>
<Relationships xmlns="http://schemas.openxmlformats.org/package/2006/relationships"><Relationship Id="rId1" Type="http://schemas.openxmlformats.org/officeDocument/2006/relationships/image" Target="media/image11.jp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60.xml.rels><?xml version="1.0" encoding="UTF-8" standalone="yes"?>
<Relationships xmlns="http://schemas.openxmlformats.org/package/2006/relationships"><Relationship Id="rId1" Type="http://schemas.openxmlformats.org/officeDocument/2006/relationships/image" Target="media/image5.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6.jp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1" Type="http://schemas.openxmlformats.org/officeDocument/2006/relationships/image" Target="media/image10.jpg"/></Relationships>
</file>

<file path=word/_rels/header32.xml.rels><?xml version="1.0" encoding="UTF-8" standalone="yes"?>
<Relationships xmlns="http://schemas.openxmlformats.org/package/2006/relationships"><Relationship Id="rId1" Type="http://schemas.openxmlformats.org/officeDocument/2006/relationships/image" Target="media/image6.jp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11.jpg"/></Relationships>
</file>

<file path=word/_rels/header47.xml.rels><?xml version="1.0" encoding="UTF-8" standalone="yes"?>
<Relationships xmlns="http://schemas.openxmlformats.org/package/2006/relationships"><Relationship Id="rId1" Type="http://schemas.openxmlformats.org/officeDocument/2006/relationships/image" Target="media/image11.jpg"/></Relationships>
</file>

<file path=word/_rels/header48.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2.jpg"/></Relationships>
</file>

<file path=word/_rels/header49.xml.rels><?xml version="1.0" encoding="UTF-8" standalone="yes"?>
<Relationships xmlns="http://schemas.openxmlformats.org/package/2006/relationships"><Relationship Id="rId1"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0.jpg"/></Relationships>
</file>

<file path=word/_rels/header59.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62.xml.rels><?xml version="1.0" encoding="UTF-8" standalone="yes"?>
<Relationships xmlns="http://schemas.openxmlformats.org/package/2006/relationships"><Relationship Id="rId1" Type="http://schemas.openxmlformats.org/officeDocument/2006/relationships/image" Target="media/image20.jpg"/></Relationships>
</file>

<file path=word/_rels/header64.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0.jpg"/></Relationships>
</file>

<file path=word/_rels/header70.xml.rels><?xml version="1.0" encoding="UTF-8" standalone="yes"?>
<Relationships xmlns="http://schemas.openxmlformats.org/package/2006/relationships"><Relationship Id="rId1" Type="http://schemas.openxmlformats.org/officeDocument/2006/relationships/image" Target="media/image5.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12.jpg"/></Relationships>
</file>

<file path=word/_rels/header92.xml.rels><?xml version="1.0" encoding="UTF-8" standalone="yes"?>
<Relationships xmlns="http://schemas.openxmlformats.org/package/2006/relationships"><Relationship Id="rId1" Type="http://schemas.openxmlformats.org/officeDocument/2006/relationships/image" Target="media/image11.jp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oleObject" Target="file:///C:\Users\ISalvemi\Desktop\Annual%20Report%20graphs%202022-23.XLSX" TargetMode="External"/><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xml"/><Relationship Id="rId1" Type="http://schemas.microsoft.com/office/2011/relationships/chartStyle" Target="style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xml"/><Relationship Id="rId1" Type="http://schemas.microsoft.com/office/2011/relationships/chartStyle" Target="style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6.xml"/><Relationship Id="rId1" Type="http://schemas.microsoft.com/office/2011/relationships/chartStyle" Target="style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2.xml"/><Relationship Id="rId1" Type="http://schemas.microsoft.com/office/2011/relationships/chartStyle" Target="style1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3.xml"/><Relationship Id="rId1" Type="http://schemas.microsoft.com/office/2011/relationships/chartStyle" Target="style1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5.xml"/><Relationship Id="rId1" Type="http://schemas.microsoft.com/office/2011/relationships/chartStyle" Target="style1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6.xml"/><Relationship Id="rId1" Type="http://schemas.microsoft.com/office/2011/relationships/chartStyle" Target="style1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82744880153486"/>
          <c:y val="6.86135654635745E-2"/>
          <c:w val="0.65945810797906046"/>
          <c:h val="0.93138643453642544"/>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0-11D6-4C67-9D9D-6B976A6E02B7}"/>
              </c:ext>
            </c:extLst>
          </c:dPt>
          <c:dPt>
            <c:idx val="1"/>
            <c:invertIfNegative val="0"/>
            <c:bubble3D val="0"/>
            <c:spPr>
              <a:solidFill>
                <a:srgbClr val="414042"/>
              </a:solidFill>
              <a:ln>
                <a:solidFill>
                  <a:srgbClr val="000000"/>
                </a:solidFill>
              </a:ln>
              <a:effectLst/>
            </c:spPr>
            <c:extLst>
              <c:ext xmlns:c16="http://schemas.microsoft.com/office/drawing/2014/chart" uri="{C3380CC4-5D6E-409C-BE32-E72D297353CC}">
                <c16:uniqueId val="{00000002-11D6-4C67-9D9D-6B976A6E02B7}"/>
              </c:ext>
            </c:extLst>
          </c:dPt>
          <c:dLbls>
            <c:dLbl>
              <c:idx val="0"/>
              <c:layout>
                <c:manualLayout>
                  <c:x val="0.57149832015209789"/>
                  <c:y val="-4.5454545454545421E-2"/>
                </c:manualLayout>
              </c:layout>
              <c:numFmt formatCode="0%" sourceLinked="0"/>
              <c:spPr>
                <a:noFill/>
                <a:ln>
                  <a:noFill/>
                </a:ln>
                <a:effectLst/>
              </c:spPr>
              <c:txPr>
                <a:bodyPr rot="0" vert="horz" anchorCtr="0"/>
                <a:lstStyle/>
                <a:p>
                  <a:pPr algn="r">
                    <a:defRPr>
                      <a:solidFill>
                        <a:schemeClr val="tx1"/>
                      </a:solidFill>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0442611707715147"/>
                      <c:h val="0.36095919828203293"/>
                    </c:manualLayout>
                  </c15:layout>
                </c:ext>
                <c:ext xmlns:c16="http://schemas.microsoft.com/office/drawing/2014/chart" uri="{C3380CC4-5D6E-409C-BE32-E72D297353CC}">
                  <c16:uniqueId val="{00000000-11D6-4C67-9D9D-6B976A6E02B7}"/>
                </c:ext>
              </c:extLst>
            </c:dLbl>
            <c:dLbl>
              <c:idx val="1"/>
              <c:tx>
                <c:rich>
                  <a:bodyPr/>
                  <a:lstStyle/>
                  <a:p>
                    <a:fld id="{3A43AE15-9C79-4484-A4D7-83CEC6FD57C1}" type="VALUE">
                      <a:rPr lang="en-US" b="1">
                        <a:solidFill>
                          <a:schemeClr val="tx1"/>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1D6-4C67-9D9D-6B976A6E02B7}"/>
                </c:ext>
              </c:extLst>
            </c:dLbl>
            <c:numFmt formatCode="0%" sourceLinked="0"/>
            <c:spPr>
              <a:noFill/>
              <a:ln>
                <a:noFill/>
              </a:ln>
              <a:effectLst/>
            </c:spPr>
            <c:txPr>
              <a:bodyPr rot="0" vert="horz"/>
              <a:lstStyle/>
              <a:p>
                <a:pPr algn="r">
                  <a:defRPr>
                    <a:solidFill>
                      <a:schemeClr val="tx1"/>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Sheet1!$A$2:$A$3</c:f>
              <c:strCache>
                <c:ptCount val="2"/>
                <c:pt idx="0">
                  <c:v>2021–22</c:v>
                </c:pt>
                <c:pt idx="1">
                  <c:v>2022–23</c:v>
                </c:pt>
              </c:strCache>
            </c:strRef>
          </c:cat>
          <c:val>
            <c:numRef>
              <c:f>Sheet1!$B$2:$B$3</c:f>
              <c:numCache>
                <c:formatCode>0%</c:formatCode>
                <c:ptCount val="2"/>
                <c:pt idx="0">
                  <c:v>0.6</c:v>
                </c:pt>
                <c:pt idx="1">
                  <c:v>1</c:v>
                </c:pt>
              </c:numCache>
            </c:numRef>
          </c:val>
          <c:extLst>
            <c:ext xmlns:c16="http://schemas.microsoft.com/office/drawing/2014/chart" uri="{C3380CC4-5D6E-409C-BE32-E72D297353CC}">
              <c16:uniqueId val="{00000003-11D6-4C67-9D9D-6B976A6E02B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j-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50424085633181"/>
          <c:y val="0"/>
          <c:w val="0.71357403918776963"/>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91E5-44FA-8077-002DB5593D49}"/>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91E5-44FA-8077-002DB5593D49}"/>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91E5-44FA-8077-002DB5593D49}"/>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91E5-44FA-8077-002DB5593D49}"/>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91E5-44FA-8077-002DB5593D49}"/>
              </c:ext>
            </c:extLst>
          </c:dPt>
          <c:dLbls>
            <c:dLbl>
              <c:idx val="0"/>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1-91E5-44FA-8077-002DB5593D49}"/>
                </c:ext>
              </c:extLst>
            </c:dLbl>
            <c:dLbl>
              <c:idx val="1"/>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3-91E5-44FA-8077-002DB5593D49}"/>
                </c:ext>
              </c:extLst>
            </c:dLbl>
            <c:dLbl>
              <c:idx val="2"/>
              <c:layout>
                <c:manualLayout>
                  <c:x val="0.25289496902224917"/>
                  <c:y val="6.550981694332228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4014686448712738"/>
                      <c:h val="8.8232028550388031E-2"/>
                    </c:manualLayout>
                  </c15:layout>
                </c:ext>
                <c:ext xmlns:c16="http://schemas.microsoft.com/office/drawing/2014/chart" uri="{C3380CC4-5D6E-409C-BE32-E72D297353CC}">
                  <c16:uniqueId val="{00000005-91E5-44FA-8077-002DB5593D49}"/>
                </c:ext>
              </c:extLst>
            </c:dLbl>
            <c:dLbl>
              <c:idx val="3"/>
              <c:layout>
                <c:manualLayout>
                  <c:x val="0.61024963385101727"/>
                  <c:y val="9.592326139088728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7-91E5-44FA-8077-002DB5593D49}"/>
                </c:ext>
              </c:extLst>
            </c:dLbl>
            <c:dLbl>
              <c:idx val="4"/>
              <c:layout>
                <c:manualLayout>
                  <c:x val="0.39134438305709024"/>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91E5-44FA-8077-002DB5593D49}"/>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208</c:v>
                </c:pt>
                <c:pt idx="1">
                  <c:v>178</c:v>
                </c:pt>
                <c:pt idx="2">
                  <c:v>190</c:v>
                </c:pt>
                <c:pt idx="3">
                  <c:v>151</c:v>
                </c:pt>
                <c:pt idx="4">
                  <c:v>117</c:v>
                </c:pt>
              </c:numCache>
            </c:numRef>
          </c:val>
          <c:extLst>
            <c:ext xmlns:c16="http://schemas.microsoft.com/office/drawing/2014/chart" uri="{C3380CC4-5D6E-409C-BE32-E72D297353CC}">
              <c16:uniqueId val="{00000009-91E5-44FA-8077-002DB5593D49}"/>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1.9333011116481391E-2"/>
          <c:w val="0.70502028155571461"/>
          <c:h val="0.9790723119907777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FCAA-4FB1-899B-FCAF71F496FC}"/>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FCAA-4FB1-899B-FCAF71F496FC}"/>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FCAA-4FB1-899B-FCAF71F496FC}"/>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FCAA-4FB1-899B-FCAF71F496FC}"/>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FCAA-4FB1-899B-FCAF71F496FC}"/>
              </c:ext>
            </c:extLst>
          </c:dPt>
          <c:dLbls>
            <c:dLbl>
              <c:idx val="0"/>
              <c:layout>
                <c:manualLayout>
                  <c:x val="0.54428465793240266"/>
                  <c:y val="8.8299288675872042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1-FCAA-4FB1-899B-FCAF71F496FC}"/>
                </c:ext>
              </c:extLst>
            </c:dLbl>
            <c:dLbl>
              <c:idx val="1"/>
              <c:layout>
                <c:manualLayout>
                  <c:x val="0.32616289072652527"/>
                  <c:y val="3.803872342044200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3-FCAA-4FB1-899B-FCAF71F496FC}"/>
                </c:ext>
              </c:extLst>
            </c:dLbl>
            <c:dLbl>
              <c:idx val="2"/>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5-FCAA-4FB1-899B-FCAF71F496FC}"/>
                </c:ext>
              </c:extLst>
            </c:dLbl>
            <c:dLbl>
              <c:idx val="3"/>
              <c:layout>
                <c:manualLayout>
                  <c:x val="0.55173978369854659"/>
                  <c:y val="-2.8432260464560779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6.090909090909092E-2"/>
                      <c:h val="0.18864813114241613"/>
                    </c:manualLayout>
                  </c15:layout>
                </c:ext>
                <c:ext xmlns:c16="http://schemas.microsoft.com/office/drawing/2014/chart" uri="{C3380CC4-5D6E-409C-BE32-E72D297353CC}">
                  <c16:uniqueId val="{00000007-FCAA-4FB1-899B-FCAF71F496FC}"/>
                </c:ext>
              </c:extLst>
            </c:dLbl>
            <c:dLbl>
              <c:idx val="4"/>
              <c:layout>
                <c:manualLayout>
                  <c:x val="0.5944854435036625"/>
                  <c:y val="-3.805710849811822E-7"/>
                </c:manualLayout>
              </c:layout>
              <c:tx>
                <c:rich>
                  <a:bodyPr rot="0" vert="horz"/>
                  <a:lstStyle/>
                  <a:p>
                    <a:pPr algn="r">
                      <a:defRPr b="1"/>
                    </a:pPr>
                    <a:r>
                      <a:rPr lang="en-US" b="1"/>
                      <a:t>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9-FCAA-4FB1-899B-FCAF71F496FC}"/>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36</c:v>
                </c:pt>
                <c:pt idx="1">
                  <c:v>42</c:v>
                </c:pt>
                <c:pt idx="2">
                  <c:v>43</c:v>
                </c:pt>
                <c:pt idx="3">
                  <c:v>9</c:v>
                </c:pt>
                <c:pt idx="4">
                  <c:v>9</c:v>
                </c:pt>
              </c:numCache>
            </c:numRef>
          </c:val>
          <c:extLst>
            <c:ext xmlns:c16="http://schemas.microsoft.com/office/drawing/2014/chart" uri="{C3380CC4-5D6E-409C-BE32-E72D297353CC}">
              <c16:uniqueId val="{0000000A-FCAA-4FB1-899B-FCAF71F496FC}"/>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36588563144049"/>
          <c:y val="1.9175455417066157E-2"/>
          <c:w val="0.67030080997317454"/>
          <c:h val="0.97556946407340084"/>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6221-491E-945D-F373E96B1F55}"/>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6221-491E-945D-F373E96B1F55}"/>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6221-491E-945D-F373E96B1F55}"/>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6221-491E-945D-F373E96B1F55}"/>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6221-491E-945D-F373E96B1F55}"/>
              </c:ext>
            </c:extLst>
          </c:dPt>
          <c:dLbls>
            <c:dLbl>
              <c:idx val="0"/>
              <c:layout>
                <c:manualLayout>
                  <c:x val="0.34493224268351769"/>
                  <c:y val="-1.3101178378907706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2303076698745991"/>
                      <c:h val="8.8232007911762708E-2"/>
                    </c:manualLayout>
                  </c15:layout>
                </c:ext>
                <c:ext xmlns:c16="http://schemas.microsoft.com/office/drawing/2014/chart" uri="{C3380CC4-5D6E-409C-BE32-E72D297353CC}">
                  <c16:uniqueId val="{00000001-6221-491E-945D-F373E96B1F55}"/>
                </c:ext>
              </c:extLst>
            </c:dLbl>
            <c:dLbl>
              <c:idx val="1"/>
              <c:layout>
                <c:manualLayout>
                  <c:x val="0.39426837270341192"/>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6221-491E-945D-F373E96B1F55}"/>
                </c:ext>
              </c:extLst>
            </c:dLbl>
            <c:dLbl>
              <c:idx val="2"/>
              <c:layout>
                <c:manualLayout>
                  <c:x val="0.36660686664527137"/>
                  <c:y val="-1.3101178381280613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1059200933216676"/>
                      <c:h val="8.8232007911762708E-2"/>
                    </c:manualLayout>
                  </c15:layout>
                </c:ext>
                <c:ext xmlns:c16="http://schemas.microsoft.com/office/drawing/2014/chart" uri="{C3380CC4-5D6E-409C-BE32-E72D297353CC}">
                  <c16:uniqueId val="{00000005-6221-491E-945D-F373E96B1F55}"/>
                </c:ext>
              </c:extLst>
            </c:dLbl>
            <c:dLbl>
              <c:idx val="3"/>
              <c:layout>
                <c:manualLayout>
                  <c:x val="0.61649077719451717"/>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429571303587048"/>
                      <c:h val="8.8232007911762708E-2"/>
                    </c:manualLayout>
                  </c15:layout>
                </c:ext>
                <c:ext xmlns:c16="http://schemas.microsoft.com/office/drawing/2014/chart" uri="{C3380CC4-5D6E-409C-BE32-E72D297353CC}">
                  <c16:uniqueId val="{00000007-6221-491E-945D-F373E96B1F55}"/>
                </c:ext>
              </c:extLst>
            </c:dLbl>
            <c:dLbl>
              <c:idx val="4"/>
              <c:layout>
                <c:manualLayout>
                  <c:x val="0.57870370370370372"/>
                  <c:y val="1.2461059190031152E-2"/>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6221-491E-945D-F373E96B1F55}"/>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28.25</c:v>
                </c:pt>
                <c:pt idx="1">
                  <c:v>8.99</c:v>
                </c:pt>
                <c:pt idx="2">
                  <c:v>20.16</c:v>
                </c:pt>
                <c:pt idx="3">
                  <c:v>8.7859999999999996</c:v>
                </c:pt>
                <c:pt idx="4">
                  <c:v>5.22</c:v>
                </c:pt>
              </c:numCache>
            </c:numRef>
          </c:val>
          <c:extLst>
            <c:ext xmlns:c16="http://schemas.microsoft.com/office/drawing/2014/chart" uri="{C3380CC4-5D6E-409C-BE32-E72D297353CC}">
              <c16:uniqueId val="{00000009-6221-491E-945D-F373E96B1F5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8039215686274508E-3"/>
          <c:w val="0.71619060847824012"/>
          <c:h val="0.99019613457408728"/>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2BA4-437F-B1FB-162595111BD1}"/>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2BA4-437F-B1FB-162595111BD1}"/>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2BA4-437F-B1FB-162595111BD1}"/>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2BA4-437F-B1FB-162595111BD1}"/>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2BA4-437F-B1FB-162595111BD1}"/>
              </c:ext>
            </c:extLst>
          </c:dPt>
          <c:dLbls>
            <c:dLbl>
              <c:idx val="0"/>
              <c:layout>
                <c:manualLayout>
                  <c:x val="0.22196015689275755"/>
                  <c:y val="1.373195102587075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0176112923123105"/>
                      <c:h val="9.8036127836961542E-2"/>
                    </c:manualLayout>
                  </c15:layout>
                </c:ext>
                <c:ext xmlns:c16="http://schemas.microsoft.com/office/drawing/2014/chart" uri="{C3380CC4-5D6E-409C-BE32-E72D297353CC}">
                  <c16:uniqueId val="{00000001-2BA4-437F-B1FB-162595111BD1}"/>
                </c:ext>
              </c:extLst>
            </c:dLbl>
            <c:dLbl>
              <c:idx val="1"/>
              <c:layout>
                <c:manualLayout>
                  <c:x val="0.27262869174816706"/>
                  <c:y val="1.960781130375683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531534499610143"/>
                      <c:h val="0.12744789254284392"/>
                    </c:manualLayout>
                  </c15:layout>
                </c:ext>
                <c:ext xmlns:c16="http://schemas.microsoft.com/office/drawing/2014/chart" uri="{C3380CC4-5D6E-409C-BE32-E72D297353CC}">
                  <c16:uniqueId val="{00000003-2BA4-437F-B1FB-162595111BD1}"/>
                </c:ext>
              </c:extLst>
            </c:dLbl>
            <c:dLbl>
              <c:idx val="2"/>
              <c:layout>
                <c:manualLayout>
                  <c:x val="0.21609702315325247"/>
                  <c:y val="3.1996386745539201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0.13912283865280198"/>
                    </c:manualLayout>
                  </c15:layout>
                </c:ext>
                <c:ext xmlns:c16="http://schemas.microsoft.com/office/drawing/2014/chart" uri="{C3380CC4-5D6E-409C-BE32-E72D297353CC}">
                  <c16:uniqueId val="{00000005-2BA4-437F-B1FB-162595111BD1}"/>
                </c:ext>
              </c:extLst>
            </c:dLbl>
            <c:dLbl>
              <c:idx val="3"/>
              <c:layout>
                <c:manualLayout>
                  <c:x val="0.59127195273605226"/>
                  <c:y val="3.5623047259415883E-2"/>
                </c:manualLayout>
              </c:layout>
              <c:tx>
                <c:rich>
                  <a:bodyPr/>
                  <a:lstStyle/>
                  <a:p>
                    <a:r>
                      <a:rPr lang="en-US"/>
                      <a:t>3,889</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9"/>
                      <c:h val="0.15947907274949411"/>
                    </c:manualLayout>
                  </c15:layout>
                  <c15:showDataLabelsRange val="0"/>
                </c:ext>
                <c:ext xmlns:c16="http://schemas.microsoft.com/office/drawing/2014/chart" uri="{C3380CC4-5D6E-409C-BE32-E72D297353CC}">
                  <c16:uniqueId val="{00000007-2BA4-437F-B1FB-162595111BD1}"/>
                </c:ext>
              </c:extLst>
            </c:dLbl>
            <c:dLbl>
              <c:idx val="4"/>
              <c:layout>
                <c:manualLayout>
                  <c:x val="0.38992942304806044"/>
                  <c:y val="-1.6188186796952573E-16"/>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2BA4-437F-B1FB-162595111BD1}"/>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#,##0</c:formatCode>
                <c:ptCount val="5"/>
                <c:pt idx="0">
                  <c:v>3109</c:v>
                </c:pt>
                <c:pt idx="1">
                  <c:v>3327</c:v>
                </c:pt>
                <c:pt idx="2">
                  <c:v>3490</c:v>
                </c:pt>
                <c:pt idx="3">
                  <c:v>3889</c:v>
                </c:pt>
                <c:pt idx="4">
                  <c:v>3931</c:v>
                </c:pt>
              </c:numCache>
            </c:numRef>
          </c:val>
          <c:extLst>
            <c:ext xmlns:c16="http://schemas.microsoft.com/office/drawing/2014/chart" uri="{C3380CC4-5D6E-409C-BE32-E72D297353CC}">
              <c16:uniqueId val="{0000000A-2BA4-437F-B1FB-162595111BD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0645895007335"/>
          <c:y val="0"/>
          <c:w val="0.68298188195053344"/>
          <c:h val="0.9994040470531482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636E-4F4A-9D7E-821131B1160B}"/>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636E-4F4A-9D7E-821131B1160B}"/>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636E-4F4A-9D7E-821131B1160B}"/>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636E-4F4A-9D7E-821131B1160B}"/>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636E-4F4A-9D7E-821131B1160B}"/>
              </c:ext>
            </c:extLst>
          </c:dPt>
          <c:dLbls>
            <c:dLbl>
              <c:idx val="0"/>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636E-4F4A-9D7E-821131B1160B}"/>
                </c:ext>
              </c:extLst>
            </c:dLbl>
            <c:dLbl>
              <c:idx val="1"/>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636E-4F4A-9D7E-821131B1160B}"/>
                </c:ext>
              </c:extLst>
            </c:dLbl>
            <c:dLbl>
              <c:idx val="2"/>
              <c:layout>
                <c:manualLayout>
                  <c:x val="0.34808841886395997"/>
                  <c:y val="-4.39643202579107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636E-4F4A-9D7E-821131B1160B}"/>
                </c:ext>
              </c:extLst>
            </c:dLbl>
            <c:dLbl>
              <c:idx val="3"/>
              <c:layout>
                <c:manualLayout>
                  <c:x val="0.60698272090988625"/>
                  <c:y val="-6.1504030956618325E-1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7-636E-4F4A-9D7E-821131B1160B}"/>
                </c:ext>
              </c:extLst>
            </c:dLbl>
            <c:dLbl>
              <c:idx val="4"/>
              <c:layout>
                <c:manualLayout>
                  <c:x val="0.47307952241495815"/>
                  <c:y val="0"/>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636E-4F4A-9D7E-821131B1160B}"/>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_("$"* #,##0.00_);_("$"* \(#,##0.00\);_("$"* "-"??_);_(@_)</c:formatCode>
                <c:ptCount val="5"/>
                <c:pt idx="0">
                  <c:v>13.65</c:v>
                </c:pt>
                <c:pt idx="1">
                  <c:v>7.18</c:v>
                </c:pt>
                <c:pt idx="2">
                  <c:v>8.69</c:v>
                </c:pt>
                <c:pt idx="3">
                  <c:v>7.4189999999999996</c:v>
                </c:pt>
                <c:pt idx="4">
                  <c:v>4.3</c:v>
                </c:pt>
              </c:numCache>
            </c:numRef>
          </c:val>
          <c:extLst>
            <c:ext xmlns:c16="http://schemas.microsoft.com/office/drawing/2014/chart" uri="{C3380CC4-5D6E-409C-BE32-E72D297353CC}">
              <c16:uniqueId val="{00000009-636E-4F4A-9D7E-821131B1160B}"/>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00_);_(&quot;$&quot;* \(#,##0.00\);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6665055582406956E-3"/>
          <c:w val="0.72418546909861181"/>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38CF-4672-9A3C-B487EB4A8435}"/>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38CF-4672-9A3C-B487EB4A8435}"/>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38CF-4672-9A3C-B487EB4A8435}"/>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38CF-4672-9A3C-B487EB4A8435}"/>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38CF-4672-9A3C-B487EB4A8435}"/>
              </c:ext>
            </c:extLst>
          </c:dPt>
          <c:dLbls>
            <c:dLbl>
              <c:idx val="0"/>
              <c:layout>
                <c:manualLayout>
                  <c:x val="0.35905583621472759"/>
                  <c:y val="-3.599829698105635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1-38CF-4672-9A3C-B487EB4A8435}"/>
                </c:ext>
              </c:extLst>
            </c:dLbl>
            <c:dLbl>
              <c:idx val="1"/>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3-38CF-4672-9A3C-B487EB4A8435}"/>
                </c:ext>
              </c:extLst>
            </c:dLbl>
            <c:dLbl>
              <c:idx val="2"/>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5-38CF-4672-9A3C-B487EB4A8435}"/>
                </c:ext>
              </c:extLst>
            </c:dLbl>
            <c:dLbl>
              <c:idx val="3"/>
              <c:layout>
                <c:manualLayout>
                  <c:x val="0.59379234572422634"/>
                  <c:y val="0"/>
                </c:manualLayout>
              </c:layout>
              <c:tx>
                <c:rich>
                  <a:bodyPr/>
                  <a:lstStyle/>
                  <a:p>
                    <a:r>
                      <a:rPr lang="en-US"/>
                      <a:t>8,859</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15:showDataLabelsRange val="0"/>
                </c:ext>
                <c:ext xmlns:c16="http://schemas.microsoft.com/office/drawing/2014/chart" uri="{C3380CC4-5D6E-409C-BE32-E72D297353CC}">
                  <c16:uniqueId val="{00000007-38CF-4672-9A3C-B487EB4A8435}"/>
                </c:ext>
              </c:extLst>
            </c:dLbl>
            <c:dLbl>
              <c:idx val="4"/>
              <c:layout>
                <c:manualLayout>
                  <c:x val="0.35565561144802182"/>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38CF-4672-9A3C-B487EB4A8435}"/>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8329</c:v>
                </c:pt>
                <c:pt idx="1">
                  <c:v>8726</c:v>
                </c:pt>
                <c:pt idx="2">
                  <c:v>8563</c:v>
                </c:pt>
                <c:pt idx="3">
                  <c:v>8859</c:v>
                </c:pt>
                <c:pt idx="4">
                  <c:v>8398</c:v>
                </c:pt>
              </c:numCache>
            </c:numRef>
          </c:val>
          <c:extLst>
            <c:ext xmlns:c16="http://schemas.microsoft.com/office/drawing/2014/chart" uri="{C3380CC4-5D6E-409C-BE32-E72D297353CC}">
              <c16:uniqueId val="{00000009-38CF-4672-9A3C-B487EB4A843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932324825971184E-4"/>
          <c:y val="5.8573499054659799E-2"/>
          <c:w val="0.99983067675174031"/>
          <c:h val="0.86365603338044283"/>
        </c:manualLayout>
      </c:layout>
      <c:barChart>
        <c:barDir val="bar"/>
        <c:grouping val="clustered"/>
        <c:varyColors val="0"/>
        <c:ser>
          <c:idx val="0"/>
          <c:order val="0"/>
          <c:tx>
            <c:strRef>
              <c:f>'2022-23 Draft'!$B$15</c:f>
              <c:strCache>
                <c:ptCount val="1"/>
                <c:pt idx="0">
                  <c:v>Operating surplus (deficit)</c:v>
                </c:pt>
              </c:strCache>
            </c:strRef>
          </c:tx>
          <c:spPr>
            <a:solidFill>
              <a:schemeClr val="tx1"/>
            </a:solidFill>
            <a:ln>
              <a:noFill/>
            </a:ln>
            <a:effectLst/>
          </c:spPr>
          <c:invertIfNegative val="0"/>
          <c:dLbls>
            <c:dLbl>
              <c:idx val="3"/>
              <c:layout>
                <c:manualLayout>
                  <c:x val="-8.5150557207127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70-48B7-8AD4-A02C2ABB33C5}"/>
                </c:ext>
              </c:extLst>
            </c:dLbl>
            <c:dLbl>
              <c:idx val="4"/>
              <c:layout>
                <c:manualLayout>
                  <c:x val="-2.0768428587104562E-3"/>
                  <c:y val="3.8816102753253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70-48B7-8AD4-A02C2ABB33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Draft'!$G$14:$K$14</c:f>
              <c:strCache>
                <c:ptCount val="5"/>
                <c:pt idx="0">
                  <c:v>2018–19</c:v>
                </c:pt>
                <c:pt idx="1">
                  <c:v>2019–20</c:v>
                </c:pt>
                <c:pt idx="2">
                  <c:v>2020–21</c:v>
                </c:pt>
                <c:pt idx="3">
                  <c:v>2021–22</c:v>
                </c:pt>
                <c:pt idx="4">
                  <c:v>2022–23</c:v>
                </c:pt>
              </c:strCache>
            </c:strRef>
          </c:cat>
          <c:val>
            <c:numRef>
              <c:f>'2022-23 Draft'!$G$15:$K$15</c:f>
              <c:numCache>
                <c:formatCode>#,##0.000;\(#,##0.000\)</c:formatCode>
                <c:ptCount val="5"/>
                <c:pt idx="0">
                  <c:v>0.216</c:v>
                </c:pt>
                <c:pt idx="1">
                  <c:v>0.28600000000000136</c:v>
                </c:pt>
                <c:pt idx="2" formatCode="General">
                  <c:v>2.0009999999999999</c:v>
                </c:pt>
                <c:pt idx="3">
                  <c:v>-0.55100000000000005</c:v>
                </c:pt>
                <c:pt idx="4">
                  <c:v>6.431</c:v>
                </c:pt>
              </c:numCache>
            </c:numRef>
          </c:val>
          <c:extLst>
            <c:ext xmlns:c16="http://schemas.microsoft.com/office/drawing/2014/chart" uri="{C3380CC4-5D6E-409C-BE32-E72D297353CC}">
              <c16:uniqueId val="{00000002-CE70-48B7-8AD4-A02C2ABB33C5}"/>
            </c:ext>
          </c:extLst>
        </c:ser>
        <c:ser>
          <c:idx val="1"/>
          <c:order val="1"/>
          <c:tx>
            <c:strRef>
              <c:f>'2022-23 Draft'!$B$16</c:f>
              <c:strCache>
                <c:ptCount val="1"/>
                <c:pt idx="0">
                  <c:v>Expenses</c:v>
                </c:pt>
              </c:strCache>
            </c:strRef>
          </c:tx>
          <c:spPr>
            <a:solidFill>
              <a:schemeClr val="bg1"/>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Draft'!$G$14:$K$14</c:f>
              <c:strCache>
                <c:ptCount val="5"/>
                <c:pt idx="0">
                  <c:v>2018–19</c:v>
                </c:pt>
                <c:pt idx="1">
                  <c:v>2019–20</c:v>
                </c:pt>
                <c:pt idx="2">
                  <c:v>2020–21</c:v>
                </c:pt>
                <c:pt idx="3">
                  <c:v>2021–22</c:v>
                </c:pt>
                <c:pt idx="4">
                  <c:v>2022–23</c:v>
                </c:pt>
              </c:strCache>
            </c:strRef>
          </c:cat>
          <c:val>
            <c:numRef>
              <c:f>'2022-23 Draft'!$G$16:$K$16</c:f>
              <c:numCache>
                <c:formatCode>#,##0.000;\(#,##0.000\)</c:formatCode>
                <c:ptCount val="5"/>
                <c:pt idx="0">
                  <c:v>59.115000000000002</c:v>
                </c:pt>
                <c:pt idx="1">
                  <c:v>65.259</c:v>
                </c:pt>
                <c:pt idx="2" formatCode="General">
                  <c:v>63.137999999999998</c:v>
                </c:pt>
                <c:pt idx="3" formatCode="0.000">
                  <c:v>66.03</c:v>
                </c:pt>
                <c:pt idx="4">
                  <c:v>63.132000000000005</c:v>
                </c:pt>
              </c:numCache>
            </c:numRef>
          </c:val>
          <c:extLst>
            <c:ext xmlns:c16="http://schemas.microsoft.com/office/drawing/2014/chart" uri="{C3380CC4-5D6E-409C-BE32-E72D297353CC}">
              <c16:uniqueId val="{00000003-CE70-48B7-8AD4-A02C2ABB33C5}"/>
            </c:ext>
          </c:extLst>
        </c:ser>
        <c:ser>
          <c:idx val="2"/>
          <c:order val="2"/>
          <c:tx>
            <c:strRef>
              <c:f>'2022-23 Draft'!$B$17</c:f>
              <c:strCache>
                <c:ptCount val="1"/>
                <c:pt idx="0">
                  <c:v>Revenue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Draft'!$G$14:$K$14</c:f>
              <c:strCache>
                <c:ptCount val="5"/>
                <c:pt idx="0">
                  <c:v>2018–19</c:v>
                </c:pt>
                <c:pt idx="1">
                  <c:v>2019–20</c:v>
                </c:pt>
                <c:pt idx="2">
                  <c:v>2020–21</c:v>
                </c:pt>
                <c:pt idx="3">
                  <c:v>2021–22</c:v>
                </c:pt>
                <c:pt idx="4">
                  <c:v>2022–23</c:v>
                </c:pt>
              </c:strCache>
            </c:strRef>
          </c:cat>
          <c:val>
            <c:numRef>
              <c:f>'2022-23 Draft'!$G$17:$K$17</c:f>
              <c:numCache>
                <c:formatCode>#,##0.000;\(#,##0.000\)</c:formatCode>
                <c:ptCount val="5"/>
                <c:pt idx="0">
                  <c:v>59.331000000000003</c:v>
                </c:pt>
                <c:pt idx="1">
                  <c:v>65.545000000000002</c:v>
                </c:pt>
                <c:pt idx="2" formatCode="General">
                  <c:v>65.138999999999996</c:v>
                </c:pt>
                <c:pt idx="3" formatCode="General">
                  <c:v>65.478999999999999</c:v>
                </c:pt>
                <c:pt idx="4">
                  <c:v>69.563000000000002</c:v>
                </c:pt>
              </c:numCache>
            </c:numRef>
          </c:val>
          <c:extLst>
            <c:ext xmlns:c16="http://schemas.microsoft.com/office/drawing/2014/chart" uri="{C3380CC4-5D6E-409C-BE32-E72D297353CC}">
              <c16:uniqueId val="{00000004-CE70-48B7-8AD4-A02C2ABB33C5}"/>
            </c:ext>
          </c:extLst>
        </c:ser>
        <c:dLbls>
          <c:showLegendKey val="0"/>
          <c:showVal val="0"/>
          <c:showCatName val="0"/>
          <c:showSerName val="0"/>
          <c:showPercent val="0"/>
          <c:showBubbleSize val="0"/>
        </c:dLbls>
        <c:gapWidth val="182"/>
        <c:overlap val="-55"/>
        <c:axId val="622962776"/>
        <c:axId val="622958072"/>
      </c:barChart>
      <c:catAx>
        <c:axId val="622962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22958072"/>
        <c:crosses val="autoZero"/>
        <c:auto val="1"/>
        <c:lblAlgn val="ctr"/>
        <c:lblOffset val="100"/>
        <c:noMultiLvlLbl val="0"/>
      </c:catAx>
      <c:valAx>
        <c:axId val="622958072"/>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622962776"/>
        <c:crosses val="autoZero"/>
        <c:crossBetween val="between"/>
      </c:valAx>
      <c:spPr>
        <a:noFill/>
        <a:ln>
          <a:noFill/>
        </a:ln>
        <a:effectLst/>
      </c:spPr>
    </c:plotArea>
    <c:legend>
      <c:legendPos val="b"/>
      <c:layout>
        <c:manualLayout>
          <c:xMode val="edge"/>
          <c:yMode val="edge"/>
          <c:x val="0.17644464453362696"/>
          <c:y val="0.91120770649402572"/>
          <c:w val="0.53936432857553585"/>
          <c:h val="6.550263185402210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EXPENDITURE</a:t>
            </a:r>
          </a:p>
        </c:rich>
      </c:tx>
      <c:layout>
        <c:manualLayout>
          <c:xMode val="edge"/>
          <c:yMode val="edge"/>
          <c:x val="0.39896771524249125"/>
          <c:y val="0.30855725770668352"/>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33671811023622045"/>
          <c:y val="0.11171701674826463"/>
          <c:w val="0.33038000684697022"/>
          <c:h val="0.45360196737585451"/>
        </c:manualLayout>
      </c:layout>
      <c:doughnutChart>
        <c:varyColors val="0"/>
        <c:ser>
          <c:idx val="0"/>
          <c:order val="0"/>
          <c:tx>
            <c:strRef>
              <c:f>Sheet1!$B$1</c:f>
              <c:strCache>
                <c:ptCount val="1"/>
                <c:pt idx="0">
                  <c:v>Sales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c:spPr>
          <c:dPt>
            <c:idx val="0"/>
            <c:bubble3D val="0"/>
            <c:spPr>
              <a:solidFill>
                <a:schemeClr val="accent1"/>
              </a:solidFill>
              <a:ln>
                <a:solidFill>
                  <a:schemeClr val="bg1"/>
                </a:solidFill>
              </a:ln>
              <a:effectLst/>
            </c:spPr>
            <c:extLst>
              <c:ext xmlns:c16="http://schemas.microsoft.com/office/drawing/2014/chart" uri="{C3380CC4-5D6E-409C-BE32-E72D297353CC}">
                <c16:uniqueId val="{00000001-66EF-4EB5-A843-6259FEFB9235}"/>
              </c:ext>
            </c:extLst>
          </c:dPt>
          <c:dPt>
            <c:idx val="1"/>
            <c:bubble3D val="0"/>
            <c:spPr>
              <a:solidFill>
                <a:schemeClr val="accent3"/>
              </a:solidFill>
              <a:ln>
                <a:solidFill>
                  <a:schemeClr val="bg1"/>
                </a:solidFill>
              </a:ln>
              <a:effectLst/>
            </c:spPr>
            <c:extLst>
              <c:ext xmlns:c16="http://schemas.microsoft.com/office/drawing/2014/chart" uri="{C3380CC4-5D6E-409C-BE32-E72D297353CC}">
                <c16:uniqueId val="{00000003-66EF-4EB5-A843-6259FEFB9235}"/>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5-66EF-4EB5-A843-6259FEFB9235}"/>
              </c:ext>
            </c:extLst>
          </c:dPt>
          <c:dPt>
            <c:idx val="3"/>
            <c:bubble3D val="0"/>
            <c:spPr>
              <a:solidFill>
                <a:schemeClr val="accent5"/>
              </a:solidFill>
              <a:ln>
                <a:solidFill>
                  <a:schemeClr val="bg1"/>
                </a:solidFill>
              </a:ln>
              <a:effectLst/>
            </c:spPr>
            <c:extLst>
              <c:ext xmlns:c16="http://schemas.microsoft.com/office/drawing/2014/chart" uri="{C3380CC4-5D6E-409C-BE32-E72D297353CC}">
                <c16:uniqueId val="{00000007-66EF-4EB5-A843-6259FEFB9235}"/>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9-66EF-4EB5-A843-6259FEFB9235}"/>
              </c:ext>
            </c:extLst>
          </c:dPt>
          <c:cat>
            <c:strRef>
              <c:f>Sheet1!$A$2:$A$7</c:f>
              <c:strCache>
                <c:ptCount val="6"/>
                <c:pt idx="0">
                  <c:v>Employee expenses (71.5%)</c:v>
                </c:pt>
                <c:pt idx="1">
                  <c:v>Supplies and services (22.5%)</c:v>
                </c:pt>
                <c:pt idx="2">
                  <c:v>Depreciation and amortisation (3.6%)</c:v>
                </c:pt>
                <c:pt idx="3">
                  <c:v>Other expenses including services received below fair value (2.3%)</c:v>
                </c:pt>
                <c:pt idx="4">
                  <c:v>Asset write offs (0.0%)</c:v>
                </c:pt>
                <c:pt idx="5">
                  <c:v>Finance costs (0.0%)</c:v>
                </c:pt>
              </c:strCache>
            </c:strRef>
          </c:cat>
          <c:val>
            <c:numRef>
              <c:f>Sheet1!$B$2:$B$7</c:f>
              <c:numCache>
                <c:formatCode>0.00%</c:formatCode>
                <c:ptCount val="6"/>
                <c:pt idx="0">
                  <c:v>0.71499999999999997</c:v>
                </c:pt>
                <c:pt idx="1">
                  <c:v>0.22500000000000001</c:v>
                </c:pt>
                <c:pt idx="2">
                  <c:v>3.5999999999999997E-2</c:v>
                </c:pt>
                <c:pt idx="3">
                  <c:v>2.3E-2</c:v>
                </c:pt>
                <c:pt idx="4">
                  <c:v>0</c:v>
                </c:pt>
                <c:pt idx="5">
                  <c:v>0</c:v>
                </c:pt>
              </c:numCache>
            </c:numRef>
          </c:val>
          <c:extLst>
            <c:ext xmlns:c16="http://schemas.microsoft.com/office/drawing/2014/chart" uri="{C3380CC4-5D6E-409C-BE32-E72D297353CC}">
              <c16:uniqueId val="{0000000A-66EF-4EB5-A843-6259FEFB9235}"/>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egendEntry>
        <c:idx val="4"/>
        <c:txPr>
          <a:bodyPr rot="0" spcFirstLastPara="1" vertOverflow="ellipsis" vert="horz" wrap="square" anchor="ctr" anchorCtr="1"/>
          <a:lstStyle/>
          <a:p>
            <a:pPr algn="just">
              <a:defRPr sz="900" b="0" i="0" u="none" strike="noStrike" baseline="0">
                <a:solidFill>
                  <a:schemeClr val="accent2"/>
                </a:solidFill>
                <a:latin typeface="+mj-lt"/>
                <a:ea typeface="+mn-ea"/>
                <a:cs typeface="+mn-cs"/>
              </a:defRPr>
            </a:pPr>
            <a:endParaRPr lang="en-US"/>
          </a:p>
        </c:txPr>
      </c:legendEntry>
      <c:layout>
        <c:manualLayout>
          <c:xMode val="edge"/>
          <c:yMode val="edge"/>
          <c:x val="0.10434790478776358"/>
          <c:y val="0.6150568929600132"/>
          <c:w val="0.89565217391304353"/>
          <c:h val="0.32506260857793917"/>
        </c:manualLayout>
      </c:layout>
      <c:overlay val="0"/>
      <c:spPr>
        <a:noFill/>
        <a:ln>
          <a:noFill/>
        </a:ln>
        <a:effectLst/>
      </c:spPr>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REVENUE</a:t>
            </a:r>
          </a:p>
        </c:rich>
      </c:tx>
      <c:layout>
        <c:manualLayout>
          <c:xMode val="edge"/>
          <c:yMode val="edge"/>
          <c:x val="0.39835010643629626"/>
          <c:y val="0.28129250178954907"/>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29182160613156888"/>
          <c:y val="5.7597530422333572E-2"/>
          <c:w val="0.41161456614330394"/>
          <c:h val="0.52726422691481745"/>
        </c:manualLayout>
      </c:layout>
      <c:doughnutChart>
        <c:varyColors val="1"/>
        <c:ser>
          <c:idx val="0"/>
          <c:order val="0"/>
          <c:tx>
            <c:strRef>
              <c:f>Sheet1!$B$1</c:f>
              <c:strCache>
                <c:ptCount val="1"/>
                <c:pt idx="0">
                  <c:v>Sales</c:v>
                </c:pt>
              </c:strCache>
            </c:strRef>
          </c:tx>
          <c:dPt>
            <c:idx val="0"/>
            <c:bubble3D val="0"/>
            <c:spPr>
              <a:solidFill>
                <a:schemeClr val="tx1">
                  <a:lumMod val="50000"/>
                </a:schemeClr>
              </a:solidFill>
              <a:ln>
                <a:solidFill>
                  <a:schemeClr val="bg1"/>
                </a:solidFill>
              </a:ln>
              <a:effectLst/>
            </c:spPr>
            <c:extLst>
              <c:ext xmlns:c16="http://schemas.microsoft.com/office/drawing/2014/chart" uri="{C3380CC4-5D6E-409C-BE32-E72D297353CC}">
                <c16:uniqueId val="{00000001-24F4-4012-9731-CA379A67FEDA}"/>
              </c:ext>
            </c:extLst>
          </c:dPt>
          <c:dPt>
            <c:idx val="1"/>
            <c:bubble3D val="0"/>
            <c:spPr>
              <a:solidFill>
                <a:schemeClr val="accent3"/>
              </a:solidFill>
              <a:ln>
                <a:solidFill>
                  <a:schemeClr val="bg1"/>
                </a:solidFill>
              </a:ln>
              <a:effectLst/>
            </c:spPr>
            <c:extLst>
              <c:ext xmlns:c16="http://schemas.microsoft.com/office/drawing/2014/chart" uri="{C3380CC4-5D6E-409C-BE32-E72D297353CC}">
                <c16:uniqueId val="{00000003-24F4-4012-9731-CA379A67FEDA}"/>
              </c:ext>
            </c:extLst>
          </c:dPt>
          <c:dPt>
            <c:idx val="2"/>
            <c:bubble3D val="0"/>
            <c:spPr>
              <a:solidFill>
                <a:schemeClr val="accent5"/>
              </a:solidFill>
              <a:ln>
                <a:solidFill>
                  <a:schemeClr val="bg1"/>
                </a:solidFill>
              </a:ln>
              <a:effectLst/>
            </c:spPr>
            <c:extLst>
              <c:ext xmlns:c16="http://schemas.microsoft.com/office/drawing/2014/chart" uri="{C3380CC4-5D6E-409C-BE32-E72D297353CC}">
                <c16:uniqueId val="{00000005-24F4-4012-9731-CA379A67FEDA}"/>
              </c:ext>
            </c:extLst>
          </c:dPt>
          <c:dPt>
            <c:idx val="3"/>
            <c:bubble3D val="0"/>
            <c:spPr>
              <a:solidFill>
                <a:schemeClr val="accent6"/>
              </a:solidFill>
              <a:ln>
                <a:solidFill>
                  <a:schemeClr val="bg1"/>
                </a:solidFill>
              </a:ln>
              <a:effectLst/>
            </c:spPr>
            <c:extLst>
              <c:ext xmlns:c16="http://schemas.microsoft.com/office/drawing/2014/chart" uri="{C3380CC4-5D6E-409C-BE32-E72D297353CC}">
                <c16:uniqueId val="{00000007-24F4-4012-9731-CA379A67FEDA}"/>
              </c:ext>
            </c:extLst>
          </c:dPt>
          <c:cat>
            <c:strRef>
              <c:f>Sheet1!$A$2:$A$5</c:f>
              <c:strCache>
                <c:ptCount val="4"/>
                <c:pt idx="0">
                  <c:v>Grants (96.4%)</c:v>
                </c:pt>
                <c:pt idx="1">
                  <c:v>Other contributions (1.9%)</c:v>
                </c:pt>
                <c:pt idx="2">
                  <c:v>Interest revenue (1.4%)</c:v>
                </c:pt>
                <c:pt idx="3">
                  <c:v>Other revenue (0.3%)</c:v>
                </c:pt>
              </c:strCache>
            </c:strRef>
          </c:cat>
          <c:val>
            <c:numRef>
              <c:f>Sheet1!$B$2:$B$5</c:f>
              <c:numCache>
                <c:formatCode>0.00%</c:formatCode>
                <c:ptCount val="4"/>
                <c:pt idx="0">
                  <c:v>0.96399999999999997</c:v>
                </c:pt>
                <c:pt idx="1">
                  <c:v>1.9E-2</c:v>
                </c:pt>
                <c:pt idx="2">
                  <c:v>1.4E-2</c:v>
                </c:pt>
                <c:pt idx="3">
                  <c:v>3.0000000000000001E-3</c:v>
                </c:pt>
              </c:numCache>
            </c:numRef>
          </c:val>
          <c:extLst>
            <c:ext xmlns:c16="http://schemas.microsoft.com/office/drawing/2014/chart" uri="{C3380CC4-5D6E-409C-BE32-E72D297353CC}">
              <c16:uniqueId val="{00000008-24F4-4012-9731-CA379A67FEDA}"/>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egendEntry>
        <c:idx val="0"/>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2"/>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3"/>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ayout>
        <c:manualLayout>
          <c:xMode val="edge"/>
          <c:yMode val="edge"/>
          <c:x val="4.4355732978487473E-3"/>
          <c:y val="0.61456746073092472"/>
          <c:w val="0.52539365713018404"/>
          <c:h val="0.21754975383677855"/>
        </c:manualLayout>
      </c:layout>
      <c:overlay val="0"/>
      <c:spPr>
        <a:noFill/>
        <a:ln>
          <a:noFill/>
        </a:ln>
        <a:effectLst/>
      </c:spPr>
      <c:txPr>
        <a:bodyPr rot="0" spcFirstLastPara="1" vertOverflow="ellipsis" vert="horz" wrap="square" anchor="ctr" anchorCtr="1"/>
        <a:lstStyle/>
        <a:p>
          <a:pPr>
            <a:defRPr sz="900" b="0" i="0" u="none" strike="noStrike"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11</a:t>
            </a:r>
          </a:p>
          <a:p>
            <a:pPr>
              <a:defRPr b="1">
                <a:solidFill>
                  <a:schemeClr val="accent2"/>
                </a:solidFill>
              </a:defRPr>
            </a:pPr>
            <a:r>
              <a:rPr lang="en-US" sz="900" b="1">
                <a:solidFill>
                  <a:schemeClr val="accent2"/>
                </a:solidFill>
              </a:rPr>
              <a:t>RESTRAINING </a:t>
            </a:r>
          </a:p>
          <a:p>
            <a:pPr>
              <a:defRPr b="1">
                <a:solidFill>
                  <a:schemeClr val="accent2"/>
                </a:solidFill>
              </a:defRPr>
            </a:pPr>
            <a:r>
              <a:rPr lang="en-US" sz="900" b="1">
                <a:solidFill>
                  <a:schemeClr val="accent2"/>
                </a:solidFill>
              </a:rPr>
              <a:t>ORDERS ISSUED</a:t>
            </a:r>
          </a:p>
        </c:rich>
      </c:tx>
      <c:layout>
        <c:manualLayout>
          <c:xMode val="edge"/>
          <c:yMode val="edge"/>
          <c:x val="0.30049749939712933"/>
          <c:y val="0.3303882683029968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3806224665703771"/>
          <c:y val="0.11997725217117741"/>
          <c:w val="0.55346130550249262"/>
          <c:h val="0.71867046200477347"/>
        </c:manualLayout>
      </c:layout>
      <c:doughnutChart>
        <c:varyColors val="1"/>
        <c:ser>
          <c:idx val="0"/>
          <c:order val="0"/>
          <c:tx>
            <c:strRef>
              <c:f>Sheet1!$B$1</c:f>
              <c:strCache>
                <c:ptCount val="1"/>
                <c:pt idx="0">
                  <c:v>11 Restraining Orders Issued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C2C-4FF0-A13C-674667A2D21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C2C-4FF0-A13C-674667A2D217}"/>
              </c:ext>
            </c:extLst>
          </c:dPt>
          <c:dLbls>
            <c:dLbl>
              <c:idx val="0"/>
              <c:delete val="1"/>
              <c:extLst>
                <c:ext xmlns:c15="http://schemas.microsoft.com/office/drawing/2012/chart" uri="{CE6537A1-D6FC-4f65-9D91-7224C49458BB}"/>
                <c:ext xmlns:c16="http://schemas.microsoft.com/office/drawing/2014/chart" uri="{C3380CC4-5D6E-409C-BE32-E72D297353CC}">
                  <c16:uniqueId val="{00000001-5C2C-4FF0-A13C-674667A2D217}"/>
                </c:ext>
              </c:extLst>
            </c:dLbl>
            <c:dLbl>
              <c:idx val="1"/>
              <c:tx>
                <c:rich>
                  <a:bodyPr/>
                  <a:lstStyle/>
                  <a:p>
                    <a:fld id="{F956895B-50A0-4BCD-B098-72945CFB26E0}"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2C-4FF0-A13C-674667A2D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0</c:v>
                </c:pt>
                <c:pt idx="1">
                  <c:v>11</c:v>
                </c:pt>
              </c:numCache>
            </c:numRef>
          </c:val>
          <c:extLst>
            <c:ext xmlns:c16="http://schemas.microsoft.com/office/drawing/2014/chart" uri="{C3380CC4-5D6E-409C-BE32-E72D297353CC}">
              <c16:uniqueId val="{00000004-5C2C-4FF0-A13C-674667A2D217}"/>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6.3897763578274758E-2"/>
          <c:w val="0.68383882570234278"/>
          <c:h val="0.93610234204595388"/>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4-CF51-4B45-AE22-9F54471AAE80}"/>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CF51-4B45-AE22-9F54471AAE80}"/>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0-CF51-4B45-AE22-9F54471AAE80}"/>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CF51-4B45-AE22-9F54471AAE80}"/>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3-CF51-4B45-AE22-9F54471AAE80}"/>
              </c:ext>
            </c:extLst>
          </c:dPt>
          <c:dLbls>
            <c:dLbl>
              <c:idx val="0"/>
              <c:layout>
                <c:manualLayout>
                  <c:x val="0.14109347442680775"/>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F51-4B45-AE22-9F54471AAE80}"/>
                </c:ext>
              </c:extLst>
            </c:dLbl>
            <c:dLbl>
              <c:idx val="1"/>
              <c:layout>
                <c:manualLayout>
                  <c:x val="0.33950617283950618"/>
                  <c:y val="-1.024065540194567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F51-4B45-AE22-9F54471AAE80}"/>
                </c:ext>
              </c:extLst>
            </c:dLbl>
            <c:dLbl>
              <c:idx val="2"/>
              <c:layout>
                <c:manualLayout>
                  <c:x val="2.6455026455026454E-2"/>
                  <c:y val="-1.597421290080677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9"/>
                      <c:h val="0.18407838796508263"/>
                    </c:manualLayout>
                  </c15:layout>
                </c:ext>
                <c:ext xmlns:c16="http://schemas.microsoft.com/office/drawing/2014/chart" uri="{C3380CC4-5D6E-409C-BE32-E72D297353CC}">
                  <c16:uniqueId val="{00000000-CF51-4B45-AE22-9F54471AAE80}"/>
                </c:ext>
              </c:extLst>
            </c:dLbl>
            <c:dLbl>
              <c:idx val="3"/>
              <c:layout>
                <c:manualLayout>
                  <c:x val="0.70105820105820094"/>
                  <c:y val="-1.0240655401945725E-2"/>
                </c:manualLayout>
              </c:layout>
              <c:tx>
                <c:rich>
                  <a:bodyPr/>
                  <a:lstStyle/>
                  <a:p>
                    <a:r>
                      <a:rPr lang="en-US"/>
                      <a:t>81%</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CF51-4B45-AE22-9F54471AAE80}"/>
                </c:ext>
              </c:extLst>
            </c:dLbl>
            <c:dLbl>
              <c:idx val="4"/>
              <c:layout>
                <c:manualLayout>
                  <c:x val="0.17195767195767181"/>
                  <c:y val="-2.8880866425992781E-2"/>
                </c:manualLayout>
              </c:layout>
              <c:tx>
                <c:rich>
                  <a:bodyPr/>
                  <a:lstStyle/>
                  <a:p>
                    <a:fld id="{200B2B2F-855D-4A42-8792-41CF879BCAE8}"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F51-4B45-AE22-9F54471AAE80}"/>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0%</c:formatCode>
                <c:ptCount val="5"/>
                <c:pt idx="0">
                  <c:v>0.8</c:v>
                </c:pt>
                <c:pt idx="1">
                  <c:v>0.51</c:v>
                </c:pt>
                <c:pt idx="2">
                  <c:v>0.86</c:v>
                </c:pt>
                <c:pt idx="3">
                  <c:v>0.81</c:v>
                </c:pt>
                <c:pt idx="4">
                  <c:v>0.79</c:v>
                </c:pt>
              </c:numCache>
            </c:numRef>
          </c:val>
          <c:extLst>
            <c:ext xmlns:c16="http://schemas.microsoft.com/office/drawing/2014/chart" uri="{C3380CC4-5D6E-409C-BE32-E72D297353CC}">
              <c16:uniqueId val="{00000006-CF51-4B45-AE22-9F54471AAE80}"/>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mj-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15 </a:t>
            </a:r>
          </a:p>
          <a:p>
            <a:pPr>
              <a:defRPr b="1">
                <a:solidFill>
                  <a:schemeClr val="accent2"/>
                </a:solidFill>
              </a:defRPr>
            </a:pPr>
            <a:r>
              <a:rPr lang="en-US" sz="900" b="1">
                <a:solidFill>
                  <a:schemeClr val="accent2"/>
                </a:solidFill>
              </a:rPr>
              <a:t>FORFEITURE </a:t>
            </a:r>
          </a:p>
          <a:p>
            <a:pPr>
              <a:defRPr b="1">
                <a:solidFill>
                  <a:schemeClr val="accent2"/>
                </a:solidFill>
              </a:defRPr>
            </a:pPr>
            <a:r>
              <a:rPr lang="en-US" sz="900" b="1">
                <a:solidFill>
                  <a:schemeClr val="accent2"/>
                </a:solidFill>
              </a:rPr>
              <a:t>ORDERS ISSUED</a:t>
            </a:r>
          </a:p>
        </c:rich>
      </c:tx>
      <c:layout>
        <c:manualLayout>
          <c:xMode val="edge"/>
          <c:yMode val="edge"/>
          <c:x val="0.30200729735680509"/>
          <c:y val="0.3219475456591054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16794211890389485"/>
          <c:y val="0.13313733309838038"/>
          <c:w val="0.70593860836404232"/>
          <c:h val="0.66270090796954273"/>
        </c:manualLayout>
      </c:layout>
      <c:doughnutChart>
        <c:varyColors val="1"/>
        <c:ser>
          <c:idx val="0"/>
          <c:order val="0"/>
          <c:tx>
            <c:strRef>
              <c:f>Sheet1!$B$1</c:f>
              <c:strCache>
                <c:ptCount val="1"/>
                <c:pt idx="0">
                  <c:v>15 FORFEITURE ORDERS ISSUED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483-46F1-9B71-FA00FD00C67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483-46F1-9B71-FA00FD00C672}"/>
              </c:ext>
            </c:extLst>
          </c:dPt>
          <c:dLbls>
            <c:dLbl>
              <c:idx val="0"/>
              <c:delete val="1"/>
              <c:extLst>
                <c:ext xmlns:c15="http://schemas.microsoft.com/office/drawing/2012/chart" uri="{CE6537A1-D6FC-4f65-9D91-7224C49458BB}"/>
                <c:ext xmlns:c16="http://schemas.microsoft.com/office/drawing/2014/chart" uri="{C3380CC4-5D6E-409C-BE32-E72D297353CC}">
                  <c16:uniqueId val="{00000001-B483-46F1-9B71-FA00FD00C672}"/>
                </c:ext>
              </c:extLst>
            </c:dLbl>
            <c:dLbl>
              <c:idx val="1"/>
              <c:tx>
                <c:rich>
                  <a:bodyPr/>
                  <a:lstStyle/>
                  <a:p>
                    <a:fld id="{95DCD423-4A2E-41EA-98CE-876FF88B868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83-46F1-9B71-FA00FD00C6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0</c:v>
                </c:pt>
                <c:pt idx="1">
                  <c:v>15</c:v>
                </c:pt>
              </c:numCache>
            </c:numRef>
          </c:val>
          <c:extLst>
            <c:ext xmlns:c16="http://schemas.microsoft.com/office/drawing/2014/chart" uri="{C3380CC4-5D6E-409C-BE32-E72D297353CC}">
              <c16:uniqueId val="{00000004-B483-46F1-9B71-FA00FD00C672}"/>
            </c:ext>
          </c:extLst>
        </c:ser>
        <c:dLbls>
          <c:showLegendKey val="0"/>
          <c:showVal val="0"/>
          <c:showCatName val="0"/>
          <c:showSerName val="0"/>
          <c:showPercent val="0"/>
          <c:showBubbleSize val="0"/>
          <c:showLeaderLines val="1"/>
        </c:dLbls>
        <c:firstSliceAng val="354"/>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56 </a:t>
            </a:r>
          </a:p>
          <a:p>
            <a:pPr>
              <a:defRPr b="1">
                <a:solidFill>
                  <a:schemeClr val="accent2"/>
                </a:solidFill>
              </a:defRPr>
            </a:pPr>
            <a:r>
              <a:rPr lang="en-US" sz="900" b="1">
                <a:solidFill>
                  <a:schemeClr val="accent2"/>
                </a:solidFill>
              </a:rPr>
              <a:t>MATTERS </a:t>
            </a:r>
          </a:p>
          <a:p>
            <a:pPr>
              <a:defRPr b="1">
                <a:solidFill>
                  <a:schemeClr val="accent2"/>
                </a:solidFill>
              </a:defRPr>
            </a:pPr>
            <a:r>
              <a:rPr lang="en-US" sz="900" b="1">
                <a:solidFill>
                  <a:schemeClr val="accent2"/>
                </a:solidFill>
              </a:rPr>
              <a:t>ASSESSED</a:t>
            </a:r>
          </a:p>
        </c:rich>
      </c:tx>
      <c:layout>
        <c:manualLayout>
          <c:xMode val="edge"/>
          <c:yMode val="edge"/>
          <c:x val="0.38392746678968726"/>
          <c:y val="0.32390084756538168"/>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56 Matters Assessed</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D37B-427C-B87F-6822D9AD024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37B-427C-B87F-6822D9AD0248}"/>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fld id="{A952BE20-7F50-4645-98F2-1027B28CC120}" type="VALUE">
                      <a:rPr lang="en-US" b="1">
                        <a:solidFill>
                          <a:schemeClr val="accent2"/>
                        </a:solidFill>
                      </a:rPr>
                      <a:pPr>
                        <a:defRPr>
                          <a:solidFill>
                            <a:schemeClr val="accent2"/>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7B-427C-B87F-6822D9AD0248}"/>
                </c:ext>
              </c:extLst>
            </c:dLbl>
            <c:dLbl>
              <c:idx val="1"/>
              <c:tx>
                <c:rich>
                  <a:bodyPr/>
                  <a:lstStyle/>
                  <a:p>
                    <a:fld id="{3DE2EC7A-086D-44DF-9BA6-4628113B0826}" type="VALUE">
                      <a:rPr lang="en-US" b="1">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37B-427C-B87F-6822D9AD0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8</c:v>
                </c:pt>
                <c:pt idx="1">
                  <c:v>48</c:v>
                </c:pt>
              </c:numCache>
            </c:numRef>
          </c:val>
          <c:extLst>
            <c:ext xmlns:c16="http://schemas.microsoft.com/office/drawing/2014/chart" uri="{C3380CC4-5D6E-409C-BE32-E72D297353CC}">
              <c16:uniqueId val="{00000004-D37B-427C-B87F-6822D9AD0248}"/>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Sheet1!$B$1</c:f>
              <c:strCache>
                <c:ptCount val="1"/>
                <c:pt idx="0">
                  <c:v>Illicit markets</c:v>
                </c:pt>
              </c:strCache>
            </c:strRef>
          </c:tx>
          <c:spPr>
            <a:solidFill>
              <a:schemeClr val="accent4"/>
            </a:solidFill>
            <a:ln>
              <a:noFill/>
            </a:ln>
            <a:effectLst/>
          </c:spPr>
          <c:invertIfNegative val="0"/>
          <c:dLbls>
            <c:dLbl>
              <c:idx val="0"/>
              <c:tx>
                <c:rich>
                  <a:bodyPr/>
                  <a:lstStyle/>
                  <a:p>
                    <a:fld id="{BFA577B9-E8CA-4D7F-91AD-81012F6CD36A}" type="VALUE">
                      <a:rPr lang="en-US">
                        <a:solidFill>
                          <a:schemeClr val="tx2"/>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E21-4836-AB4E-4C7A8923DCCA}"/>
                </c:ext>
              </c:extLst>
            </c:dLbl>
            <c:dLbl>
              <c:idx val="1"/>
              <c:tx>
                <c:rich>
                  <a:bodyPr/>
                  <a:lstStyle/>
                  <a:p>
                    <a:fld id="{0A542718-2AA6-4B87-BCCC-702FC47C6FA2}" type="VALUE">
                      <a:rPr lang="en-US">
                        <a:solidFill>
                          <a:schemeClr val="tx2"/>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21-4836-AB4E-4C7A8923DCCA}"/>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$4.296 M 
FORFEITED</c:v>
                </c:pt>
                <c:pt idx="1">
                  <c:v>$5.223 M 
RESTRAINED</c:v>
                </c:pt>
              </c:strCache>
            </c:strRef>
          </c:cat>
          <c:val>
            <c:numRef>
              <c:f>Sheet1!$B$2:$B$3</c:f>
              <c:numCache>
                <c:formatCode>General</c:formatCode>
                <c:ptCount val="2"/>
                <c:pt idx="0">
                  <c:v>4.2960000000000003</c:v>
                </c:pt>
                <c:pt idx="1">
                  <c:v>5.2229999999999999</c:v>
                </c:pt>
              </c:numCache>
            </c:numRef>
          </c:val>
          <c:extLst>
            <c:ext xmlns:c16="http://schemas.microsoft.com/office/drawing/2014/chart" uri="{C3380CC4-5D6E-409C-BE32-E72D297353CC}">
              <c16:uniqueId val="{00000002-CE21-4836-AB4E-4C7A8923DCCA}"/>
            </c:ext>
          </c:extLst>
        </c:ser>
        <c:ser>
          <c:idx val="0"/>
          <c:order val="1"/>
          <c:tx>
            <c:strRef>
              <c:f>Sheet1!$C$1</c:f>
              <c:strCache>
                <c:ptCount val="1"/>
                <c:pt idx="0">
                  <c:v>Not related to illicit markets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$4.296 M 
FORFEITED</c:v>
                </c:pt>
                <c:pt idx="1">
                  <c:v>$5.223 M 
RESTRAINED</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3-CE21-4836-AB4E-4C7A8923DCCA}"/>
            </c:ext>
          </c:extLst>
        </c:ser>
        <c:dLbls>
          <c:showLegendKey val="0"/>
          <c:showVal val="0"/>
          <c:showCatName val="0"/>
          <c:showSerName val="0"/>
          <c:showPercent val="0"/>
          <c:showBubbleSize val="0"/>
        </c:dLbls>
        <c:gapWidth val="182"/>
        <c:axId val="867087920"/>
        <c:axId val="867089560"/>
      </c:barChart>
      <c:catAx>
        <c:axId val="86708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n-US"/>
          </a:p>
        </c:txPr>
        <c:crossAx val="867089560"/>
        <c:crosses val="autoZero"/>
        <c:auto val="1"/>
        <c:lblAlgn val="ctr"/>
        <c:lblOffset val="100"/>
        <c:noMultiLvlLbl val="0"/>
      </c:catAx>
      <c:valAx>
        <c:axId val="867089560"/>
        <c:scaling>
          <c:orientation val="minMax"/>
        </c:scaling>
        <c:delete val="1"/>
        <c:axPos val="b"/>
        <c:numFmt formatCode="General" sourceLinked="1"/>
        <c:majorTickMark val="none"/>
        <c:minorTickMark val="none"/>
        <c:tickLblPos val="nextTo"/>
        <c:crossAx val="86708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a:solidFill>
                  <a:schemeClr val="tx1"/>
                </a:solidFill>
              </a:rPr>
              <a:t>88</a:t>
            </a:r>
          </a:p>
          <a:p>
            <a:pPr>
              <a:defRPr sz="1000" b="1">
                <a:solidFill>
                  <a:schemeClr val="tx1"/>
                </a:solidFill>
              </a:defRPr>
            </a:pPr>
            <a:r>
              <a:rPr lang="en-US" sz="1000" b="1">
                <a:solidFill>
                  <a:schemeClr val="tx1"/>
                </a:solidFill>
              </a:rPr>
              <a:t>MATTERS</a:t>
            </a:r>
            <a:br>
              <a:rPr lang="en-US" sz="1000" b="1">
                <a:solidFill>
                  <a:schemeClr val="tx1"/>
                </a:solidFill>
              </a:rPr>
            </a:br>
            <a:r>
              <a:rPr lang="en-US" sz="1000" b="1">
                <a:solidFill>
                  <a:schemeClr val="tx1"/>
                </a:solidFill>
              </a:rPr>
              <a:t>ASSESSED</a:t>
            </a:r>
          </a:p>
        </c:rich>
      </c:tx>
      <c:layout>
        <c:manualLayout>
          <c:xMode val="edge"/>
          <c:yMode val="edge"/>
          <c:x val="0.42508422810785018"/>
          <c:y val="0.3218130879707451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522739203054165"/>
          <c:y val="3.5410657937420736E-2"/>
          <c:w val="0.84835553783625151"/>
          <c:h val="0.86663906235858446"/>
        </c:manualLayout>
      </c:layout>
      <c:doughnutChart>
        <c:varyColors val="1"/>
        <c:dLbls>
          <c:showLegendKey val="0"/>
          <c:showVal val="0"/>
          <c:showCatName val="0"/>
          <c:showSerName val="0"/>
          <c:showPercent val="0"/>
          <c:showBubbleSize val="0"/>
          <c:showLeaderLines val="0"/>
        </c:dLbls>
        <c:firstSliceAng val="348"/>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48 </a:t>
            </a:r>
          </a:p>
          <a:p>
            <a:pPr>
              <a:defRPr b="1">
                <a:solidFill>
                  <a:schemeClr val="accent2"/>
                </a:solidFill>
              </a:defRPr>
            </a:pPr>
            <a:r>
              <a:rPr lang="en-US" sz="900" b="1">
                <a:solidFill>
                  <a:schemeClr val="accent2"/>
                </a:solidFill>
              </a:rPr>
              <a:t>MATTERS </a:t>
            </a:r>
          </a:p>
          <a:p>
            <a:pPr>
              <a:defRPr b="1">
                <a:solidFill>
                  <a:schemeClr val="accent2"/>
                </a:solidFill>
              </a:defRPr>
            </a:pPr>
            <a:r>
              <a:rPr lang="en-US" sz="900" b="1">
                <a:solidFill>
                  <a:schemeClr val="accent2"/>
                </a:solidFill>
              </a:rPr>
              <a:t>ASSESSED</a:t>
            </a:r>
          </a:p>
        </c:rich>
      </c:tx>
      <c:layout>
        <c:manualLayout>
          <c:xMode val="edge"/>
          <c:yMode val="edge"/>
          <c:x val="0.38465650509282678"/>
          <c:y val="0.3317901234567901"/>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48 Matters Assessed</c:v>
                </c:pt>
              </c:strCache>
            </c:strRef>
          </c:tx>
          <c:spPr>
            <a:ln w="1905">
              <a:solidFill>
                <a:schemeClr val="accent5"/>
              </a:solidFill>
            </a:ln>
          </c:spPr>
          <c:dPt>
            <c:idx val="0"/>
            <c:bubble3D val="0"/>
            <c:spPr>
              <a:solidFill>
                <a:schemeClr val="accent2"/>
              </a:solidFill>
              <a:ln w="1905">
                <a:solidFill>
                  <a:schemeClr val="accent5"/>
                </a:solidFill>
              </a:ln>
              <a:effectLst/>
            </c:spPr>
            <c:extLst>
              <c:ext xmlns:c16="http://schemas.microsoft.com/office/drawing/2014/chart" uri="{C3380CC4-5D6E-409C-BE32-E72D297353CC}">
                <c16:uniqueId val="{00000001-90FC-4DA9-9769-CDA0EDB01646}"/>
              </c:ext>
            </c:extLst>
          </c:dPt>
          <c:dPt>
            <c:idx val="1"/>
            <c:bubble3D val="0"/>
            <c:spPr>
              <a:solidFill>
                <a:schemeClr val="accent4"/>
              </a:solidFill>
              <a:ln w="1905">
                <a:solidFill>
                  <a:schemeClr val="accent5"/>
                </a:solidFill>
              </a:ln>
              <a:effectLst/>
            </c:spPr>
            <c:extLst>
              <c:ext xmlns:c16="http://schemas.microsoft.com/office/drawing/2014/chart" uri="{C3380CC4-5D6E-409C-BE32-E72D297353CC}">
                <c16:uniqueId val="{00000003-90FC-4DA9-9769-CDA0EDB01646}"/>
              </c:ext>
            </c:extLst>
          </c:dPt>
          <c:dPt>
            <c:idx val="2"/>
            <c:bubble3D val="0"/>
            <c:spPr>
              <a:solidFill>
                <a:schemeClr val="accent6"/>
              </a:solidFill>
              <a:ln w="1905">
                <a:solidFill>
                  <a:schemeClr val="bg1"/>
                </a:solidFill>
              </a:ln>
              <a:effectLst/>
            </c:spPr>
            <c:extLst>
              <c:ext xmlns:c16="http://schemas.microsoft.com/office/drawing/2014/chart" uri="{C3380CC4-5D6E-409C-BE32-E72D297353CC}">
                <c16:uniqueId val="{00000005-90FC-4DA9-9769-CDA0EDB01646}"/>
              </c:ext>
            </c:extLst>
          </c:dPt>
          <c:dLbls>
            <c:dLbl>
              <c:idx val="0"/>
              <c:tx>
                <c:rich>
                  <a:bodyPr/>
                  <a:lstStyle/>
                  <a:p>
                    <a:fld id="{B0A1253A-1D6E-4939-805E-4D52C4B4E464}"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FC-4DA9-9769-CDA0EDB01646}"/>
                </c:ext>
              </c:extLst>
            </c:dLbl>
            <c:dLbl>
              <c:idx val="1"/>
              <c:tx>
                <c:rich>
                  <a:bodyPr/>
                  <a:lstStyle/>
                  <a:p>
                    <a:fld id="{051AFDA4-7D54-4280-88D2-04516A439245}"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FC-4DA9-9769-CDA0EDB0164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90FC-4DA9-9769-CDA0EDB016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Non illicit</c:v>
                </c:pt>
                <c:pt idx="1">
                  <c:v>Illicit (other)</c:v>
                </c:pt>
                <c:pt idx="2">
                  <c:v>Illicit (meth)</c:v>
                </c:pt>
              </c:strCache>
            </c:strRef>
          </c:cat>
          <c:val>
            <c:numRef>
              <c:f>Sheet1!$B$2:$B$4</c:f>
              <c:numCache>
                <c:formatCode>General</c:formatCode>
                <c:ptCount val="3"/>
                <c:pt idx="0">
                  <c:v>8</c:v>
                </c:pt>
                <c:pt idx="1">
                  <c:v>14</c:v>
                </c:pt>
                <c:pt idx="2">
                  <c:v>34</c:v>
                </c:pt>
              </c:numCache>
            </c:numRef>
          </c:val>
          <c:extLst>
            <c:ext xmlns:c16="http://schemas.microsoft.com/office/drawing/2014/chart" uri="{C3380CC4-5D6E-409C-BE32-E72D297353CC}">
              <c16:uniqueId val="{00000006-90FC-4DA9-9769-CDA0EDB01646}"/>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baseline="0">
                <a:solidFill>
                  <a:schemeClr val="accent2"/>
                </a:solidFill>
              </a:rPr>
              <a:t>11 </a:t>
            </a:r>
            <a:endParaRPr lang="en-US" sz="900" b="1">
              <a:solidFill>
                <a:schemeClr val="accent2"/>
              </a:solidFill>
            </a:endParaRPr>
          </a:p>
          <a:p>
            <a:pPr>
              <a:defRPr b="1">
                <a:solidFill>
                  <a:schemeClr val="accent2"/>
                </a:solidFill>
              </a:defRPr>
            </a:pPr>
            <a:r>
              <a:rPr lang="en-US" sz="900" b="1">
                <a:solidFill>
                  <a:schemeClr val="accent2"/>
                </a:solidFill>
              </a:rPr>
              <a:t>RESTRAINING </a:t>
            </a:r>
          </a:p>
          <a:p>
            <a:pPr>
              <a:defRPr b="1">
                <a:solidFill>
                  <a:schemeClr val="accent2"/>
                </a:solidFill>
              </a:defRPr>
            </a:pPr>
            <a:r>
              <a:rPr lang="en-US" sz="900" b="1">
                <a:solidFill>
                  <a:schemeClr val="accent2"/>
                </a:solidFill>
              </a:rPr>
              <a:t>ORDERS ISSUED</a:t>
            </a:r>
          </a:p>
        </c:rich>
      </c:tx>
      <c:layout>
        <c:manualLayout>
          <c:xMode val="edge"/>
          <c:yMode val="edge"/>
          <c:x val="0.29336459347075999"/>
          <c:y val="0.32391922084119645"/>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11 RESTRAINING ORDERS ISSUED</c:v>
                </c:pt>
              </c:strCache>
            </c:strRef>
          </c:tx>
          <c:spPr>
            <a:ln>
              <a:solidFill>
                <a:schemeClr val="bg1"/>
              </a:solidFill>
            </a:ln>
          </c:spPr>
          <c:dPt>
            <c:idx val="0"/>
            <c:bubble3D val="0"/>
            <c:spPr>
              <a:solidFill>
                <a:schemeClr val="accent2"/>
              </a:solidFill>
              <a:ln w="19050">
                <a:solidFill>
                  <a:schemeClr val="bg1"/>
                </a:solidFill>
              </a:ln>
              <a:effectLst/>
            </c:spPr>
            <c:extLst>
              <c:ext xmlns:c16="http://schemas.microsoft.com/office/drawing/2014/chart" uri="{C3380CC4-5D6E-409C-BE32-E72D297353CC}">
                <c16:uniqueId val="{00000001-009C-4245-81D0-E4680B8B116F}"/>
              </c:ext>
            </c:extLst>
          </c:dPt>
          <c:dPt>
            <c:idx val="1"/>
            <c:bubble3D val="0"/>
            <c:spPr>
              <a:solidFill>
                <a:schemeClr val="accent4"/>
              </a:solidFill>
              <a:ln w="19050">
                <a:solidFill>
                  <a:schemeClr val="bg1"/>
                </a:solidFill>
              </a:ln>
              <a:effectLst/>
            </c:spPr>
            <c:extLst>
              <c:ext xmlns:c16="http://schemas.microsoft.com/office/drawing/2014/chart" uri="{C3380CC4-5D6E-409C-BE32-E72D297353CC}">
                <c16:uniqueId val="{00000003-009C-4245-81D0-E4680B8B116F}"/>
              </c:ext>
            </c:extLst>
          </c:dPt>
          <c:dPt>
            <c:idx val="2"/>
            <c:bubble3D val="0"/>
            <c:spPr>
              <a:solidFill>
                <a:schemeClr val="accent6"/>
              </a:solidFill>
              <a:ln w="19050">
                <a:solidFill>
                  <a:schemeClr val="bg1"/>
                </a:solidFill>
              </a:ln>
              <a:effectLst/>
            </c:spPr>
            <c:extLst>
              <c:ext xmlns:c16="http://schemas.microsoft.com/office/drawing/2014/chart" uri="{C3380CC4-5D6E-409C-BE32-E72D297353CC}">
                <c16:uniqueId val="{00000005-009C-4245-81D0-E4680B8B116F}"/>
              </c:ext>
            </c:extLst>
          </c:dPt>
          <c:dLbls>
            <c:dLbl>
              <c:idx val="0"/>
              <c:delete val="1"/>
              <c:extLst>
                <c:ext xmlns:c15="http://schemas.microsoft.com/office/drawing/2012/chart" uri="{CE6537A1-D6FC-4f65-9D91-7224C49458BB}">
                  <c15:layout>
                    <c:manualLayout>
                      <c:w val="0.11629213483146066"/>
                      <c:h val="0.11007508358975787"/>
                    </c:manualLayout>
                  </c15:layout>
                </c:ext>
                <c:ext xmlns:c16="http://schemas.microsoft.com/office/drawing/2014/chart" uri="{C3380CC4-5D6E-409C-BE32-E72D297353CC}">
                  <c16:uniqueId val="{00000001-009C-4245-81D0-E4680B8B116F}"/>
                </c:ext>
              </c:extLst>
            </c:dLbl>
            <c:dLbl>
              <c:idx val="1"/>
              <c:tx>
                <c:rich>
                  <a:bodyPr/>
                  <a:lstStyle/>
                  <a:p>
                    <a:fld id="{19532E3B-7119-4086-A015-47B9D96837D4}"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9C-4245-81D0-E4680B8B116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009C-4245-81D0-E4680B8B11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Non illicit</c:v>
                </c:pt>
                <c:pt idx="1">
                  <c:v>Illicit (other)</c:v>
                </c:pt>
                <c:pt idx="2">
                  <c:v>illicit (meth)</c:v>
                </c:pt>
              </c:strCache>
            </c:strRef>
          </c:cat>
          <c:val>
            <c:numRef>
              <c:f>Sheet1!$B$2:$B$4</c:f>
              <c:numCache>
                <c:formatCode>General</c:formatCode>
                <c:ptCount val="3"/>
                <c:pt idx="0">
                  <c:v>0</c:v>
                </c:pt>
                <c:pt idx="1">
                  <c:v>7</c:v>
                </c:pt>
                <c:pt idx="2">
                  <c:v>4</c:v>
                </c:pt>
              </c:numCache>
            </c:numRef>
          </c:val>
          <c:extLst>
            <c:ext xmlns:c16="http://schemas.microsoft.com/office/drawing/2014/chart" uri="{C3380CC4-5D6E-409C-BE32-E72D297353CC}">
              <c16:uniqueId val="{00000006-009C-4245-81D0-E4680B8B116F}"/>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15</a:t>
            </a:r>
          </a:p>
          <a:p>
            <a:pPr>
              <a:defRPr b="1">
                <a:solidFill>
                  <a:schemeClr val="accent2"/>
                </a:solidFill>
              </a:defRPr>
            </a:pPr>
            <a:r>
              <a:rPr lang="en-US" sz="900" b="1">
                <a:solidFill>
                  <a:schemeClr val="accent2"/>
                </a:solidFill>
              </a:rPr>
              <a:t>FORFEITURE </a:t>
            </a:r>
          </a:p>
          <a:p>
            <a:pPr>
              <a:defRPr b="1">
                <a:solidFill>
                  <a:schemeClr val="accent2"/>
                </a:solidFill>
              </a:defRPr>
            </a:pPr>
            <a:r>
              <a:rPr lang="en-US" sz="900" b="1">
                <a:solidFill>
                  <a:schemeClr val="accent2"/>
                </a:solidFill>
              </a:rPr>
              <a:t>ORDERS ISSUED</a:t>
            </a:r>
          </a:p>
        </c:rich>
      </c:tx>
      <c:layout>
        <c:manualLayout>
          <c:xMode val="edge"/>
          <c:yMode val="edge"/>
          <c:x val="0.30035230246889572"/>
          <c:y val="0.32391929056692298"/>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1984919553515161"/>
          <c:y val="0.10130869058034413"/>
          <c:w val="0.62357272566490718"/>
          <c:h val="0.76046041119860019"/>
        </c:manualLayout>
      </c:layout>
      <c:doughnutChart>
        <c:varyColors val="1"/>
        <c:ser>
          <c:idx val="0"/>
          <c:order val="0"/>
          <c:tx>
            <c:strRef>
              <c:f>Sheet1!$B$1</c:f>
              <c:strCache>
                <c:ptCount val="1"/>
                <c:pt idx="0">
                  <c:v>15 forfeiture orders</c:v>
                </c:pt>
              </c:strCache>
            </c:strRef>
          </c:tx>
          <c:spPr>
            <a:ln>
              <a:solidFill>
                <a:schemeClr val="bg1"/>
              </a:solidFill>
            </a:ln>
          </c:spPr>
          <c:dPt>
            <c:idx val="0"/>
            <c:bubble3D val="0"/>
            <c:spPr>
              <a:solidFill>
                <a:schemeClr val="accent2"/>
              </a:solidFill>
              <a:ln w="19050">
                <a:solidFill>
                  <a:schemeClr val="bg1"/>
                </a:solidFill>
              </a:ln>
              <a:effectLst/>
            </c:spPr>
            <c:extLst>
              <c:ext xmlns:c16="http://schemas.microsoft.com/office/drawing/2014/chart" uri="{C3380CC4-5D6E-409C-BE32-E72D297353CC}">
                <c16:uniqueId val="{00000001-C547-4F85-975B-9A7855FCD4BA}"/>
              </c:ext>
            </c:extLst>
          </c:dPt>
          <c:dPt>
            <c:idx val="1"/>
            <c:bubble3D val="0"/>
            <c:spPr>
              <a:solidFill>
                <a:schemeClr val="accent4"/>
              </a:solidFill>
              <a:ln w="19050">
                <a:solidFill>
                  <a:schemeClr val="bg1"/>
                </a:solidFill>
              </a:ln>
              <a:effectLst/>
            </c:spPr>
            <c:extLst>
              <c:ext xmlns:c16="http://schemas.microsoft.com/office/drawing/2014/chart" uri="{C3380CC4-5D6E-409C-BE32-E72D297353CC}">
                <c16:uniqueId val="{00000003-C547-4F85-975B-9A7855FCD4BA}"/>
              </c:ext>
            </c:extLst>
          </c:dPt>
          <c:dPt>
            <c:idx val="2"/>
            <c:bubble3D val="0"/>
            <c:spPr>
              <a:solidFill>
                <a:schemeClr val="accent6"/>
              </a:solidFill>
              <a:ln w="19050">
                <a:solidFill>
                  <a:schemeClr val="bg1"/>
                </a:solidFill>
              </a:ln>
              <a:effectLst/>
            </c:spPr>
            <c:extLst>
              <c:ext xmlns:c16="http://schemas.microsoft.com/office/drawing/2014/chart" uri="{C3380CC4-5D6E-409C-BE32-E72D297353CC}">
                <c16:uniqueId val="{00000005-C547-4F85-975B-9A7855FCD4BA}"/>
              </c:ext>
            </c:extLst>
          </c:dPt>
          <c:dLbls>
            <c:dLbl>
              <c:idx val="0"/>
              <c:delete val="1"/>
              <c:extLst>
                <c:ext xmlns:c15="http://schemas.microsoft.com/office/drawing/2012/chart" uri="{CE6537A1-D6FC-4f65-9D91-7224C49458BB}"/>
                <c:ext xmlns:c16="http://schemas.microsoft.com/office/drawing/2014/chart" uri="{C3380CC4-5D6E-409C-BE32-E72D297353CC}">
                  <c16:uniqueId val="{00000001-C547-4F85-975B-9A7855FCD4BA}"/>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547-4F85-975B-9A7855FCD4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3"/>
                <c:pt idx="0">
                  <c:v>Non illicit</c:v>
                </c:pt>
                <c:pt idx="1">
                  <c:v>Illicit (other)</c:v>
                </c:pt>
                <c:pt idx="2">
                  <c:v>Illicit (meth)</c:v>
                </c:pt>
              </c:strCache>
            </c:strRef>
          </c:cat>
          <c:val>
            <c:numRef>
              <c:f>Sheet1!$B$5:$B$7</c:f>
              <c:numCache>
                <c:formatCode>General</c:formatCode>
                <c:ptCount val="3"/>
                <c:pt idx="0">
                  <c:v>0</c:v>
                </c:pt>
                <c:pt idx="1">
                  <c:v>4</c:v>
                </c:pt>
                <c:pt idx="2">
                  <c:v>10</c:v>
                </c:pt>
              </c:numCache>
            </c:numRef>
          </c:val>
          <c:extLst>
            <c:ext xmlns:c16="http://schemas.microsoft.com/office/drawing/2014/chart" uri="{C3380CC4-5D6E-409C-BE32-E72D297353CC}">
              <c16:uniqueId val="{00000006-C547-4F85-975B-9A7855FCD4BA}"/>
            </c:ext>
          </c:extLst>
        </c:ser>
        <c:dLbls>
          <c:showLegendKey val="0"/>
          <c:showVal val="1"/>
          <c:showCatName val="0"/>
          <c:showSerName val="0"/>
          <c:showPercent val="0"/>
          <c:showBubbleSize val="0"/>
          <c:showLeaderLines val="1"/>
        </c:dLbls>
        <c:firstSliceAng val="348"/>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Not related to illicit markets</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5051-4B14-8F0B-7B748B1C1DF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051-4B14-8F0B-7B748B1C1D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$4.296 M
FORFEITED</c:v>
                </c:pt>
                <c:pt idx="1">
                  <c:v>$5.223 M
RESTRAINED</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2-5051-4B14-8F0B-7B748B1C1DF3}"/>
            </c:ext>
          </c:extLst>
        </c:ser>
        <c:ser>
          <c:idx val="1"/>
          <c:order val="1"/>
          <c:tx>
            <c:strRef>
              <c:f>Sheet1!$C$1</c:f>
              <c:strCache>
                <c:ptCount val="1"/>
                <c:pt idx="0">
                  <c:v>Illicit markets (other)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$4.296 M
FORFEITED</c:v>
                </c:pt>
                <c:pt idx="1">
                  <c:v>$5.223 M
RESTRAINED</c:v>
                </c:pt>
              </c:strCache>
            </c:strRef>
          </c:cat>
          <c:val>
            <c:numRef>
              <c:f>Sheet1!$C$2:$C$3</c:f>
              <c:numCache>
                <c:formatCode>0.000</c:formatCode>
                <c:ptCount val="2"/>
                <c:pt idx="0" formatCode="General">
                  <c:v>0.84899999999999998</c:v>
                </c:pt>
                <c:pt idx="1">
                  <c:v>3.5059999999999998</c:v>
                </c:pt>
              </c:numCache>
            </c:numRef>
          </c:val>
          <c:extLst>
            <c:ext xmlns:c16="http://schemas.microsoft.com/office/drawing/2014/chart" uri="{C3380CC4-5D6E-409C-BE32-E72D297353CC}">
              <c16:uniqueId val="{00000003-5051-4B14-8F0B-7B748B1C1DF3}"/>
            </c:ext>
          </c:extLst>
        </c:ser>
        <c:ser>
          <c:idx val="2"/>
          <c:order val="2"/>
          <c:tx>
            <c:strRef>
              <c:f>Sheet1!$D$1</c:f>
              <c:strCache>
                <c:ptCount val="1"/>
                <c:pt idx="0">
                  <c:v>Illicit markets (methylamphetamine)</c:v>
                </c:pt>
              </c:strCache>
            </c:strRef>
          </c:tx>
          <c:spPr>
            <a:solidFill>
              <a:schemeClr val="accent6"/>
            </a:solidFill>
            <a:ln w="1905">
              <a:solidFill>
                <a:schemeClr val="accent5"/>
              </a:solidFill>
            </a:ln>
            <a:effectLst/>
          </c:spPr>
          <c:invertIfNegative val="0"/>
          <c:dPt>
            <c:idx val="0"/>
            <c:invertIfNegative val="0"/>
            <c:bubble3D val="0"/>
            <c:spPr>
              <a:solidFill>
                <a:schemeClr val="accent6"/>
              </a:solidFill>
              <a:ln w="1905">
                <a:solidFill>
                  <a:schemeClr val="accent5"/>
                </a:solidFill>
              </a:ln>
              <a:effectLst/>
            </c:spPr>
            <c:extLst>
              <c:ext xmlns:c16="http://schemas.microsoft.com/office/drawing/2014/chart" uri="{C3380CC4-5D6E-409C-BE32-E72D297353CC}">
                <c16:uniqueId val="{00000001-FAA0-4035-A231-F4A081FDE3AE}"/>
              </c:ext>
            </c:extLst>
          </c:dPt>
          <c:dPt>
            <c:idx val="1"/>
            <c:invertIfNegative val="0"/>
            <c:bubble3D val="0"/>
            <c:spPr>
              <a:solidFill>
                <a:schemeClr val="accent6"/>
              </a:solidFill>
              <a:ln w="1905">
                <a:solidFill>
                  <a:schemeClr val="accent5"/>
                </a:solidFill>
              </a:ln>
              <a:effectLst/>
            </c:spPr>
            <c:extLst>
              <c:ext xmlns:c16="http://schemas.microsoft.com/office/drawing/2014/chart" uri="{C3380CC4-5D6E-409C-BE32-E72D297353CC}">
                <c16:uniqueId val="{00000000-FAA0-4035-A231-F4A081FDE3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$4.296 M
FORFEITED</c:v>
                </c:pt>
                <c:pt idx="1">
                  <c:v>$5.223 M
RESTRAINED</c:v>
                </c:pt>
              </c:strCache>
            </c:strRef>
          </c:cat>
          <c:val>
            <c:numRef>
              <c:f>Sheet1!$D$2:$D$3</c:f>
              <c:numCache>
                <c:formatCode>General</c:formatCode>
                <c:ptCount val="2"/>
                <c:pt idx="0">
                  <c:v>3.4470000000000001</c:v>
                </c:pt>
                <c:pt idx="1">
                  <c:v>1.7170000000000001</c:v>
                </c:pt>
              </c:numCache>
            </c:numRef>
          </c:val>
          <c:extLst>
            <c:ext xmlns:c16="http://schemas.microsoft.com/office/drawing/2014/chart" uri="{C3380CC4-5D6E-409C-BE32-E72D297353CC}">
              <c16:uniqueId val="{00000004-5051-4B14-8F0B-7B748B1C1DF3}"/>
            </c:ext>
          </c:extLst>
        </c:ser>
        <c:dLbls>
          <c:showLegendKey val="0"/>
          <c:showVal val="0"/>
          <c:showCatName val="0"/>
          <c:showSerName val="0"/>
          <c:showPercent val="0"/>
          <c:showBubbleSize val="0"/>
        </c:dLbls>
        <c:gapWidth val="150"/>
        <c:axId val="867100712"/>
        <c:axId val="867102352"/>
      </c:barChart>
      <c:catAx>
        <c:axId val="867100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867102352"/>
        <c:crosses val="autoZero"/>
        <c:auto val="1"/>
        <c:lblAlgn val="ctr"/>
        <c:lblOffset val="100"/>
        <c:noMultiLvlLbl val="0"/>
      </c:catAx>
      <c:valAx>
        <c:axId val="867102352"/>
        <c:scaling>
          <c:orientation val="minMax"/>
        </c:scaling>
        <c:delete val="1"/>
        <c:axPos val="b"/>
        <c:numFmt formatCode="General" sourceLinked="1"/>
        <c:majorTickMark val="none"/>
        <c:minorTickMark val="none"/>
        <c:tickLblPos val="nextTo"/>
        <c:crossAx val="86710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tx1">
                <a:lumMod val="40000"/>
                <a:lumOff val="60000"/>
              </a:schemeClr>
            </a:solidFill>
            <a:ln>
              <a:noFill/>
            </a:ln>
            <a:effectLst/>
          </c:spPr>
          <c:invertIfNegative val="0"/>
          <c:dPt>
            <c:idx val="3"/>
            <c:invertIfNegative val="0"/>
            <c:bubble3D val="0"/>
            <c:spPr>
              <a:solidFill>
                <a:schemeClr val="tx1">
                  <a:lumMod val="40000"/>
                  <a:lumOff val="60000"/>
                </a:schemeClr>
              </a:solidFill>
              <a:ln>
                <a:noFill/>
              </a:ln>
              <a:effectLst/>
            </c:spPr>
            <c:extLst>
              <c:ext xmlns:c16="http://schemas.microsoft.com/office/drawing/2014/chart" uri="{C3380CC4-5D6E-409C-BE32-E72D297353CC}">
                <c16:uniqueId val="{00000001-DA49-47C0-B02F-0E4FAF5105FD}"/>
              </c:ext>
            </c:extLst>
          </c:dPt>
          <c:dPt>
            <c:idx val="4"/>
            <c:invertIfNegative val="0"/>
            <c:bubble3D val="0"/>
            <c:spPr>
              <a:solidFill>
                <a:schemeClr val="tx1"/>
              </a:solidFill>
              <a:ln>
                <a:noFill/>
              </a:ln>
              <a:effectLst/>
            </c:spPr>
            <c:extLst>
              <c:ext xmlns:c16="http://schemas.microsoft.com/office/drawing/2014/chart" uri="{C3380CC4-5D6E-409C-BE32-E72D297353CC}">
                <c16:uniqueId val="{00000001-D8F5-4102-9748-C311AECFC7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2018–19</c:v>
                </c:pt>
                <c:pt idx="1">
                  <c:v>2019–20</c:v>
                </c:pt>
                <c:pt idx="2">
                  <c:v>2020–21</c:v>
                </c:pt>
                <c:pt idx="3">
                  <c:v>2021–22</c:v>
                </c:pt>
                <c:pt idx="4">
                  <c:v>2022–23</c:v>
                </c:pt>
              </c:strCache>
            </c:strRef>
          </c:cat>
          <c:val>
            <c:numRef>
              <c:f>Sheet1!$B$3:$B$7</c:f>
              <c:numCache>
                <c:formatCode>"$"#,##0_);[Red]\("$"#,##0\)</c:formatCode>
                <c:ptCount val="5"/>
                <c:pt idx="0">
                  <c:v>555558</c:v>
                </c:pt>
                <c:pt idx="1">
                  <c:v>378019</c:v>
                </c:pt>
                <c:pt idx="2">
                  <c:v>372621</c:v>
                </c:pt>
                <c:pt idx="3">
                  <c:v>210973</c:v>
                </c:pt>
                <c:pt idx="4">
                  <c:v>309682</c:v>
                </c:pt>
              </c:numCache>
            </c:numRef>
          </c:val>
          <c:extLst>
            <c:ext xmlns:c16="http://schemas.microsoft.com/office/drawing/2014/chart" uri="{C3380CC4-5D6E-409C-BE32-E72D297353CC}">
              <c16:uniqueId val="{00000002-D8F5-4102-9748-C311AECFC70E}"/>
            </c:ext>
          </c:extLst>
        </c:ser>
        <c:dLbls>
          <c:showLegendKey val="0"/>
          <c:showVal val="0"/>
          <c:showCatName val="0"/>
          <c:showSerName val="0"/>
          <c:showPercent val="0"/>
          <c:showBubbleSize val="0"/>
        </c:dLbls>
        <c:gapWidth val="182"/>
        <c:axId val="1141518576"/>
        <c:axId val="1141517592"/>
      </c:barChart>
      <c:catAx>
        <c:axId val="114151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n-US"/>
          </a:p>
        </c:txPr>
        <c:crossAx val="1141517592"/>
        <c:crosses val="autoZero"/>
        <c:auto val="1"/>
        <c:lblAlgn val="ctr"/>
        <c:lblOffset val="100"/>
        <c:noMultiLvlLbl val="0"/>
      </c:catAx>
      <c:valAx>
        <c:axId val="1141517592"/>
        <c:scaling>
          <c:orientation val="minMax"/>
        </c:scaling>
        <c:delete val="1"/>
        <c:axPos val="b"/>
        <c:numFmt formatCode="&quot;$&quot;#,##0_);[Red]\(&quot;$&quot;#,##0\)" sourceLinked="1"/>
        <c:majorTickMark val="none"/>
        <c:minorTickMark val="none"/>
        <c:tickLblPos val="nextTo"/>
        <c:crossAx val="114151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POLICE</a:t>
            </a:r>
          </a:p>
          <a:p>
            <a:pPr>
              <a:defRPr b="1">
                <a:solidFill>
                  <a:schemeClr val="accent2"/>
                </a:solidFill>
              </a:defRPr>
            </a:pPr>
            <a:r>
              <a:rPr lang="en-US" sz="900" b="1">
                <a:solidFill>
                  <a:schemeClr val="accent2"/>
                </a:solidFill>
              </a:rPr>
              <a:t>AND</a:t>
            </a:r>
          </a:p>
          <a:p>
            <a:pPr>
              <a:defRPr b="1">
                <a:solidFill>
                  <a:schemeClr val="accent2"/>
                </a:solidFill>
              </a:defRPr>
            </a:pPr>
            <a:r>
              <a:rPr lang="en-US" sz="900" b="1">
                <a:solidFill>
                  <a:schemeClr val="accent2"/>
                </a:solidFill>
              </a:rPr>
              <a:t>CIVILIAN</a:t>
            </a:r>
          </a:p>
        </c:rich>
      </c:tx>
      <c:layout>
        <c:manualLayout>
          <c:xMode val="edge"/>
          <c:yMode val="edge"/>
          <c:x val="0.38465650509282678"/>
          <c:y val="0.3317901234567901"/>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0580422779102819"/>
          <c:y val="7.5635822729551022E-2"/>
          <c:w val="0.62357272566490718"/>
          <c:h val="0.76046041119860019"/>
        </c:manualLayout>
      </c:layout>
      <c:doughnutChart>
        <c:varyColors val="1"/>
        <c:ser>
          <c:idx val="0"/>
          <c:order val="0"/>
          <c:tx>
            <c:strRef>
              <c:f>Sheet1!$B$1</c:f>
              <c:strCache>
                <c:ptCount val="1"/>
                <c:pt idx="0">
                  <c:v>61 Matters Assessed</c:v>
                </c:pt>
              </c:strCache>
            </c:strRef>
          </c:tx>
          <c:spPr>
            <a:ln>
              <a:solidFill>
                <a:schemeClr val="bg1"/>
              </a:solidFill>
            </a:ln>
          </c:spPr>
          <c:dPt>
            <c:idx val="0"/>
            <c:bubble3D val="0"/>
            <c:spPr>
              <a:solidFill>
                <a:schemeClr val="tx1"/>
              </a:solidFill>
              <a:ln w="19050">
                <a:solidFill>
                  <a:schemeClr val="bg1"/>
                </a:solidFill>
              </a:ln>
              <a:effectLst/>
            </c:spPr>
            <c:extLst>
              <c:ext xmlns:c16="http://schemas.microsoft.com/office/drawing/2014/chart" uri="{C3380CC4-5D6E-409C-BE32-E72D297353CC}">
                <c16:uniqueId val="{00000001-FCA3-431E-B8FB-7A475A733A40}"/>
              </c:ext>
            </c:extLst>
          </c:dPt>
          <c:dPt>
            <c:idx val="1"/>
            <c:bubble3D val="0"/>
            <c:spPr>
              <a:solidFill>
                <a:schemeClr val="dk1">
                  <a:tint val="55000"/>
                </a:schemeClr>
              </a:solidFill>
              <a:ln w="19050">
                <a:solidFill>
                  <a:schemeClr val="bg1"/>
                </a:solidFill>
              </a:ln>
              <a:effectLst/>
            </c:spPr>
            <c:extLst>
              <c:ext xmlns:c16="http://schemas.microsoft.com/office/drawing/2014/chart" uri="{C3380CC4-5D6E-409C-BE32-E72D297353CC}">
                <c16:uniqueId val="{00000003-FCA3-431E-B8FB-7A475A733A40}"/>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FCA3-431E-B8FB-7A475A733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23% Police</c:v>
                </c:pt>
                <c:pt idx="1">
                  <c:v>77% Civilian</c:v>
                </c:pt>
              </c:strCache>
            </c:strRef>
          </c:cat>
          <c:val>
            <c:numRef>
              <c:f>Sheet1!$B$2:$B$3</c:f>
              <c:numCache>
                <c:formatCode>General</c:formatCode>
                <c:ptCount val="2"/>
                <c:pt idx="0">
                  <c:v>23</c:v>
                </c:pt>
                <c:pt idx="1">
                  <c:v>77</c:v>
                </c:pt>
              </c:numCache>
            </c:numRef>
          </c:val>
          <c:extLst>
            <c:ext xmlns:c16="http://schemas.microsoft.com/office/drawing/2014/chart" uri="{C3380CC4-5D6E-409C-BE32-E72D297353CC}">
              <c16:uniqueId val="{00000004-FCA3-431E-B8FB-7A475A733A40}"/>
            </c:ext>
          </c:extLst>
        </c:ser>
        <c:dLbls>
          <c:showLegendKey val="0"/>
          <c:showVal val="1"/>
          <c:showCatName val="0"/>
          <c:showSerName val="0"/>
          <c:showPercent val="0"/>
          <c:showBubbleSize val="0"/>
          <c:showLeaderLines val="1"/>
        </c:dLbls>
        <c:firstSliceAng val="348"/>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3713306267622935"/>
          <c:w val="0.65737978452803658"/>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0-8822-4B56-9CA4-68F8F492C3B1}"/>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8822-4B56-9CA4-68F8F492C3B1}"/>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2-8822-4B56-9CA4-68F8F492C3B1}"/>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8822-4B56-9CA4-68F8F492C3B1}"/>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5-8822-4B56-9CA4-68F8F492C3B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009770030124404"/>
                      <c:h val="0.11433872719728862"/>
                    </c:manualLayout>
                  </c15:layout>
                </c:ext>
                <c:ext xmlns:c16="http://schemas.microsoft.com/office/drawing/2014/chart" uri="{C3380CC4-5D6E-409C-BE32-E72D297353CC}">
                  <c16:uniqueId val="{00000000-8822-4B56-9CA4-68F8F492C3B1}"/>
                </c:ext>
              </c:extLst>
            </c:dLbl>
            <c:dLbl>
              <c:idx val="1"/>
              <c:tx>
                <c:rich>
                  <a:bodyPr/>
                  <a:lstStyle/>
                  <a:p>
                    <a:fld id="{B08007D3-55B0-4301-9EC1-5338A2C3BF6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0.1430031281613777"/>
                    </c:manualLayout>
                  </c15:layout>
                  <c15:dlblFieldTable/>
                  <c15:showDataLabelsRange val="0"/>
                </c:ext>
                <c:ext xmlns:c16="http://schemas.microsoft.com/office/drawing/2014/chart" uri="{C3380CC4-5D6E-409C-BE32-E72D297353CC}">
                  <c16:uniqueId val="{00000001-8822-4B56-9CA4-68F8F492C3B1}"/>
                </c:ext>
              </c:extLst>
            </c:dLbl>
            <c:dLbl>
              <c:idx val="2"/>
              <c:layout>
                <c:manualLayout>
                  <c:x val="0"/>
                  <c:y val="-2.803752314473264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9"/>
                      <c:h val="0.1424614107961194"/>
                    </c:manualLayout>
                  </c15:layout>
                </c:ext>
                <c:ext xmlns:c16="http://schemas.microsoft.com/office/drawing/2014/chart" uri="{C3380CC4-5D6E-409C-BE32-E72D297353CC}">
                  <c16:uniqueId val="{00000002-8822-4B56-9CA4-68F8F492C3B1}"/>
                </c:ext>
              </c:extLst>
            </c:dLbl>
            <c:dLbl>
              <c:idx val="3"/>
              <c:layout>
                <c:manualLayout>
                  <c:x val="0.69680264608599762"/>
                  <c:y val="1.143664494583467E-4"/>
                </c:manualLayout>
              </c:layout>
              <c:tx>
                <c:rich>
                  <a:bodyPr/>
                  <a:lstStyle/>
                  <a:p>
                    <a:fld id="{69B33D73-FCF3-4270-8ADD-237B1F022FFB}"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0235942668136715"/>
                      <c:h val="0.12084120035617217"/>
                    </c:manualLayout>
                  </c15:layout>
                  <c15:dlblFieldTable/>
                  <c15:showDataLabelsRange val="0"/>
                </c:ext>
                <c:ext xmlns:c16="http://schemas.microsoft.com/office/drawing/2014/chart" uri="{C3380CC4-5D6E-409C-BE32-E72D297353CC}">
                  <c16:uniqueId val="{00000003-8822-4B56-9CA4-68F8F492C3B1}"/>
                </c:ext>
              </c:extLst>
            </c:dLbl>
            <c:dLbl>
              <c:idx val="4"/>
              <c:layout>
                <c:manualLayout>
                  <c:x val="0.10785231228676349"/>
                  <c:y val="2.1141456044795642E-2"/>
                </c:manualLayout>
              </c:layout>
              <c:tx>
                <c:rich>
                  <a:bodyPr/>
                  <a:lstStyle/>
                  <a:p>
                    <a:fld id="{EEE834EA-6B97-4159-BC6B-D122FCAE48C8}"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112571512904878"/>
                      <c:h val="0.21411635268504403"/>
                    </c:manualLayout>
                  </c15:layout>
                  <c15:dlblFieldTable/>
                  <c15:showDataLabelsRange val="0"/>
                </c:ext>
                <c:ext xmlns:c16="http://schemas.microsoft.com/office/drawing/2014/chart" uri="{C3380CC4-5D6E-409C-BE32-E72D297353CC}">
                  <c16:uniqueId val="{00000005-8822-4B56-9CA4-68F8F492C3B1}"/>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0%</c:formatCode>
                <c:ptCount val="5"/>
                <c:pt idx="0">
                  <c:v>0.73</c:v>
                </c:pt>
                <c:pt idx="1">
                  <c:v>0.93</c:v>
                </c:pt>
                <c:pt idx="2">
                  <c:v>0.96</c:v>
                </c:pt>
                <c:pt idx="3">
                  <c:v>0.69</c:v>
                </c:pt>
                <c:pt idx="4">
                  <c:v>0.79</c:v>
                </c:pt>
              </c:numCache>
            </c:numRef>
          </c:val>
          <c:extLst>
            <c:ext xmlns:c16="http://schemas.microsoft.com/office/drawing/2014/chart" uri="{C3380CC4-5D6E-409C-BE32-E72D297353CC}">
              <c16:uniqueId val="{00000006-8822-4B56-9CA4-68F8F492C3B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j-lt"/>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accent2"/>
                </a:solidFill>
              </a:rPr>
              <a:t>TYPES</a:t>
            </a:r>
            <a:r>
              <a:rPr lang="en-US" sz="900" b="1" baseline="0">
                <a:solidFill>
                  <a:schemeClr val="accent2"/>
                </a:solidFill>
              </a:rPr>
              <a:t> OF</a:t>
            </a:r>
          </a:p>
          <a:p>
            <a:pPr>
              <a:defRPr b="1">
                <a:solidFill>
                  <a:schemeClr val="accent2"/>
                </a:solidFill>
              </a:defRPr>
            </a:pPr>
            <a:r>
              <a:rPr lang="en-US" sz="900" b="1" baseline="0">
                <a:solidFill>
                  <a:schemeClr val="accent2"/>
                </a:solidFill>
              </a:rPr>
              <a:t>EMPLOYMENT</a:t>
            </a:r>
            <a:endParaRPr lang="en-US" sz="900" b="1">
              <a:solidFill>
                <a:schemeClr val="accent2"/>
              </a:solidFill>
            </a:endParaRPr>
          </a:p>
        </c:rich>
      </c:tx>
      <c:layout>
        <c:manualLayout>
          <c:xMode val="edge"/>
          <c:yMode val="edge"/>
          <c:x val="0.3064179269119045"/>
          <c:y val="0.3396612143292129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0554812664863084"/>
          <c:y val="6.1256899501706673E-2"/>
          <c:w val="0.62357272566490718"/>
          <c:h val="0.76046041119860019"/>
        </c:manualLayout>
      </c:layout>
      <c:doughnutChart>
        <c:varyColors val="1"/>
        <c:ser>
          <c:idx val="0"/>
          <c:order val="0"/>
          <c:tx>
            <c:strRef>
              <c:f>Sheet1!$B$1</c:f>
              <c:strCache>
                <c:ptCount val="1"/>
                <c:pt idx="0">
                  <c:v>Employment Types</c:v>
                </c:pt>
              </c:strCache>
            </c:strRef>
          </c:tx>
          <c:spPr>
            <a:ln>
              <a:solidFill>
                <a:schemeClr val="bg1"/>
              </a:solidFill>
            </a:ln>
          </c:spPr>
          <c:dPt>
            <c:idx val="0"/>
            <c:bubble3D val="0"/>
            <c:spPr>
              <a:solidFill>
                <a:schemeClr val="dk1">
                  <a:tint val="88500"/>
                </a:schemeClr>
              </a:solidFill>
              <a:ln w="19050">
                <a:solidFill>
                  <a:schemeClr val="bg1"/>
                </a:solidFill>
              </a:ln>
              <a:effectLst/>
            </c:spPr>
            <c:extLst>
              <c:ext xmlns:c16="http://schemas.microsoft.com/office/drawing/2014/chart" uri="{C3380CC4-5D6E-409C-BE32-E72D297353CC}">
                <c16:uniqueId val="{00000001-93EE-4005-A60E-6BDD1426D04E}"/>
              </c:ext>
            </c:extLst>
          </c:dPt>
          <c:dPt>
            <c:idx val="1"/>
            <c:bubble3D val="0"/>
            <c:spPr>
              <a:solidFill>
                <a:schemeClr val="bg2"/>
              </a:solidFill>
              <a:ln w="19050">
                <a:solidFill>
                  <a:schemeClr val="bg1"/>
                </a:solidFill>
              </a:ln>
              <a:effectLst/>
            </c:spPr>
            <c:extLst>
              <c:ext xmlns:c16="http://schemas.microsoft.com/office/drawing/2014/chart" uri="{C3380CC4-5D6E-409C-BE32-E72D297353CC}">
                <c16:uniqueId val="{00000003-93EE-4005-A60E-6BDD1426D04E}"/>
              </c:ext>
            </c:extLst>
          </c:dPt>
          <c:dPt>
            <c:idx val="2"/>
            <c:bubble3D val="0"/>
            <c:spPr>
              <a:solidFill>
                <a:schemeClr val="tx1"/>
              </a:solidFill>
              <a:ln w="19050">
                <a:solidFill>
                  <a:schemeClr val="bg1"/>
                </a:solidFill>
              </a:ln>
              <a:effectLst/>
            </c:spPr>
            <c:extLst>
              <c:ext xmlns:c16="http://schemas.microsoft.com/office/drawing/2014/chart" uri="{C3380CC4-5D6E-409C-BE32-E72D297353CC}">
                <c16:uniqueId val="{00000005-93EE-4005-A60E-6BDD1426D04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3EE-4005-A60E-6BDD1426D04E}"/>
                </c:ext>
              </c:extLst>
            </c:dLbl>
            <c:dLbl>
              <c:idx val="2"/>
              <c:layout>
                <c:manualLayout>
                  <c:x val="-1.33422281521014E-2"/>
                  <c:y val="-0.10176390773405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EE-4005-A60E-6BDD1426D04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92% Permanent</c:v>
                </c:pt>
                <c:pt idx="1">
                  <c:v>7% Temporary</c:v>
                </c:pt>
                <c:pt idx="2">
                  <c:v>1% Casual</c:v>
                </c:pt>
              </c:strCache>
            </c:strRef>
          </c:cat>
          <c:val>
            <c:numRef>
              <c:f>Sheet1!$B$2:$B$4</c:f>
              <c:numCache>
                <c:formatCode>General</c:formatCode>
                <c:ptCount val="3"/>
                <c:pt idx="0">
                  <c:v>92</c:v>
                </c:pt>
                <c:pt idx="1">
                  <c:v>7</c:v>
                </c:pt>
                <c:pt idx="2">
                  <c:v>1</c:v>
                </c:pt>
              </c:numCache>
            </c:numRef>
          </c:val>
          <c:extLst>
            <c:ext xmlns:c16="http://schemas.microsoft.com/office/drawing/2014/chart" uri="{C3380CC4-5D6E-409C-BE32-E72D297353CC}">
              <c16:uniqueId val="{00000006-93EE-4005-A60E-6BDD1426D04E}"/>
            </c:ext>
          </c:extLst>
        </c:ser>
        <c:dLbls>
          <c:showLegendKey val="0"/>
          <c:showVal val="1"/>
          <c:showCatName val="0"/>
          <c:showSerName val="0"/>
          <c:showPercent val="0"/>
          <c:showBubbleSize val="0"/>
          <c:showLeaderLines val="1"/>
        </c:dLbls>
        <c:firstSliceAng val="348"/>
        <c:holeSize val="75"/>
      </c:doughnutChart>
      <c:spPr>
        <a:noFill/>
        <a:ln>
          <a:noFill/>
        </a:ln>
        <a:effectLst/>
      </c:spPr>
    </c:plotArea>
    <c:legend>
      <c:legendPos val="b"/>
      <c:layout>
        <c:manualLayout>
          <c:xMode val="edge"/>
          <c:yMode val="edge"/>
          <c:x val="0"/>
          <c:y val="0.81971228325088941"/>
          <c:w val="1"/>
          <c:h val="0.18028771674911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Rehabilitation and return-to-work programs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2018–19</c:v>
                </c:pt>
                <c:pt idx="1">
                  <c:v>2019–20</c:v>
                </c:pt>
                <c:pt idx="2">
                  <c:v>2020–21</c:v>
                </c:pt>
                <c:pt idx="3">
                  <c:v>2021–22</c:v>
                </c:pt>
                <c:pt idx="4">
                  <c:v>2022–23</c:v>
                </c:pt>
              </c:strCache>
            </c:strRef>
          </c:cat>
          <c:val>
            <c:numRef>
              <c:f>Sheet1!$B$3:$B$7</c:f>
              <c:numCache>
                <c:formatCode>General</c:formatCode>
                <c:ptCount val="5"/>
                <c:pt idx="0">
                  <c:v>6</c:v>
                </c:pt>
                <c:pt idx="1">
                  <c:v>9</c:v>
                </c:pt>
                <c:pt idx="2">
                  <c:v>3</c:v>
                </c:pt>
                <c:pt idx="3">
                  <c:v>4</c:v>
                </c:pt>
                <c:pt idx="4">
                  <c:v>1</c:v>
                </c:pt>
              </c:numCache>
            </c:numRef>
          </c:val>
          <c:extLst>
            <c:ext xmlns:c16="http://schemas.microsoft.com/office/drawing/2014/chart" uri="{C3380CC4-5D6E-409C-BE32-E72D297353CC}">
              <c16:uniqueId val="{00000000-710F-40AB-8BA1-2D4F2979AFDF}"/>
            </c:ext>
          </c:extLst>
        </c:ser>
        <c:ser>
          <c:idx val="1"/>
          <c:order val="1"/>
          <c:tx>
            <c:strRef>
              <c:f>Sheet1!$C$1</c:f>
              <c:strCache>
                <c:ptCount val="1"/>
                <c:pt idx="0">
                  <c:v>Workcover claims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2018–19</c:v>
                </c:pt>
                <c:pt idx="1">
                  <c:v>2019–20</c:v>
                </c:pt>
                <c:pt idx="2">
                  <c:v>2020–21</c:v>
                </c:pt>
                <c:pt idx="3">
                  <c:v>2021–22</c:v>
                </c:pt>
                <c:pt idx="4">
                  <c:v>2022–23</c:v>
                </c:pt>
              </c:strCache>
            </c:strRef>
          </c:cat>
          <c:val>
            <c:numRef>
              <c:f>Sheet1!$C$3:$C$7</c:f>
              <c:numCache>
                <c:formatCode>General</c:formatCode>
                <c:ptCount val="5"/>
                <c:pt idx="0">
                  <c:v>2</c:v>
                </c:pt>
                <c:pt idx="1">
                  <c:v>2</c:v>
                </c:pt>
                <c:pt idx="2">
                  <c:v>2</c:v>
                </c:pt>
                <c:pt idx="3">
                  <c:v>3</c:v>
                </c:pt>
                <c:pt idx="4">
                  <c:v>3</c:v>
                </c:pt>
              </c:numCache>
            </c:numRef>
          </c:val>
          <c:extLst>
            <c:ext xmlns:c16="http://schemas.microsoft.com/office/drawing/2014/chart" uri="{C3380CC4-5D6E-409C-BE32-E72D297353CC}">
              <c16:uniqueId val="{00000001-710F-40AB-8BA1-2D4F2979AFDF}"/>
            </c:ext>
          </c:extLst>
        </c:ser>
        <c:ser>
          <c:idx val="2"/>
          <c:order val="2"/>
          <c:tx>
            <c:strRef>
              <c:f>Sheet1!$D$1</c:f>
              <c:strCache>
                <c:ptCount val="1"/>
                <c:pt idx="0">
                  <c:v>Workplace incidents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2018–19</c:v>
                </c:pt>
                <c:pt idx="1">
                  <c:v>2019–20</c:v>
                </c:pt>
                <c:pt idx="2">
                  <c:v>2020–21</c:v>
                </c:pt>
                <c:pt idx="3">
                  <c:v>2021–22</c:v>
                </c:pt>
                <c:pt idx="4">
                  <c:v>2022–23</c:v>
                </c:pt>
              </c:strCache>
            </c:strRef>
          </c:cat>
          <c:val>
            <c:numRef>
              <c:f>Sheet1!$D$3:$D$7</c:f>
              <c:numCache>
                <c:formatCode>General</c:formatCode>
                <c:ptCount val="5"/>
                <c:pt idx="0">
                  <c:v>13</c:v>
                </c:pt>
                <c:pt idx="1">
                  <c:v>9</c:v>
                </c:pt>
                <c:pt idx="2">
                  <c:v>14</c:v>
                </c:pt>
                <c:pt idx="3">
                  <c:v>16</c:v>
                </c:pt>
                <c:pt idx="4">
                  <c:v>21</c:v>
                </c:pt>
              </c:numCache>
            </c:numRef>
          </c:val>
          <c:extLst>
            <c:ext xmlns:c16="http://schemas.microsoft.com/office/drawing/2014/chart" uri="{C3380CC4-5D6E-409C-BE32-E72D297353CC}">
              <c16:uniqueId val="{00000002-710F-40AB-8BA1-2D4F2979AFDF}"/>
            </c:ext>
          </c:extLst>
        </c:ser>
        <c:dLbls>
          <c:dLblPos val="outEnd"/>
          <c:showLegendKey val="0"/>
          <c:showVal val="1"/>
          <c:showCatName val="0"/>
          <c:showSerName val="0"/>
          <c:showPercent val="0"/>
          <c:showBubbleSize val="0"/>
        </c:dLbls>
        <c:gapWidth val="182"/>
        <c:axId val="1042402864"/>
        <c:axId val="1042397288"/>
      </c:barChart>
      <c:catAx>
        <c:axId val="1042402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n-US"/>
          </a:p>
        </c:txPr>
        <c:crossAx val="1042397288"/>
        <c:crosses val="autoZero"/>
        <c:auto val="1"/>
        <c:lblAlgn val="ctr"/>
        <c:lblOffset val="100"/>
        <c:noMultiLvlLbl val="0"/>
      </c:catAx>
      <c:valAx>
        <c:axId val="1042397288"/>
        <c:scaling>
          <c:orientation val="minMax"/>
        </c:scaling>
        <c:delete val="1"/>
        <c:axPos val="b"/>
        <c:numFmt formatCode="General" sourceLinked="1"/>
        <c:majorTickMark val="out"/>
        <c:minorTickMark val="none"/>
        <c:tickLblPos val="nextTo"/>
        <c:crossAx val="104240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3713306267622935"/>
          <c:w val="0.68384064450598581"/>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0-16F1-4656-AFCB-65FBEBB5C066}"/>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16F1-4656-AFCB-65FBEBB5C066}"/>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2-16F1-4656-AFCB-65FBEBB5C066}"/>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4-16F1-4656-AFCB-65FBEBB5C066}"/>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5-E420-47CF-8040-4C68E6C3A8D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6745956645165769"/>
                      <c:h val="0.10249696003189473"/>
                    </c:manualLayout>
                  </c15:layout>
                </c:ext>
                <c:ext xmlns:c16="http://schemas.microsoft.com/office/drawing/2014/chart" uri="{C3380CC4-5D6E-409C-BE32-E72D297353CC}">
                  <c16:uniqueId val="{00000000-16F1-4656-AFCB-65FBEBB5C066}"/>
                </c:ext>
              </c:extLst>
            </c:dLbl>
            <c:dLbl>
              <c:idx val="1"/>
              <c:layout>
                <c:manualLayout>
                  <c:x val="4.8511576626240345E-2"/>
                  <c:y val="-8.0492220555505867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4450025610084294"/>
                      <c:h val="0.1430031281613777"/>
                    </c:manualLayout>
                  </c15:layout>
                </c:ext>
                <c:ext xmlns:c16="http://schemas.microsoft.com/office/drawing/2014/chart" uri="{C3380CC4-5D6E-409C-BE32-E72D297353CC}">
                  <c16:uniqueId val="{00000001-16F1-4656-AFCB-65FBEBB5C066}"/>
                </c:ext>
              </c:extLst>
            </c:dLbl>
            <c:dLbl>
              <c:idx val="2"/>
              <c:layout>
                <c:manualLayout>
                  <c:x val="2.8665931642778371E-2"/>
                  <c:y val="9.0376965681543114E-3"/>
                </c:manualLayout>
              </c:layout>
              <c:tx>
                <c:rich>
                  <a:bodyPr/>
                  <a:lstStyle/>
                  <a:p>
                    <a:fld id="{14DBEB68-E74A-4FC0-BB94-F07B3185932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560583041783502"/>
                      <c:h val="0.16614406325319458"/>
                    </c:manualLayout>
                  </c15:layout>
                  <c15:dlblFieldTable/>
                  <c15:showDataLabelsRange val="0"/>
                </c:ext>
                <c:ext xmlns:c16="http://schemas.microsoft.com/office/drawing/2014/chart" uri="{C3380CC4-5D6E-409C-BE32-E72D297353CC}">
                  <c16:uniqueId val="{00000002-16F1-4656-AFCB-65FBEBB5C066}"/>
                </c:ext>
              </c:extLst>
            </c:dLbl>
            <c:dLbl>
              <c:idx val="3"/>
              <c:layout>
                <c:manualLayout>
                  <c:x val="0.12481677937997535"/>
                  <c:y val="1.195600993925492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1558985667034176"/>
                      <c:h val="0.14452385281324737"/>
                    </c:manualLayout>
                  </c15:layout>
                </c:ext>
                <c:ext xmlns:c16="http://schemas.microsoft.com/office/drawing/2014/chart" uri="{C3380CC4-5D6E-409C-BE32-E72D297353CC}">
                  <c16:uniqueId val="{00000004-16F1-4656-AFCB-65FBEBB5C066}"/>
                </c:ext>
              </c:extLst>
            </c:dLbl>
            <c:dLbl>
              <c:idx val="4"/>
              <c:layout>
                <c:manualLayout>
                  <c:x val="0.26611898705605569"/>
                  <c:y val="1.6149684238503163E-17"/>
                </c:manualLayout>
              </c:layout>
              <c:tx>
                <c:rich>
                  <a:bodyPr/>
                  <a:lstStyle/>
                  <a:p>
                    <a:fld id="{2FD06ECE-0F9A-4834-842A-880F824375DD}"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2160952868763511"/>
                      <c:h val="0.18004783149886017"/>
                    </c:manualLayout>
                  </c15:layout>
                  <c15:dlblFieldTable/>
                  <c15:showDataLabelsRange val="0"/>
                </c:ext>
                <c:ext xmlns:c16="http://schemas.microsoft.com/office/drawing/2014/chart" uri="{C3380CC4-5D6E-409C-BE32-E72D297353CC}">
                  <c16:uniqueId val="{00000005-E420-47CF-8040-4C68E6C3A8D2}"/>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0%</c:formatCode>
                <c:ptCount val="5"/>
                <c:pt idx="0">
                  <c:v>0.91</c:v>
                </c:pt>
                <c:pt idx="1">
                  <c:v>0.87</c:v>
                </c:pt>
                <c:pt idx="2">
                  <c:v>0.83</c:v>
                </c:pt>
                <c:pt idx="3">
                  <c:v>0.8</c:v>
                </c:pt>
                <c:pt idx="4">
                  <c:v>0.59</c:v>
                </c:pt>
              </c:numCache>
            </c:numRef>
          </c:val>
          <c:extLst>
            <c:ext xmlns:c16="http://schemas.microsoft.com/office/drawing/2014/chart" uri="{C3380CC4-5D6E-409C-BE32-E72D297353CC}">
              <c16:uniqueId val="{00000005-16F1-4656-AFCB-65FBEBB5C066}"/>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j-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6.3897763578274758E-2"/>
          <c:w val="0.64044082235560196"/>
          <c:h val="0.82394279389197755"/>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0-C485-48F8-8623-0AA54F74DAFB}"/>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C485-48F8-8623-0AA54F74DAFB}"/>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2-C485-48F8-8623-0AA54F74DAFB}"/>
              </c:ext>
            </c:extLst>
          </c:dPt>
          <c:dPt>
            <c:idx val="3"/>
            <c:invertIfNegative val="0"/>
            <c:bubble3D val="0"/>
            <c:spPr>
              <a:solidFill>
                <a:srgbClr val="414042"/>
              </a:solidFill>
              <a:ln>
                <a:solidFill>
                  <a:srgbClr val="000000"/>
                </a:solidFill>
              </a:ln>
              <a:effectLst/>
            </c:spPr>
            <c:extLst>
              <c:ext xmlns:c16="http://schemas.microsoft.com/office/drawing/2014/chart" uri="{C3380CC4-5D6E-409C-BE32-E72D297353CC}">
                <c16:uniqueId val="{00000004-C485-48F8-8623-0AA54F74DAFB}"/>
              </c:ext>
            </c:extLst>
          </c:dPt>
          <c:dLbls>
            <c:dLbl>
              <c:idx val="3"/>
              <c:layout>
                <c:manualLayout>
                  <c:x val="7.7804192781499887E-2"/>
                  <c:y val="0"/>
                </c:manualLayout>
              </c:layout>
              <c:tx>
                <c:rich>
                  <a:bodyPr/>
                  <a:lstStyle/>
                  <a:p>
                    <a:fld id="{B5C98C48-DBDF-472D-85C3-3338E486C4AF}" type="VALUE">
                      <a:rPr lang="en-US" b="1"/>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485-48F8-8623-0AA54F74DAF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2019–20</c:v>
                </c:pt>
                <c:pt idx="1">
                  <c:v>2020–21</c:v>
                </c:pt>
                <c:pt idx="2">
                  <c:v>2021–22</c:v>
                </c:pt>
                <c:pt idx="3">
                  <c:v>2022–23</c:v>
                </c:pt>
              </c:strCache>
            </c:strRef>
          </c:cat>
          <c:val>
            <c:numRef>
              <c:f>Sheet1!$B$2:$B$5</c:f>
              <c:numCache>
                <c:formatCode>0%</c:formatCode>
                <c:ptCount val="4"/>
                <c:pt idx="0">
                  <c:v>1</c:v>
                </c:pt>
                <c:pt idx="1">
                  <c:v>1</c:v>
                </c:pt>
                <c:pt idx="2">
                  <c:v>1</c:v>
                </c:pt>
                <c:pt idx="3">
                  <c:v>0.9</c:v>
                </c:pt>
              </c:numCache>
            </c:numRef>
          </c:val>
          <c:extLst>
            <c:ext xmlns:c16="http://schemas.microsoft.com/office/drawing/2014/chart" uri="{C3380CC4-5D6E-409C-BE32-E72D297353CC}">
              <c16:uniqueId val="{00000005-C485-48F8-8623-0AA54F74DAFB}"/>
            </c:ext>
          </c:extLst>
        </c:ser>
        <c:dLbls>
          <c:dLblPos val="outEnd"/>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0948905109489052"/>
          <c:w val="0.68384064450598581"/>
          <c:h val="0.89051094890510929"/>
        </c:manualLayout>
      </c:layout>
      <c:barChart>
        <c:barDir val="bar"/>
        <c:grouping val="clustered"/>
        <c:varyColors val="0"/>
        <c:ser>
          <c:idx val="0"/>
          <c:order val="0"/>
          <c:tx>
            <c:strRef>
              <c:f>Sheet1!$B$1</c:f>
              <c:strCache>
                <c:ptCount val="1"/>
                <c:pt idx="0">
                  <c:v> Column1 </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0-064A-49F9-AF5C-3E1AE63E94C5}"/>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064A-49F9-AF5C-3E1AE63E94C5}"/>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2-064A-49F9-AF5C-3E1AE63E94C5}"/>
              </c:ext>
            </c:extLst>
          </c:dPt>
          <c:dPt>
            <c:idx val="3"/>
            <c:invertIfNegative val="0"/>
            <c:bubble3D val="0"/>
            <c:spPr>
              <a:noFill/>
              <a:ln>
                <a:solidFill>
                  <a:srgbClr val="000000"/>
                </a:solidFill>
              </a:ln>
              <a:effectLst/>
            </c:spPr>
            <c:extLst>
              <c:ext xmlns:c16="http://schemas.microsoft.com/office/drawing/2014/chart" uri="{C3380CC4-5D6E-409C-BE32-E72D297353CC}">
                <c16:uniqueId val="{00000004-064A-49F9-AF5C-3E1AE63E94C5}"/>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5-7036-44D0-B368-4236452F2428}"/>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52018821241611612"/>
                      <c:h val="0.10186039884274889"/>
                    </c:manualLayout>
                  </c15:layout>
                </c:ext>
                <c:ext xmlns:c16="http://schemas.microsoft.com/office/drawing/2014/chart" uri="{C3380CC4-5D6E-409C-BE32-E72D297353CC}">
                  <c16:uniqueId val="{00000000-064A-49F9-AF5C-3E1AE63E94C5}"/>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48859526517288976"/>
                      <c:h val="0.12419402348575775"/>
                    </c:manualLayout>
                  </c15:layout>
                </c:ext>
                <c:ext xmlns:c16="http://schemas.microsoft.com/office/drawing/2014/chart" uri="{C3380CC4-5D6E-409C-BE32-E72D297353CC}">
                  <c16:uniqueId val="{00000001-064A-49F9-AF5C-3E1AE63E94C5}"/>
                </c:ext>
              </c:extLst>
            </c:dLbl>
            <c:dLbl>
              <c:idx val="2"/>
              <c:layout>
                <c:manualLayout>
                  <c:x val="0.13467674864787435"/>
                  <c:y val="9.538480615321753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0442611707715147"/>
                      <c:h val="0.14428191933306941"/>
                    </c:manualLayout>
                  </c15:layout>
                </c:ext>
                <c:ext xmlns:c16="http://schemas.microsoft.com/office/drawing/2014/chart" uri="{C3380CC4-5D6E-409C-BE32-E72D297353CC}">
                  <c16:uniqueId val="{00000002-064A-49F9-AF5C-3E1AE63E94C5}"/>
                </c:ext>
              </c:extLst>
            </c:dLbl>
            <c:dLbl>
              <c:idx val="3"/>
              <c:layout>
                <c:manualLayout>
                  <c:x val="0.71003307607497246"/>
                  <c:y val="-1.7655163277685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64A-49F9-AF5C-3E1AE63E94C5}"/>
                </c:ext>
              </c:extLst>
            </c:dLbl>
            <c:dLbl>
              <c:idx val="4"/>
              <c:layout>
                <c:manualLayout>
                  <c:x val="0.16317530319735393"/>
                  <c:y val="1.8170805572380346E-2"/>
                </c:manualLayout>
              </c:layout>
              <c:tx>
                <c:rich>
                  <a:bodyPr/>
                  <a:lstStyle/>
                  <a:p>
                    <a:fld id="{3ED77742-C617-42A1-891B-3A1785BD2239}"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4950385887541345"/>
                      <c:h val="0.22053348722082058"/>
                    </c:manualLayout>
                  </c15:layout>
                  <c15:dlblFieldTable/>
                  <c15:showDataLabelsRange val="0"/>
                </c:ext>
                <c:ext xmlns:c16="http://schemas.microsoft.com/office/drawing/2014/chart" uri="{C3380CC4-5D6E-409C-BE32-E72D297353CC}">
                  <c16:uniqueId val="{00000005-7036-44D0-B368-4236452F2428}"/>
                </c:ext>
              </c:extLst>
            </c:dLbl>
            <c:numFmt formatCode="&quot;$&quot;#,##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_-"$"* #,##0_-;\-"$"* #,##0_-;_-"$"* "-"??_-;_-@_-</c:formatCode>
                <c:ptCount val="5"/>
                <c:pt idx="0">
                  <c:v>817</c:v>
                </c:pt>
                <c:pt idx="1">
                  <c:v>852</c:v>
                </c:pt>
                <c:pt idx="2">
                  <c:v>646</c:v>
                </c:pt>
                <c:pt idx="3">
                  <c:v>640</c:v>
                </c:pt>
                <c:pt idx="4">
                  <c:v>710</c:v>
                </c:pt>
              </c:numCache>
            </c:numRef>
          </c:val>
          <c:extLst>
            <c:ext xmlns:c16="http://schemas.microsoft.com/office/drawing/2014/chart" uri="{C3380CC4-5D6E-409C-BE32-E72D297353CC}">
              <c16:uniqueId val="{00000005-064A-49F9-AF5C-3E1AE63E94C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1.1087899726819865E-2"/>
          <c:w val="0.66029206455576039"/>
          <c:h val="0.97621340189619155"/>
        </c:manualLayout>
      </c:layout>
      <c:barChart>
        <c:barDir val="bar"/>
        <c:grouping val="clustered"/>
        <c:varyColors val="0"/>
        <c:ser>
          <c:idx val="0"/>
          <c:order val="0"/>
          <c:tx>
            <c:strRef>
              <c:f>Sheet1!$B$1</c:f>
              <c:strCache>
                <c:ptCount val="1"/>
                <c:pt idx="0">
                  <c:v> Column1 </c:v>
                </c:pt>
              </c:strCache>
            </c:strRef>
          </c:tx>
          <c:spPr>
            <a:solidFill>
              <a:schemeClr val="tx1">
                <a:lumMod val="40000"/>
                <a:lumOff val="6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B579-47D5-84E9-EFC4B66355DC}"/>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B579-47D5-84E9-EFC4B66355DC}"/>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B579-47D5-84E9-EFC4B66355DC}"/>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B579-47D5-84E9-EFC4B66355DC}"/>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B579-47D5-84E9-EFC4B66355DC}"/>
              </c:ext>
            </c:extLst>
          </c:dPt>
          <c:dLbls>
            <c:dLbl>
              <c:idx val="0"/>
              <c:layout>
                <c:manualLayout>
                  <c:x val="4.3982422592950453E-2"/>
                  <c:y val="2.20555797336586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56375300161947839"/>
                      <c:h val="0.17652883209958037"/>
                    </c:manualLayout>
                  </c15:layout>
                </c:ext>
                <c:ext xmlns:c16="http://schemas.microsoft.com/office/drawing/2014/chart" uri="{C3380CC4-5D6E-409C-BE32-E72D297353CC}">
                  <c16:uniqueId val="{00000001-B579-47D5-84E9-EFC4B66355DC}"/>
                </c:ext>
              </c:extLst>
            </c:dLbl>
            <c:dLbl>
              <c:idx val="1"/>
              <c:layout>
                <c:manualLayout>
                  <c:x val="4.3982472336894479E-2"/>
                  <c:y val="1.7964888748926152E-2"/>
                </c:manualLayout>
              </c:layout>
              <c:tx>
                <c:rich>
                  <a:bodyPr/>
                  <a:lstStyle/>
                  <a:p>
                    <a:fld id="{CE9F0F40-5865-4D52-AF3F-D749625DD670}"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56803868598871954"/>
                      <c:h val="0.21451930784101089"/>
                    </c:manualLayout>
                  </c15:layout>
                  <c15:dlblFieldTable/>
                  <c15:showDataLabelsRange val="0"/>
                </c:ext>
                <c:ext xmlns:c16="http://schemas.microsoft.com/office/drawing/2014/chart" uri="{C3380CC4-5D6E-409C-BE32-E72D297353CC}">
                  <c16:uniqueId val="{00000003-B579-47D5-84E9-EFC4B66355DC}"/>
                </c:ext>
              </c:extLst>
            </c:dLbl>
            <c:dLbl>
              <c:idx val="2"/>
              <c:layout>
                <c:manualLayout>
                  <c:x val="0.324414137984948"/>
                  <c:y val="2.293983571049619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5714245825654775"/>
                      <c:h val="0.15895996068220555"/>
                    </c:manualLayout>
                  </c15:layout>
                </c:ext>
                <c:ext xmlns:c16="http://schemas.microsoft.com/office/drawing/2014/chart" uri="{C3380CC4-5D6E-409C-BE32-E72D297353CC}">
                  <c16:uniqueId val="{00000005-B579-47D5-84E9-EFC4B66355DC}"/>
                </c:ext>
              </c:extLst>
            </c:dLbl>
            <c:dLbl>
              <c:idx val="3"/>
              <c:layout>
                <c:manualLayout>
                  <c:x val="0.19571134891383257"/>
                  <c:y val="2.9940119760479056E-2"/>
                </c:manualLayout>
              </c:layout>
              <c:tx>
                <c:rich>
                  <a:bodyPr/>
                  <a:lstStyle/>
                  <a:p>
                    <a:fld id="{7A7237CE-FB81-4A51-A8AA-A1312C08B996}"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3433049924610488"/>
                      <c:h val="0.24197651940214063"/>
                    </c:manualLayout>
                  </c15:layout>
                  <c15:dlblFieldTable/>
                  <c15:showDataLabelsRange val="0"/>
                </c:ext>
                <c:ext xmlns:c16="http://schemas.microsoft.com/office/drawing/2014/chart" uri="{C3380CC4-5D6E-409C-BE32-E72D297353CC}">
                  <c16:uniqueId val="{00000007-B579-47D5-84E9-EFC4B66355DC}"/>
                </c:ext>
              </c:extLst>
            </c:dLbl>
            <c:dLbl>
              <c:idx val="4"/>
              <c:layout>
                <c:manualLayout>
                  <c:x val="0.37455673758865249"/>
                  <c:y val="1.3901698084549968E-2"/>
                </c:manualLayout>
              </c:layout>
              <c:tx>
                <c:rich>
                  <a:bodyPr/>
                  <a:lstStyle/>
                  <a:p>
                    <a:fld id="{6FA1552B-2B21-46AA-B5C4-7352532E0DD3}"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394877003406489"/>
                      <c:h val="0.25118676033759252"/>
                    </c:manualLayout>
                  </c15:layout>
                  <c15:dlblFieldTable/>
                  <c15:showDataLabelsRange val="0"/>
                </c:ext>
                <c:ext xmlns:c16="http://schemas.microsoft.com/office/drawing/2014/chart" uri="{C3380CC4-5D6E-409C-BE32-E72D297353CC}">
                  <c16:uniqueId val="{00000009-B579-47D5-84E9-EFC4B66355DC}"/>
                </c:ext>
              </c:extLst>
            </c:dLbl>
            <c:numFmt formatCode="&quot;$&quot;#,##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_-"$"* #,##0_-;\-"$"* #,##0_-;_-"$"* "-"??_-;_-@_-</c:formatCode>
                <c:ptCount val="5"/>
                <c:pt idx="0">
                  <c:v>31307</c:v>
                </c:pt>
                <c:pt idx="1">
                  <c:v>30880</c:v>
                </c:pt>
                <c:pt idx="2">
                  <c:v>36504</c:v>
                </c:pt>
                <c:pt idx="3">
                  <c:v>57149</c:v>
                </c:pt>
                <c:pt idx="4">
                  <c:v>28801</c:v>
                </c:pt>
              </c:numCache>
            </c:numRef>
          </c:val>
          <c:extLst>
            <c:ext xmlns:c16="http://schemas.microsoft.com/office/drawing/2014/chart" uri="{C3380CC4-5D6E-409C-BE32-E72D297353CC}">
              <c16:uniqueId val="{0000000A-B579-47D5-84E9-EFC4B66355DC}"/>
            </c:ext>
          </c:extLst>
        </c:ser>
        <c:dLbls>
          <c:showLegendKey val="0"/>
          <c:showVal val="1"/>
          <c:showCatName val="0"/>
          <c:showSerName val="0"/>
          <c:showPercent val="0"/>
          <c:showBubbleSize val="0"/>
        </c:dLbls>
        <c:gapWidth val="25"/>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50424085633181"/>
          <c:y val="0"/>
          <c:w val="0.7309760480601446"/>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ABA2-4EAF-A45A-A5A4DE9AF417}"/>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ABA2-4EAF-A45A-A5A4DE9AF417}"/>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ABA2-4EAF-A45A-A5A4DE9AF417}"/>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ABA2-4EAF-A45A-A5A4DE9AF417}"/>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ABA2-4EAF-A45A-A5A4DE9AF417}"/>
              </c:ext>
            </c:extLst>
          </c:dPt>
          <c:dLbls>
            <c:dLbl>
              <c:idx val="0"/>
              <c:layout>
                <c:manualLayout>
                  <c:x val="0.27857447049235123"/>
                  <c:y val="-4.728186120845440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6504500744938264"/>
                      <c:h val="7.8775897693639366E-2"/>
                    </c:manualLayout>
                  </c15:layout>
                </c:ext>
                <c:ext xmlns:c16="http://schemas.microsoft.com/office/drawing/2014/chart" uri="{C3380CC4-5D6E-409C-BE32-E72D297353CC}">
                  <c16:uniqueId val="{00000001-ABA2-4EAF-A45A-A5A4DE9AF417}"/>
                </c:ext>
              </c:extLst>
            </c:dLbl>
            <c:dLbl>
              <c:idx val="1"/>
              <c:layout>
                <c:manualLayout>
                  <c:x val="0.29218213448639879"/>
                  <c:y val="6.55104865366474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1872119541542665"/>
                      <c:h val="8.8232162469053063E-2"/>
                    </c:manualLayout>
                  </c15:layout>
                </c:ext>
                <c:ext xmlns:c16="http://schemas.microsoft.com/office/drawing/2014/chart" uri="{C3380CC4-5D6E-409C-BE32-E72D297353CC}">
                  <c16:uniqueId val="{00000003-ABA2-4EAF-A45A-A5A4DE9AF417}"/>
                </c:ext>
              </c:extLst>
            </c:dLbl>
            <c:dLbl>
              <c:idx val="2"/>
              <c:layout>
                <c:manualLayout>
                  <c:x val="0.33329038441336073"/>
                  <c:y val="-5.3733138611596096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9747050447146"/>
                      <c:h val="8.8232162469053063E-2"/>
                    </c:manualLayout>
                  </c15:layout>
                </c:ext>
                <c:ext xmlns:c16="http://schemas.microsoft.com/office/drawing/2014/chart" uri="{C3380CC4-5D6E-409C-BE32-E72D297353CC}">
                  <c16:uniqueId val="{00000005-ABA2-4EAF-A45A-A5A4DE9AF417}"/>
                </c:ext>
              </c:extLst>
            </c:dLbl>
            <c:dLbl>
              <c:idx val="3"/>
              <c:layout>
                <c:manualLayout>
                  <c:x val="0.73919107391910743"/>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BA2-4EAF-A45A-A5A4DE9AF417}"/>
                </c:ext>
              </c:extLst>
            </c:dLbl>
            <c:dLbl>
              <c:idx val="4"/>
              <c:layout>
                <c:manualLayout>
                  <c:x val="0.49279404927940496"/>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BA2-4EAF-A45A-A5A4DE9AF417}"/>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0</c:formatCode>
                <c:ptCount val="5"/>
                <c:pt idx="0">
                  <c:v>37</c:v>
                </c:pt>
                <c:pt idx="1">
                  <c:v>32</c:v>
                </c:pt>
                <c:pt idx="2">
                  <c:v>32</c:v>
                </c:pt>
                <c:pt idx="3">
                  <c:v>19</c:v>
                </c:pt>
                <c:pt idx="4">
                  <c:v>34</c:v>
                </c:pt>
              </c:numCache>
            </c:numRef>
          </c:val>
          <c:extLst>
            <c:ext xmlns:c16="http://schemas.microsoft.com/office/drawing/2014/chart" uri="{C3380CC4-5D6E-409C-BE32-E72D297353CC}">
              <c16:uniqueId val="{0000000A-ABA2-4EAF-A45A-A5A4DE9AF41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0"/>
          <c:w val="0.70355954127564269"/>
          <c:h val="0.9990008145533532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1816-44D3-BD44-B9760208AAEA}"/>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1816-44D3-BD44-B9760208AAEA}"/>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1816-44D3-BD44-B9760208AAEA}"/>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1816-44D3-BD44-B9760208AAEA}"/>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1816-44D3-BD44-B9760208AAEA}"/>
              </c:ext>
            </c:extLst>
          </c:dPt>
          <c:dLbls>
            <c:dLbl>
              <c:idx val="0"/>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1-1816-44D3-BD44-B9760208AAEA}"/>
                </c:ext>
              </c:extLst>
            </c:dLbl>
            <c:dLbl>
              <c:idx val="1"/>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3-1816-44D3-BD44-B9760208AAEA}"/>
                </c:ext>
              </c:extLst>
            </c:dLbl>
            <c:dLbl>
              <c:idx val="2"/>
              <c:layout>
                <c:manualLayout>
                  <c:x val="0.34358629967584775"/>
                  <c:y val="4.516981001328142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978140273810866"/>
                      <c:h val="0.18479274279007218"/>
                    </c:manualLayout>
                  </c15:layout>
                </c:ext>
                <c:ext xmlns:c16="http://schemas.microsoft.com/office/drawing/2014/chart" uri="{C3380CC4-5D6E-409C-BE32-E72D297353CC}">
                  <c16:uniqueId val="{00000005-1816-44D3-BD44-B9760208AAEA}"/>
                </c:ext>
              </c:extLst>
            </c:dLbl>
            <c:dLbl>
              <c:idx val="3"/>
              <c:layout>
                <c:manualLayout>
                  <c:x val="0.5944854435036625"/>
                  <c:y val="4.5871685753926E-2"/>
                </c:manualLayout>
              </c:layout>
              <c:tx>
                <c:rich>
                  <a:bodyPr rot="0" vert="horz"/>
                  <a:lstStyle/>
                  <a:p>
                    <a:pPr algn="r">
                      <a:defRPr/>
                    </a:pPr>
                    <a:r>
                      <a:rPr lang="en-US"/>
                      <a:t>21</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0.16065273072006611"/>
                    </c:manualLayout>
                  </c15:layout>
                  <c15:showDataLabelsRange val="0"/>
                </c:ext>
                <c:ext xmlns:c16="http://schemas.microsoft.com/office/drawing/2014/chart" uri="{C3380CC4-5D6E-409C-BE32-E72D297353CC}">
                  <c16:uniqueId val="{00000007-1816-44D3-BD44-B9760208AAEA}"/>
                </c:ext>
              </c:extLst>
            </c:dLbl>
            <c:dLbl>
              <c:idx val="4"/>
              <c:layout>
                <c:manualLayout>
                  <c:x val="0.24528414129114323"/>
                  <c:y val="4.7128559328602229E-2"/>
                </c:manualLayout>
              </c:layout>
              <c:numFmt formatCode="#,##0" sourceLinked="0"/>
              <c:spPr>
                <a:noFill/>
                <a:ln>
                  <a:noFill/>
                </a:ln>
                <a:effectLst/>
              </c:spPr>
              <c:txPr>
                <a:bodyPr rot="0" vert="horz"/>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8962713453541571"/>
                      <c:h val="0.14163154168191258"/>
                    </c:manualLayout>
                  </c15:layout>
                </c:ext>
                <c:ext xmlns:c16="http://schemas.microsoft.com/office/drawing/2014/chart" uri="{C3380CC4-5D6E-409C-BE32-E72D297353CC}">
                  <c16:uniqueId val="{00000008-1816-44D3-BD44-B9760208AAEA}"/>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65</c:v>
                </c:pt>
                <c:pt idx="1">
                  <c:v>53</c:v>
                </c:pt>
                <c:pt idx="2">
                  <c:v>29</c:v>
                </c:pt>
                <c:pt idx="3">
                  <c:v>21</c:v>
                </c:pt>
                <c:pt idx="4">
                  <c:v>39</c:v>
                </c:pt>
              </c:numCache>
            </c:numRef>
          </c:val>
          <c:extLst>
            <c:ext xmlns:c16="http://schemas.microsoft.com/office/drawing/2014/chart" uri="{C3380CC4-5D6E-409C-BE32-E72D297353CC}">
              <c16:uniqueId val="{00000009-1816-44D3-BD44-B9760208AAEA}"/>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2B8ABD-BB31-48C1-8B19-00A7A6673943}">
  <ds:schemaRefs>
    <ds:schemaRef ds:uri="http://schemas.openxmlformats.org/officeDocument/2006/bibliography"/>
  </ds:schemaRefs>
</ds:datastoreItem>
</file>

<file path=customXml/itemProps2.xml><?xml version="1.0" encoding="utf-8"?>
<ds:datastoreItem xmlns:ds="http://schemas.openxmlformats.org/officeDocument/2006/customXml" ds:itemID="{2875039D-544D-4694-86AC-DE15F554B72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128</Pages>
  <Words>16993</Words>
  <Characters>266975</Characters>
  <Application>Microsoft Office Word</Application>
  <DocSecurity>8</DocSecurity>
  <Lines>8090</Lines>
  <Paragraphs>3380</Paragraphs>
  <ScaleCrop>false</ScaleCrop>
  <HeadingPairs>
    <vt:vector size="2" baseType="variant">
      <vt:variant>
        <vt:lpstr>Title</vt:lpstr>
      </vt:variant>
      <vt:variant>
        <vt:i4>1</vt:i4>
      </vt:variant>
    </vt:vector>
  </HeadingPairs>
  <TitlesOfParts>
    <vt:vector size="1" baseType="lpstr">
      <vt:lpstr>CCC Annual Report 2020-21</vt:lpstr>
    </vt:vector>
  </TitlesOfParts>
  <Company/>
  <LinksUpToDate>false</LinksUpToDate>
  <CharactersWithSpaces>280588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 Annual Report 2020-21</dc:title>
  <dc:subject/>
  <dc:creator>Crime and Corruption Commission</dc:creator>
  <cp:keywords/>
  <dc:description/>
  <cp:lastModifiedBy>Tyne Hamilton</cp:lastModifiedBy>
  <cp:revision>2</cp:revision>
  <cp:lastPrinted>2023-08-07T22:27:00Z</cp:lastPrinted>
  <dcterms:created xsi:type="dcterms:W3CDTF">2023-09-27T03:07:00Z</dcterms:created>
  <dcterms:modified xsi:type="dcterms:W3CDTF">2023-09-27T03:07:00Z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aef7c1-6a42-4fdf-9098-721c17b924c1_Enabled">
    <vt:lpwstr>true</vt:lpwstr>
  </property>
  <property fmtid="{D5CDD505-2E9C-101B-9397-08002B2CF9AE}" pid="3" name="MSIP_Label_88aef7c1-6a42-4fdf-9098-721c17b924c1_SetDate">
    <vt:lpwstr>2023-07-26T02:52:33Z</vt:lpwstr>
  </property>
  <property fmtid="{D5CDD505-2E9C-101B-9397-08002B2CF9AE}" pid="4" name="MSIP_Label_88aef7c1-6a42-4fdf-9098-721c17b924c1_Method">
    <vt:lpwstr>Privileged</vt:lpwstr>
  </property>
  <property fmtid="{D5CDD505-2E9C-101B-9397-08002B2CF9AE}" pid="5" name="MSIP_Label_88aef7c1-6a42-4fdf-9098-721c17b924c1_Name">
    <vt:lpwstr>Official</vt:lpwstr>
  </property>
  <property fmtid="{D5CDD505-2E9C-101B-9397-08002B2CF9AE}" pid="6" name="MSIP_Label_88aef7c1-6a42-4fdf-9098-721c17b924c1_SiteId">
    <vt:lpwstr>b47fbe09-f37e-4756-a0c9-f44c55bfb295</vt:lpwstr>
  </property>
  <property fmtid="{D5CDD505-2E9C-101B-9397-08002B2CF9AE}" pid="7" name="MSIP_Label_88aef7c1-6a42-4fdf-9098-721c17b924c1_ActionId">
    <vt:lpwstr>d78ad83a-4060-4d90-8405-a9fdec99629f</vt:lpwstr>
  </property>
  <property fmtid="{D5CDD505-2E9C-101B-9397-08002B2CF9AE}" pid="8" name="MSIP_Label_88aef7c1-6a42-4fdf-9098-721c17b924c1_ContentBits">
    <vt:lpwstr>1</vt:lpwstr>
  </property>
</Properties>
</file>